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993F5">
      <w:pPr>
        <w:rPr>
          <w:rFonts w:ascii="方正仿宋_GBK" w:hAnsi="方正仿宋_GBK" w:eastAsia="方正仿宋_GBK" w:cs="方正仿宋_GBK"/>
          <w:sz w:val="32"/>
          <w:szCs w:val="32"/>
        </w:rPr>
      </w:pPr>
    </w:p>
    <w:p w14:paraId="2C5627FE">
      <w:pPr>
        <w:jc w:val="center"/>
        <w:rPr>
          <w:rFonts w:ascii="方正仿宋_GBK" w:hAnsi="方正仿宋_GBK" w:eastAsia="方正仿宋_GBK" w:cs="方正仿宋_GBK"/>
          <w:sz w:val="32"/>
          <w:szCs w:val="32"/>
        </w:rPr>
      </w:pPr>
    </w:p>
    <w:p w14:paraId="6EFA28EB">
      <w:pPr>
        <w:pStyle w:val="11"/>
        <w:widowControl/>
        <w:shd w:val="clear" w:color="auto" w:fill="FFFFFF"/>
        <w:spacing w:beforeAutospacing="0" w:afterAutospacing="0" w:line="540" w:lineRule="exact"/>
        <w:jc w:val="center"/>
        <w:rPr>
          <w:rStyle w:val="15"/>
          <w:rFonts w:ascii="方正小标宋_GBK" w:hAnsi="方正小标宋_GBK" w:eastAsia="方正小标宋_GBK" w:cs="方正小标宋_GBK"/>
          <w:b w:val="0"/>
          <w:kern w:val="2"/>
          <w:sz w:val="44"/>
          <w:szCs w:val="44"/>
          <w:shd w:val="clear" w:color="auto" w:fill="FFFFFF"/>
        </w:rPr>
      </w:pPr>
      <w:bookmarkStart w:id="0" w:name="_GoBack"/>
      <w:r>
        <w:rPr>
          <w:rStyle w:val="15"/>
          <w:rFonts w:hint="eastAsia" w:ascii="方正小标宋_GBK" w:hAnsi="方正小标宋_GBK" w:eastAsia="方正小标宋_GBK" w:cs="方正小标宋_GBK"/>
          <w:b w:val="0"/>
          <w:kern w:val="2"/>
          <w:sz w:val="44"/>
          <w:szCs w:val="44"/>
          <w:shd w:val="clear" w:color="auto" w:fill="FFFFFF"/>
        </w:rPr>
        <w:t>重庆市九龙坡区人民政府办公室</w:t>
      </w:r>
    </w:p>
    <w:p w14:paraId="26501C8C">
      <w:pPr>
        <w:tabs>
          <w:tab w:val="left" w:pos="5400"/>
        </w:tabs>
        <w:autoSpaceDE w:val="0"/>
        <w:autoSpaceDN w:val="0"/>
        <w:adjustRightInd w:val="0"/>
        <w:snapToGrid w:val="0"/>
        <w:spacing w:line="560" w:lineRule="exact"/>
        <w:jc w:val="center"/>
        <w:rPr>
          <w:rStyle w:val="15"/>
          <w:rFonts w:hint="eastAsia" w:ascii="方正小标宋_GBK" w:hAnsi="方正小标宋_GBK" w:eastAsia="方正小标宋_GBK" w:cs="方正小标宋_GBK"/>
          <w:b w:val="0"/>
          <w:sz w:val="44"/>
          <w:szCs w:val="44"/>
          <w:shd w:val="clear" w:color="auto" w:fill="FFFFFF"/>
        </w:rPr>
      </w:pPr>
      <w:r>
        <w:rPr>
          <w:rStyle w:val="15"/>
          <w:rFonts w:hint="eastAsia" w:ascii="方正小标宋_GBK" w:hAnsi="方正小标宋_GBK" w:eastAsia="方正小标宋_GBK" w:cs="方正小标宋_GBK"/>
          <w:b w:val="0"/>
          <w:sz w:val="44"/>
          <w:szCs w:val="44"/>
          <w:shd w:val="clear" w:color="auto" w:fill="FFFFFF"/>
        </w:rPr>
        <w:t>关于印发重庆市九龙坡区废弃农膜回收</w:t>
      </w:r>
    </w:p>
    <w:p w14:paraId="19CF4235">
      <w:pPr>
        <w:tabs>
          <w:tab w:val="left" w:pos="5400"/>
        </w:tabs>
        <w:autoSpaceDE w:val="0"/>
        <w:autoSpaceDN w:val="0"/>
        <w:adjustRightInd w:val="0"/>
        <w:snapToGrid w:val="0"/>
        <w:spacing w:line="560" w:lineRule="exact"/>
        <w:jc w:val="center"/>
        <w:rPr>
          <w:rStyle w:val="15"/>
          <w:rFonts w:ascii="方正小标宋_GBK" w:hAnsi="方正小标宋_GBK" w:eastAsia="方正小标宋_GBK" w:cs="方正小标宋_GBK"/>
          <w:b w:val="0"/>
          <w:sz w:val="44"/>
          <w:szCs w:val="44"/>
          <w:shd w:val="clear" w:color="auto" w:fill="FFFFFF"/>
        </w:rPr>
      </w:pPr>
      <w:r>
        <w:rPr>
          <w:rStyle w:val="15"/>
          <w:rFonts w:hint="eastAsia" w:ascii="方正小标宋_GBK" w:hAnsi="方正小标宋_GBK" w:eastAsia="方正小标宋_GBK" w:cs="方正小标宋_GBK"/>
          <w:b w:val="0"/>
          <w:sz w:val="44"/>
          <w:szCs w:val="44"/>
          <w:shd w:val="clear" w:color="auto" w:fill="FFFFFF"/>
        </w:rPr>
        <w:t>利用管理办法（</w:t>
      </w:r>
      <w:r>
        <w:rPr>
          <w:rFonts w:hint="eastAsia" w:ascii="Times New Roman" w:hAnsi="Times New Roman" w:eastAsia="方正小标宋_GBK" w:cs="Times New Roman"/>
          <w:sz w:val="44"/>
          <w:szCs w:val="44"/>
        </w:rPr>
        <w:t>修订</w:t>
      </w:r>
      <w:r>
        <w:rPr>
          <w:rStyle w:val="15"/>
          <w:rFonts w:hint="eastAsia" w:ascii="方正小标宋_GBK" w:hAnsi="方正小标宋_GBK" w:eastAsia="方正小标宋_GBK" w:cs="方正小标宋_GBK"/>
          <w:b w:val="0"/>
          <w:sz w:val="44"/>
          <w:szCs w:val="44"/>
          <w:shd w:val="clear" w:color="auto" w:fill="FFFFFF"/>
        </w:rPr>
        <w:t>）的通知</w:t>
      </w:r>
    </w:p>
    <w:p w14:paraId="73A8E29A">
      <w:pPr>
        <w:pStyle w:val="20"/>
      </w:pPr>
      <w:r>
        <w:rPr>
          <w:rFonts w:hint="eastAsia" w:ascii="方正仿宋_GBK"/>
        </w:rPr>
        <w:t>九龙坡府办发〔</w:t>
      </w:r>
      <w:r>
        <w:rPr>
          <w:rFonts w:hint="eastAsia"/>
        </w:rPr>
        <w:t>202</w:t>
      </w:r>
      <w:r>
        <w:rPr>
          <w:rFonts w:hint="eastAsia"/>
          <w:lang w:val="en-US" w:eastAsia="zh-CN"/>
        </w:rPr>
        <w:t>5</w:t>
      </w:r>
      <w:r>
        <w:rPr>
          <w:rFonts w:hint="eastAsia"/>
        </w:rPr>
        <w:t>〕</w:t>
      </w:r>
      <w:r>
        <w:rPr>
          <w:rFonts w:hint="eastAsia"/>
          <w:lang w:val="en-US" w:eastAsia="zh-CN"/>
        </w:rPr>
        <w:t>94</w:t>
      </w:r>
      <w:r>
        <w:rPr>
          <w:rFonts w:hint="eastAsia" w:ascii="方正仿宋_GBK"/>
        </w:rPr>
        <w:t>号</w:t>
      </w:r>
    </w:p>
    <w:bookmarkEnd w:id="0"/>
    <w:p w14:paraId="5D27F408">
      <w:pPr>
        <w:spacing w:line="600" w:lineRule="atLeast"/>
        <w:rPr>
          <w:rFonts w:ascii="Times New Roman" w:hAnsi="Times New Roman" w:eastAsia="宋体" w:cs="宋体"/>
          <w:sz w:val="44"/>
          <w:szCs w:val="44"/>
          <w:shd w:val="clear" w:color="auto" w:fill="FFFFFF"/>
        </w:rPr>
      </w:pPr>
    </w:p>
    <w:p w14:paraId="0BB7A1CC">
      <w:pPr>
        <w:spacing w:line="594" w:lineRule="exact"/>
        <w:rPr>
          <w:rFonts w:ascii="Times New Roman" w:hAnsi="Times New Roman" w:eastAsia="方正仿宋_GBK"/>
          <w:sz w:val="32"/>
          <w:szCs w:val="32"/>
        </w:rPr>
      </w:pPr>
      <w:r>
        <w:rPr>
          <w:rFonts w:ascii="Times New Roman" w:hAnsi="Times New Roman" w:eastAsia="方正仿宋_GBK"/>
          <w:sz w:val="32"/>
          <w:szCs w:val="32"/>
        </w:rPr>
        <w:t>各镇人民政府、街道办事处，区级有关部门，有关单位</w:t>
      </w:r>
      <w:r>
        <w:rPr>
          <w:rFonts w:hint="eastAsia" w:ascii="Times New Roman" w:hAnsi="Times New Roman" w:eastAsia="方正仿宋_GBK"/>
          <w:sz w:val="32"/>
          <w:szCs w:val="32"/>
        </w:rPr>
        <w:t>：</w:t>
      </w:r>
    </w:p>
    <w:p w14:paraId="50DDBD90">
      <w:pPr>
        <w:spacing w:line="600" w:lineRule="exact"/>
        <w:ind w:firstLine="640" w:firstLineChars="200"/>
        <w:jc w:val="left"/>
      </w:pPr>
      <w:r>
        <w:rPr>
          <w:rFonts w:hint="eastAsia" w:ascii="Times New Roman" w:hAnsi="Times New Roman" w:eastAsia="方正仿宋_GBK"/>
          <w:sz w:val="32"/>
          <w:szCs w:val="32"/>
        </w:rPr>
        <w:t>《重庆市九龙坡区废弃农膜回收利用管理办法</w:t>
      </w:r>
      <w:r>
        <w:rPr>
          <w:rFonts w:hint="eastAsia" w:ascii="Times New Roman" w:hAnsi="Times New Roman" w:eastAsia="方正仿宋_GBK" w:cs="Times New Roman"/>
          <w:sz w:val="32"/>
          <w:szCs w:val="32"/>
        </w:rPr>
        <w:t>（修订）</w:t>
      </w:r>
      <w:r>
        <w:rPr>
          <w:rFonts w:hint="eastAsia" w:ascii="Times New Roman" w:hAnsi="Times New Roman" w:eastAsia="方正仿宋_GBK"/>
          <w:sz w:val="32"/>
          <w:szCs w:val="32"/>
        </w:rPr>
        <w:t>》已</w:t>
      </w:r>
      <w:r>
        <w:rPr>
          <w:rFonts w:hint="eastAsia" w:ascii="Times New Roman" w:hAnsi="Times New Roman" w:eastAsia="方正仿宋_GBK" w:cs="Times New Roman"/>
          <w:sz w:val="32"/>
          <w:szCs w:val="32"/>
          <w:lang w:val="en-US" w:eastAsia="zh-CN"/>
        </w:rPr>
        <w:t>经区第十九届人民政府</w:t>
      </w:r>
      <w:r>
        <w:rPr>
          <w:rFonts w:hint="eastAsia" w:ascii="Times New Roman" w:hAnsi="Times New Roman" w:eastAsia="方正仿宋_GBK" w:cs="Times New Roman"/>
          <w:sz w:val="32"/>
          <w:szCs w:val="32"/>
          <w:lang w:val="zh-CN"/>
        </w:rPr>
        <w:t>第</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93</w:t>
      </w:r>
      <w:r>
        <w:rPr>
          <w:rFonts w:hint="eastAsia" w:ascii="Times New Roman" w:hAnsi="Times New Roman" w:eastAsia="方正仿宋_GBK" w:cs="Times New Roman"/>
          <w:sz w:val="32"/>
          <w:szCs w:val="32"/>
          <w:lang w:val="zh-CN"/>
        </w:rPr>
        <w:t>次</w:t>
      </w:r>
      <w:r>
        <w:rPr>
          <w:rFonts w:hint="eastAsia" w:ascii="Times New Roman" w:hAnsi="Times New Roman" w:eastAsia="方正仿宋_GBK" w:cs="Times New Roman"/>
          <w:sz w:val="32"/>
          <w:szCs w:val="32"/>
          <w:lang w:val="zh-CN"/>
        </w:rPr>
        <w:t>常务会议</w:t>
      </w:r>
      <w:r>
        <w:rPr>
          <w:rFonts w:hint="eastAsia" w:eastAsia="方正仿宋_GBK" w:cs="Times New Roman"/>
          <w:sz w:val="32"/>
          <w:szCs w:val="32"/>
          <w:lang w:val="zh-CN"/>
        </w:rPr>
        <w:t>审议</w:t>
      </w:r>
      <w:r>
        <w:rPr>
          <w:rFonts w:hint="eastAsia" w:ascii="Times New Roman" w:hAnsi="Times New Roman" w:eastAsia="方正仿宋_GBK" w:cs="Times New Roman"/>
          <w:sz w:val="32"/>
          <w:szCs w:val="32"/>
          <w:lang w:val="zh-CN"/>
        </w:rPr>
        <w:t>通过</w:t>
      </w:r>
      <w:r>
        <w:rPr>
          <w:rFonts w:hint="eastAsia" w:ascii="Times New Roman" w:hAnsi="Times New Roman" w:eastAsia="方正仿宋_GBK"/>
          <w:sz w:val="32"/>
          <w:szCs w:val="32"/>
        </w:rPr>
        <w:t>，现印发给你们，请遵照执行</w:t>
      </w:r>
      <w:r>
        <w:rPr>
          <w:rFonts w:ascii="Times New Roman" w:hAnsi="Times New Roman" w:eastAsia="方正仿宋_GBK" w:cs="Times New Roman"/>
          <w:sz w:val="32"/>
          <w:szCs w:val="32"/>
        </w:rPr>
        <w:t>。</w:t>
      </w:r>
    </w:p>
    <w:p w14:paraId="272275ED">
      <w:pPr>
        <w:snapToGrid w:val="0"/>
        <w:spacing w:line="600" w:lineRule="exact"/>
        <w:ind w:firstLine="640" w:firstLineChars="200"/>
        <w:rPr>
          <w:rFonts w:ascii="Times New Roman" w:hAnsi="Times New Roman" w:eastAsia="方正仿宋_GBK"/>
          <w:sz w:val="32"/>
        </w:rPr>
      </w:pPr>
    </w:p>
    <w:p w14:paraId="7B910933">
      <w:pPr>
        <w:spacing w:line="600" w:lineRule="exact"/>
        <w:ind w:firstLine="420" w:firstLineChars="200"/>
        <w:rPr>
          <w:rFonts w:ascii="Times New Roman" w:hAnsi="Times New Roman"/>
        </w:rPr>
      </w:pPr>
    </w:p>
    <w:p w14:paraId="6CF9D03A">
      <w:pPr>
        <w:spacing w:line="600" w:lineRule="exact"/>
        <w:ind w:firstLine="420" w:firstLineChars="200"/>
        <w:rPr>
          <w:rFonts w:ascii="Times New Roman" w:hAnsi="Times New Roman"/>
        </w:rPr>
      </w:pPr>
    </w:p>
    <w:p w14:paraId="6650131A">
      <w:pPr>
        <w:pStyle w:val="22"/>
        <w:wordWrap w:val="0"/>
      </w:pPr>
      <w:r>
        <w:rPr>
          <w:rFonts w:hint="eastAsia"/>
        </w:rPr>
        <w:t xml:space="preserve">重庆市九龙坡区人民政府办公室    </w:t>
      </w:r>
    </w:p>
    <w:p w14:paraId="36A56BF8">
      <w:pPr>
        <w:pStyle w:val="22"/>
        <w:wordWrap w:val="0"/>
        <w:ind w:right="960"/>
        <w:jc w:val="center"/>
      </w:pPr>
      <w:r>
        <w:rPr>
          <w:rFonts w:hint="eastAsia" w:cs="Times New Roman"/>
        </w:rPr>
        <w:t xml:space="preserve">                            </w:t>
      </w:r>
      <w:r>
        <w:rPr>
          <w:rFonts w:cs="Times New Roman"/>
        </w:rPr>
        <w:t>202</w:t>
      </w:r>
      <w:r>
        <w:rPr>
          <w:rFonts w:hint="eastAsia" w:cs="Times New Roman"/>
          <w:lang w:val="en-US" w:eastAsia="zh-CN"/>
        </w:rPr>
        <w:t>5</w:t>
      </w:r>
      <w:r>
        <w:rPr>
          <w:rFonts w:cs="Times New Roman"/>
        </w:rPr>
        <w:t>年</w:t>
      </w:r>
      <w:r>
        <w:rPr>
          <w:rFonts w:hint="eastAsia" w:cs="Times New Roman"/>
          <w:lang w:val="en-US" w:eastAsia="zh-CN"/>
        </w:rPr>
        <w:t>12</w:t>
      </w:r>
      <w:r>
        <w:rPr>
          <w:rFonts w:cs="Times New Roman"/>
        </w:rPr>
        <w:t>月</w:t>
      </w:r>
      <w:r>
        <w:rPr>
          <w:rFonts w:hint="eastAsia" w:cs="Times New Roman"/>
          <w:lang w:val="en-US" w:eastAsia="zh-CN"/>
        </w:rPr>
        <w:t>27</w:t>
      </w:r>
      <w:r>
        <w:rPr>
          <w:rFonts w:cs="Times New Roman"/>
        </w:rPr>
        <w:t>日</w:t>
      </w:r>
      <w:r>
        <w:rPr>
          <w:rFonts w:hint="eastAsia"/>
        </w:rPr>
        <w:t xml:space="preserve">    </w:t>
      </w:r>
    </w:p>
    <w:p w14:paraId="0C01011D">
      <w:pPr>
        <w:pStyle w:val="22"/>
        <w:wordWrap w:val="0"/>
        <w:ind w:right="958" w:firstLine="640" w:firstLineChars="200"/>
        <w:jc w:val="both"/>
      </w:pPr>
      <w:r>
        <w:rPr>
          <w:rFonts w:hint="eastAsia"/>
          <w:lang w:eastAsia="zh-CN"/>
        </w:rPr>
        <w:t>（</w:t>
      </w:r>
      <w:r>
        <w:rPr>
          <w:rFonts w:hint="eastAsia"/>
        </w:rPr>
        <w:t>此件公开发布</w:t>
      </w:r>
      <w:r>
        <w:rPr>
          <w:rFonts w:hint="eastAsia"/>
          <w:lang w:eastAsia="zh-CN"/>
        </w:rPr>
        <w:t>）</w:t>
      </w:r>
    </w:p>
    <w:p w14:paraId="06BC0A83">
      <w:pPr>
        <w:widowControl/>
        <w:jc w:val="left"/>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sz w:val="32"/>
          <w:szCs w:val="32"/>
          <w:shd w:val="clear" w:color="auto" w:fill="FFFFFF"/>
        </w:rPr>
        <w:br w:type="page"/>
      </w:r>
    </w:p>
    <w:p w14:paraId="7A7AE311">
      <w:pPr>
        <w:pStyle w:val="22"/>
        <w:ind w:right="480"/>
      </w:pPr>
    </w:p>
    <w:p w14:paraId="6883EE2B">
      <w:pPr>
        <w:spacing w:line="540" w:lineRule="exact"/>
        <w:jc w:val="center"/>
        <w:rPr>
          <w:rFonts w:ascii="Times New Roman" w:hAnsi="Times New Roman" w:eastAsia="方正仿宋_GBK" w:cs="方正仿宋_GBK"/>
          <w:kern w:val="0"/>
          <w:sz w:val="32"/>
          <w:szCs w:val="32"/>
          <w:shd w:val="clear" w:color="auto" w:fill="FFFFFF"/>
        </w:rPr>
      </w:pPr>
      <w:r>
        <w:rPr>
          <w:rFonts w:hint="eastAsia" w:ascii="Times New Roman" w:hAnsi="Times New Roman" w:eastAsia="方正小标宋_GBK" w:cs="方正小标宋_GBK"/>
          <w:kern w:val="0"/>
          <w:sz w:val="44"/>
          <w:szCs w:val="44"/>
          <w:shd w:val="clear" w:color="auto" w:fill="FFFFFF"/>
        </w:rPr>
        <w:t>重庆市</w:t>
      </w:r>
      <w:r>
        <w:rPr>
          <w:rFonts w:ascii="Times New Roman" w:hAnsi="Times New Roman" w:eastAsia="方正小标宋_GBK" w:cs="Times New Roman"/>
          <w:kern w:val="0"/>
          <w:sz w:val="44"/>
          <w:szCs w:val="44"/>
        </w:rPr>
        <w:t>九龙坡区废弃农膜回收利用管理</w:t>
      </w:r>
      <w:r>
        <w:rPr>
          <w:rFonts w:hint="eastAsia" w:ascii="Times New Roman" w:hAnsi="Times New Roman" w:eastAsia="方正小标宋_GBK" w:cs="方正小标宋_GBK"/>
          <w:kern w:val="0"/>
          <w:sz w:val="44"/>
          <w:szCs w:val="44"/>
          <w:shd w:val="clear" w:color="auto" w:fill="FFFFFF"/>
        </w:rPr>
        <w:t>办法</w:t>
      </w:r>
      <w:r>
        <w:rPr>
          <w:rFonts w:hint="eastAsia" w:ascii="Times New Roman" w:hAnsi="Times New Roman" w:eastAsia="方正小标宋_GBK" w:cs="Times New Roman"/>
          <w:sz w:val="44"/>
          <w:szCs w:val="44"/>
        </w:rPr>
        <w:t>（修订）</w:t>
      </w:r>
    </w:p>
    <w:p w14:paraId="45ECACB6">
      <w:pPr>
        <w:spacing w:line="600" w:lineRule="exact"/>
        <w:ind w:firstLine="640" w:firstLineChars="200"/>
        <w:rPr>
          <w:rFonts w:ascii="Times New Roman" w:hAnsi="Times New Roman" w:eastAsia="方正仿宋_GBK" w:cs="Times New Roman"/>
          <w:sz w:val="32"/>
          <w:szCs w:val="32"/>
        </w:rPr>
      </w:pPr>
    </w:p>
    <w:p w14:paraId="56E4517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第一章</w:t>
      </w:r>
      <w:r>
        <w:rPr>
          <w:rFonts w:hint="eastAsia" w:ascii="Times New Roman" w:hAnsi="Times New Roman" w:eastAsia="方正黑体_GBK" w:cs="Times New Roman"/>
          <w:kern w:val="0"/>
          <w:sz w:val="32"/>
          <w:szCs w:val="32"/>
        </w:rPr>
        <w:t xml:space="preserve"> </w:t>
      </w:r>
      <w:r>
        <w:rPr>
          <w:rFonts w:ascii="Times New Roman" w:hAnsi="Times New Roman" w:eastAsia="方正黑体_GBK" w:cs="Times New Roman"/>
          <w:kern w:val="0"/>
          <w:sz w:val="32"/>
          <w:szCs w:val="32"/>
        </w:rPr>
        <w:t xml:space="preserve"> 总</w:t>
      </w:r>
      <w:r>
        <w:rPr>
          <w:rFonts w:hint="eastAsia" w:ascii="Times New Roman" w:hAnsi="Times New Roman" w:eastAsia="方正黑体_GBK" w:cs="Times New Roman"/>
          <w:kern w:val="0"/>
          <w:sz w:val="32"/>
          <w:szCs w:val="32"/>
        </w:rPr>
        <w:t xml:space="preserve">  </w:t>
      </w:r>
      <w:r>
        <w:rPr>
          <w:rFonts w:ascii="Times New Roman" w:hAnsi="Times New Roman" w:eastAsia="方正黑体_GBK" w:cs="Times New Roman"/>
          <w:kern w:val="0"/>
          <w:sz w:val="32"/>
          <w:szCs w:val="32"/>
        </w:rPr>
        <w:t>则</w:t>
      </w:r>
    </w:p>
    <w:p w14:paraId="12B928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方正黑体_GBK"/>
          <w:kern w:val="0"/>
          <w:sz w:val="28"/>
          <w:szCs w:val="28"/>
        </w:rPr>
      </w:pPr>
    </w:p>
    <w:p w14:paraId="5C3F29B2">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第一条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为切实减少农业面源污染，保护农业生态环境，促进农业可持续发展，加快推进全区废弃农膜回收利用工作，根据《中华人民共和国土壤污染防治法》《重庆市废弃农膜回收利用管理办法（试行）》等精神，制定本办法。</w:t>
      </w:r>
    </w:p>
    <w:p w14:paraId="398629A1">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第二条 </w:t>
      </w:r>
      <w:r>
        <w:rPr>
          <w:rFonts w:ascii="Times New Roman" w:hAnsi="Times New Roman" w:eastAsia="方正仿宋_GBK" w:cs="Times New Roman"/>
          <w:sz w:val="32"/>
          <w:szCs w:val="32"/>
        </w:rPr>
        <w:t xml:space="preserve"> 在本行政区</w:t>
      </w:r>
      <w:r>
        <w:rPr>
          <w:rFonts w:hint="eastAsia" w:ascii="Times New Roman" w:hAnsi="Times New Roman" w:eastAsia="方正仿宋_GBK" w:cs="Times New Roman"/>
          <w:sz w:val="32"/>
          <w:szCs w:val="32"/>
          <w:lang w:eastAsia="zh-CN"/>
        </w:rPr>
        <w:t>域内</w:t>
      </w:r>
      <w:r>
        <w:rPr>
          <w:rFonts w:ascii="Times New Roman" w:hAnsi="Times New Roman" w:eastAsia="方正仿宋_GBK" w:cs="Times New Roman"/>
          <w:sz w:val="32"/>
          <w:szCs w:val="32"/>
        </w:rPr>
        <w:t>从事废弃农膜回收利用活动并享受财政资金补助的企业，应当遵守本办法。</w:t>
      </w:r>
    </w:p>
    <w:p w14:paraId="797BC415">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第三条</w:t>
      </w:r>
      <w:r>
        <w:rPr>
          <w:rFonts w:ascii="Times New Roman" w:hAnsi="Times New Roman" w:eastAsia="方正仿宋_GBK" w:cs="Times New Roman"/>
          <w:sz w:val="32"/>
          <w:szCs w:val="32"/>
        </w:rPr>
        <w:t xml:space="preserve">  废弃农膜是指废弃农用地膜和农用棚膜，以及种子、肥料、饲料塑料包装袋，聚乙烯育秧盆、营养杯、聚乙烯滴灌管、水带等。</w:t>
      </w:r>
    </w:p>
    <w:p w14:paraId="4881D5D6">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第四条</w:t>
      </w:r>
      <w:r>
        <w:rPr>
          <w:rFonts w:ascii="Times New Roman" w:hAnsi="Times New Roman" w:eastAsia="方正仿宋_GBK" w:cs="Times New Roman"/>
          <w:sz w:val="32"/>
          <w:szCs w:val="32"/>
        </w:rPr>
        <w:t xml:space="preserve">  废弃农膜回收利用遵循</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政府主导、市场运作、企业主体、公众参与、以奖代补</w:t>
      </w:r>
      <w:r>
        <w:rPr>
          <w:rFonts w:hint="eastAsia" w:ascii="Times New Roman" w:hAnsi="Times New Roman" w:eastAsia="方正仿宋_GBK" w:cs="方正仿宋_GBK"/>
          <w:sz w:val="32"/>
          <w:szCs w:val="32"/>
          <w:lang w:eastAsia="zh-CN"/>
        </w:rPr>
        <w:t>”</w:t>
      </w:r>
      <w:r>
        <w:rPr>
          <w:rFonts w:ascii="Times New Roman" w:hAnsi="Times New Roman" w:eastAsia="方正仿宋_GBK" w:cs="Times New Roman"/>
          <w:sz w:val="32"/>
          <w:szCs w:val="32"/>
        </w:rPr>
        <w:t>的原则。</w:t>
      </w:r>
    </w:p>
    <w:p w14:paraId="5882D303">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第五条</w:t>
      </w:r>
      <w:r>
        <w:rPr>
          <w:rFonts w:ascii="Times New Roman" w:hAnsi="Times New Roman" w:eastAsia="方正仿宋_GBK" w:cs="Times New Roman"/>
          <w:sz w:val="32"/>
          <w:szCs w:val="32"/>
        </w:rPr>
        <w:t xml:space="preserve">  当年废弃农膜回收利用目标任务，以全区上一年度新增农膜使用量以及市级有关部门下达</w:t>
      </w:r>
      <w:r>
        <w:rPr>
          <w:rFonts w:hint="eastAsia" w:ascii="Times New Roman" w:hAnsi="Times New Roman" w:eastAsia="方正仿宋_GBK" w:cs="Times New Roman"/>
          <w:sz w:val="32"/>
          <w:szCs w:val="32"/>
          <w:lang w:eastAsia="zh-CN"/>
        </w:rPr>
        <w:t>年度</w:t>
      </w:r>
      <w:r>
        <w:rPr>
          <w:rFonts w:ascii="Times New Roman" w:hAnsi="Times New Roman" w:eastAsia="方正仿宋_GBK" w:cs="Times New Roman"/>
          <w:sz w:val="32"/>
          <w:szCs w:val="32"/>
        </w:rPr>
        <w:t>回收率等因素确定。</w:t>
      </w:r>
    </w:p>
    <w:p w14:paraId="3D2799A1">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第六条 </w:t>
      </w:r>
      <w:r>
        <w:rPr>
          <w:rFonts w:ascii="Times New Roman" w:hAnsi="Times New Roman" w:eastAsia="方正仿宋_GBK" w:cs="Times New Roman"/>
          <w:sz w:val="32"/>
          <w:szCs w:val="32"/>
        </w:rPr>
        <w:t xml:space="preserve"> 区、镇政府和街道办事处（以下简称镇街）应当加强对废弃农膜回收利用工作的组织、领导和协调，设立农膜回收利用工作专项经费，纳入本级财政预算。</w:t>
      </w:r>
    </w:p>
    <w:p w14:paraId="57999895">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第七条</w:t>
      </w:r>
      <w:r>
        <w:rPr>
          <w:rFonts w:ascii="Times New Roman" w:hAnsi="Times New Roman" w:eastAsia="方正仿宋_GBK" w:cs="Times New Roman"/>
          <w:sz w:val="32"/>
          <w:szCs w:val="32"/>
        </w:rPr>
        <w:t xml:space="preserve">  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社会同区级有关部门按照职责分工，共同做好全区废弃农膜回收利用工作。各镇街共同做好本行政区域的废弃农膜回收利用工作。</w:t>
      </w:r>
    </w:p>
    <w:p w14:paraId="3B8D77A7">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负责指导全区废弃农膜回收利用网络体系建设，加强农膜应用和残留污染基础数据统计，下达回收利用年度目标任务，督促、收集、报送、通报废弃农膜回收利用实施进展情况，组织对回收利用推广任务完成情况开展督查和绩效评估，加强区级有关部门间工作协调配合等。</w:t>
      </w:r>
    </w:p>
    <w:p w14:paraId="55E16A75">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区农业农村委、区科技局负责引导农户和各类新型农业经营主体科学使用农膜，并及时捡拾交售所产生的废弃农膜，严禁随意弃置、掩埋或焚烧。</w:t>
      </w:r>
    </w:p>
    <w:p w14:paraId="0DD3FAFC">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区市场监管局、区公安分局、区农业农村委、区经济信息委负责加大农膜市场监管与执法力度，</w:t>
      </w:r>
      <w:r>
        <w:rPr>
          <w:rFonts w:hint="eastAsia" w:eastAsia="方正仿宋_GBK" w:cs="方正仿宋_GBK"/>
          <w:bCs w:val="0"/>
          <w:kern w:val="2"/>
          <w:sz w:val="32"/>
          <w:szCs w:val="32"/>
          <w:lang w:val="en-US" w:eastAsia="zh-CN" w:bidi="ar-SA"/>
        </w:rPr>
        <w:t>禁止生产销售不合格农用地膜和棚膜</w:t>
      </w:r>
      <w:r>
        <w:rPr>
          <w:rFonts w:ascii="Times New Roman" w:hAnsi="Times New Roman" w:eastAsia="方正仿宋_GBK" w:cs="Times New Roman"/>
          <w:sz w:val="32"/>
          <w:szCs w:val="32"/>
        </w:rPr>
        <w:t>，依法查处违法生产销售不合格农膜行为。</w:t>
      </w:r>
    </w:p>
    <w:p w14:paraId="6BDE1BC7">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区财政局负责废弃农膜回收利用财政资金预算管理，下达资金预算，开展财政资金监督检查。</w:t>
      </w:r>
    </w:p>
    <w:p w14:paraId="0107E1A7">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区发展改革委、区科技局、区生态环境局、区农业农村委配合区供销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社开展废弃农膜回收利用监督检查等工作。</w:t>
      </w:r>
    </w:p>
    <w:p w14:paraId="58F819A1">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第八条</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 xml:space="preserve"> 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会同区级宣传部门和各镇街采取挂图、视频、科普读物，通过电视、广播、微信、公众号等形式，进村入户对废弃农膜污染危害进行深入宣传，提高公众对废弃农膜回收利用的意识和能力，推广加厚和可降解地膜，普及土壤污染防治相关知识，营造废弃农膜回收利用浓厚氛围。</w:t>
      </w:r>
    </w:p>
    <w:p w14:paraId="7A945DA0">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3D594A31">
      <w:pPr>
        <w:keepNext w:val="0"/>
        <w:keepLines w:val="0"/>
        <w:pageBreakBefore w:val="0"/>
        <w:widowControl w:val="0"/>
        <w:kinsoku/>
        <w:wordWrap/>
        <w:overflowPunct/>
        <w:topLinePunct w:val="0"/>
        <w:autoSpaceDE/>
        <w:autoSpaceDN/>
        <w:bidi w:val="0"/>
        <w:spacing w:line="540" w:lineRule="exact"/>
        <w:ind w:right="0"/>
        <w:jc w:val="center"/>
        <w:textAlignment w:val="auto"/>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第二章  回收利用体系建设</w:t>
      </w:r>
    </w:p>
    <w:p w14:paraId="4623F43A">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2D324CA0">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第九条 </w:t>
      </w:r>
      <w:r>
        <w:rPr>
          <w:rFonts w:ascii="Times New Roman" w:hAnsi="Times New Roman" w:eastAsia="方正仿宋_GBK" w:cs="Times New Roman"/>
          <w:sz w:val="32"/>
          <w:szCs w:val="32"/>
        </w:rPr>
        <w:t xml:space="preserve"> 建</w:t>
      </w:r>
      <w:r>
        <w:rPr>
          <w:rFonts w:hint="eastAsia" w:ascii="Times New Roman" w:hAnsi="Times New Roman" w:eastAsia="方正仿宋_GBK" w:cs="Times New Roman"/>
          <w:sz w:val="32"/>
          <w:szCs w:val="32"/>
        </w:rPr>
        <w:t>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Times New Roman"/>
          <w:sz w:val="32"/>
          <w:szCs w:val="32"/>
        </w:rPr>
        <w:t>村、镇（街道）回收转运—区集中分拣贮运—区域性加工</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Times New Roman"/>
          <w:sz w:val="32"/>
          <w:szCs w:val="32"/>
        </w:rPr>
        <w:t>模式，构建销售、回收、利用、推广为一体的废弃农膜回收利用网络体系。</w:t>
      </w:r>
    </w:p>
    <w:p w14:paraId="2028ECC0">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第十条</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 xml:space="preserve"> 废弃农膜回收网点和贮运中心布局，应与镇（街道）基层供销合作社、农资经营</w:t>
      </w:r>
      <w:r>
        <w:rPr>
          <w:rFonts w:hint="eastAsia" w:ascii="Times New Roman" w:hAnsi="Times New Roman" w:eastAsia="方正仿宋_GBK" w:cs="Times New Roman"/>
          <w:sz w:val="32"/>
          <w:szCs w:val="32"/>
          <w:lang w:eastAsia="zh-CN"/>
        </w:rPr>
        <w:t>户</w:t>
      </w:r>
      <w:r>
        <w:rPr>
          <w:rFonts w:ascii="Times New Roman" w:hAnsi="Times New Roman" w:eastAsia="方正仿宋_GBK" w:cs="Times New Roman"/>
          <w:sz w:val="32"/>
          <w:szCs w:val="32"/>
        </w:rPr>
        <w:t>、庄稼医院、农村社区综合服务社、场镇再生资源回收网点相结合。</w:t>
      </w:r>
    </w:p>
    <w:p w14:paraId="4CB90E92">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第十一条 </w:t>
      </w:r>
      <w:r>
        <w:rPr>
          <w:rFonts w:ascii="Times New Roman" w:hAnsi="Times New Roman" w:eastAsia="方正仿宋_GBK" w:cs="Times New Roman"/>
          <w:sz w:val="32"/>
          <w:szCs w:val="32"/>
        </w:rPr>
        <w:t xml:space="preserve"> 废弃农膜回收采取现金收购、以旧换新、以物易物等方式。做到明码标价，回收标准制度上墙，开收据建台账，店面整洁、堆放规范、及时转运。</w:t>
      </w:r>
    </w:p>
    <w:p w14:paraId="73700523">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第十二条</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 xml:space="preserve"> 各镇街、村（社区）落实专人负责废弃农膜回收工作。村组督导员与乡镇（街道）签订包片回收责任书，经考核合格的，享受财政资金补助。安排村组督导员时，应首先安排能够胜任工作的贫困户。</w:t>
      </w:r>
    </w:p>
    <w:p w14:paraId="272E94AD">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第十三条 </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本着节约运输费用和价格优先原则，废弃农膜按区域按规定就近及时交售加工，避免二次污染。</w:t>
      </w:r>
    </w:p>
    <w:p w14:paraId="6D0C3902">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第十四条 </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回收企业由区供销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社依法依规、公平竞争选择确定，签订回收协议，约定年度目标任务量、推进进度、验收、资金补助标准、违约责任等事项，并报市供销合作社备案。</w:t>
      </w:r>
    </w:p>
    <w:p w14:paraId="5565942E">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第十五条</w:t>
      </w:r>
      <w:r>
        <w:rPr>
          <w:rFonts w:ascii="Times New Roman" w:hAnsi="Times New Roman" w:eastAsia="方正仿宋_GBK" w:cs="Times New Roman"/>
          <w:sz w:val="32"/>
          <w:szCs w:val="32"/>
        </w:rPr>
        <w:t xml:space="preserve">  回收企业应具备以下基本条件：</w:t>
      </w:r>
    </w:p>
    <w:p w14:paraId="3DDE20A6">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具备合法再生资源回收经营资格及独立承担民事责任的能力；</w:t>
      </w:r>
    </w:p>
    <w:p w14:paraId="0F6D5C2E">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（二）在本区域内有较为完善的回收网络；</w:t>
      </w:r>
    </w:p>
    <w:p w14:paraId="13B936B0">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（三）具有完善的企业管理制度；</w:t>
      </w:r>
    </w:p>
    <w:p w14:paraId="10F86D04">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（四）具备与回收规模相适应的分拣贮运能力；</w:t>
      </w:r>
    </w:p>
    <w:p w14:paraId="0924D43B">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（五）近3年内未被列入严重违法失信企业名单；</w:t>
      </w:r>
    </w:p>
    <w:p w14:paraId="49F3C3EE">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（六）法律法规规章规定的其他条件。</w:t>
      </w:r>
    </w:p>
    <w:p w14:paraId="2FEC29DB">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第十六条 </w:t>
      </w:r>
      <w:r>
        <w:rPr>
          <w:rFonts w:ascii="Times New Roman" w:hAnsi="Times New Roman" w:eastAsia="方正仿宋_GBK" w:cs="Times New Roman"/>
          <w:sz w:val="32"/>
          <w:szCs w:val="32"/>
        </w:rPr>
        <w:t xml:space="preserve"> 回收企业应履行以下义务：</w:t>
      </w:r>
    </w:p>
    <w:p w14:paraId="5988D846">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（一）诚信守法经营，财务制度健全、账务处理规范；</w:t>
      </w:r>
    </w:p>
    <w:p w14:paraId="1FAFD839">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（二）根据承担的任务量，制定回收细化实施方案；</w:t>
      </w:r>
    </w:p>
    <w:p w14:paraId="753D811C">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（三）公平交易，不得故意压低收购价格，无正当理由不得拒收；</w:t>
      </w:r>
    </w:p>
    <w:p w14:paraId="5106DA97">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（四）按时报送进度和台账，做到账账相符、账实相符；</w:t>
      </w:r>
    </w:p>
    <w:p w14:paraId="0BC79419">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（五）建立健全回收加工档案资料和佐证材料，保存期不低于5年；</w:t>
      </w:r>
    </w:p>
    <w:p w14:paraId="77C03ECC">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（六）积极配合验收，主动提供相关台账单据、证明材料等。</w:t>
      </w:r>
    </w:p>
    <w:p w14:paraId="28F18E19">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58500314">
      <w:pPr>
        <w:keepNext w:val="0"/>
        <w:keepLines w:val="0"/>
        <w:pageBreakBefore w:val="0"/>
        <w:widowControl w:val="0"/>
        <w:kinsoku/>
        <w:wordWrap/>
        <w:overflowPunct/>
        <w:topLinePunct w:val="0"/>
        <w:autoSpaceDE/>
        <w:autoSpaceDN/>
        <w:bidi w:val="0"/>
        <w:spacing w:line="540" w:lineRule="exact"/>
        <w:ind w:right="0"/>
        <w:jc w:val="center"/>
        <w:textAlignment w:val="auto"/>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第三章  监督管理</w:t>
      </w:r>
    </w:p>
    <w:p w14:paraId="33677050">
      <w:pPr>
        <w:keepNext w:val="0"/>
        <w:keepLines w:val="0"/>
        <w:pageBreakBefore w:val="0"/>
        <w:widowControl w:val="0"/>
        <w:kinsoku/>
        <w:wordWrap/>
        <w:overflowPunct/>
        <w:topLinePunct w:val="0"/>
        <w:autoSpaceDE/>
        <w:autoSpaceDN/>
        <w:bidi w:val="0"/>
        <w:spacing w:line="540" w:lineRule="exact"/>
        <w:ind w:right="0"/>
        <w:jc w:val="center"/>
        <w:textAlignment w:val="auto"/>
        <w:rPr>
          <w:rFonts w:ascii="Times New Roman" w:hAnsi="Times New Roman" w:eastAsia="方正仿宋_GBK" w:cs="Times New Roman"/>
          <w:sz w:val="32"/>
          <w:szCs w:val="32"/>
        </w:rPr>
      </w:pPr>
    </w:p>
    <w:p w14:paraId="327FFC45">
      <w:pPr>
        <w:keepNext w:val="0"/>
        <w:keepLines w:val="0"/>
        <w:pageBreakBefore w:val="0"/>
        <w:widowControl w:val="0"/>
        <w:kinsoku/>
        <w:wordWrap/>
        <w:overflowPunct/>
        <w:topLinePunct w:val="0"/>
        <w:autoSpaceDE/>
        <w:autoSpaceDN/>
        <w:bidi w:val="0"/>
        <w:spacing w:line="540" w:lineRule="exact"/>
        <w:ind w:right="0" w:firstLine="63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第十七条</w:t>
      </w:r>
      <w:r>
        <w:rPr>
          <w:rFonts w:ascii="Times New Roman" w:hAnsi="Times New Roman" w:eastAsia="方正仿宋_GBK" w:cs="Times New Roman"/>
          <w:sz w:val="32"/>
          <w:szCs w:val="32"/>
        </w:rPr>
        <w:t xml:space="preserve">  废弃农膜回收利用实行台账管理和月报、季度通报制度。回收企业于每月20日前向区供销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社报送进度报表，区供销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社汇总后于当月23日前报市供销合作社，并向区生态环境局、区农业农村委通报；每季度结束后10个工作日内通报全区完成季度目标任务情况。</w:t>
      </w:r>
    </w:p>
    <w:p w14:paraId="6DDC8D6C">
      <w:pPr>
        <w:keepNext w:val="0"/>
        <w:keepLines w:val="0"/>
        <w:pageBreakBefore w:val="0"/>
        <w:widowControl w:val="0"/>
        <w:kinsoku/>
        <w:wordWrap/>
        <w:overflowPunct/>
        <w:topLinePunct w:val="0"/>
        <w:autoSpaceDE/>
        <w:autoSpaceDN/>
        <w:bidi w:val="0"/>
        <w:spacing w:line="540" w:lineRule="exact"/>
        <w:ind w:right="0" w:firstLine="63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第十八条</w:t>
      </w:r>
      <w:r>
        <w:rPr>
          <w:rFonts w:ascii="Times New Roman" w:hAnsi="Times New Roman" w:eastAsia="方正仿宋_GBK" w:cs="Times New Roman"/>
          <w:sz w:val="32"/>
          <w:szCs w:val="32"/>
        </w:rPr>
        <w:t xml:space="preserve">  建立区、镇街废弃农膜回收利用目标责任制、市场交易结算制、回收加工可溯源制等，促进回收利用制度化、规范化。</w:t>
      </w:r>
    </w:p>
    <w:p w14:paraId="6B0AB54B">
      <w:pPr>
        <w:keepNext w:val="0"/>
        <w:keepLines w:val="0"/>
        <w:pageBreakBefore w:val="0"/>
        <w:widowControl w:val="0"/>
        <w:kinsoku/>
        <w:wordWrap/>
        <w:overflowPunct/>
        <w:topLinePunct w:val="0"/>
        <w:autoSpaceDE/>
        <w:autoSpaceDN/>
        <w:bidi w:val="0"/>
        <w:spacing w:line="540" w:lineRule="exact"/>
        <w:ind w:right="0" w:firstLine="63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第十九条 </w:t>
      </w:r>
      <w:r>
        <w:rPr>
          <w:rFonts w:ascii="Times New Roman" w:hAnsi="Times New Roman" w:eastAsia="方正仿宋_GBK" w:cs="Times New Roman"/>
          <w:sz w:val="32"/>
          <w:szCs w:val="32"/>
        </w:rPr>
        <w:t xml:space="preserve"> 各镇街要组织不定期检查，区供销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社会同区级有关部门组成联合工作组对目标任务完成情况开展督查。</w:t>
      </w:r>
    </w:p>
    <w:p w14:paraId="7079F086">
      <w:pPr>
        <w:keepNext w:val="0"/>
        <w:keepLines w:val="0"/>
        <w:pageBreakBefore w:val="0"/>
        <w:widowControl w:val="0"/>
        <w:kinsoku/>
        <w:wordWrap/>
        <w:overflowPunct/>
        <w:topLinePunct w:val="0"/>
        <w:autoSpaceDE/>
        <w:autoSpaceDN/>
        <w:bidi w:val="0"/>
        <w:spacing w:line="540" w:lineRule="exact"/>
        <w:ind w:right="0" w:firstLine="63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第二十条</w:t>
      </w:r>
      <w:r>
        <w:rPr>
          <w:rFonts w:ascii="Times New Roman" w:hAnsi="Times New Roman" w:eastAsia="方正仿宋_GBK" w:cs="Times New Roman"/>
          <w:sz w:val="32"/>
          <w:szCs w:val="32"/>
        </w:rPr>
        <w:t xml:space="preserve">  将各类新型农业经营主体依法依规及时捡拾交售其生产过程中所产生的废弃农膜，作为安排农业项目资金的必要条件之一。</w:t>
      </w:r>
    </w:p>
    <w:p w14:paraId="181418F3">
      <w:pPr>
        <w:keepNext w:val="0"/>
        <w:keepLines w:val="0"/>
        <w:pageBreakBefore w:val="0"/>
        <w:widowControl w:val="0"/>
        <w:kinsoku/>
        <w:wordWrap/>
        <w:overflowPunct/>
        <w:topLinePunct w:val="0"/>
        <w:autoSpaceDE/>
        <w:autoSpaceDN/>
        <w:bidi w:val="0"/>
        <w:spacing w:line="540" w:lineRule="exact"/>
        <w:ind w:right="0" w:firstLine="63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第二十一条</w:t>
      </w:r>
      <w:r>
        <w:rPr>
          <w:rFonts w:ascii="Times New Roman" w:hAnsi="Times New Roman" w:eastAsia="方正仿宋_GBK" w:cs="Times New Roman"/>
          <w:sz w:val="32"/>
          <w:szCs w:val="32"/>
        </w:rPr>
        <w:t xml:space="preserve">  废弃农膜回收企业依法经营，规范回收加工交易结算程序，不得伪造台账、虚报数量和回收区外废弃农膜骗取财政补助资金。</w:t>
      </w:r>
    </w:p>
    <w:p w14:paraId="556CBABC">
      <w:pPr>
        <w:keepNext w:val="0"/>
        <w:keepLines w:val="0"/>
        <w:pageBreakBefore w:val="0"/>
        <w:widowControl w:val="0"/>
        <w:kinsoku/>
        <w:wordWrap/>
        <w:overflowPunct/>
        <w:topLinePunct w:val="0"/>
        <w:autoSpaceDE/>
        <w:autoSpaceDN/>
        <w:bidi w:val="0"/>
        <w:spacing w:line="540" w:lineRule="exact"/>
        <w:ind w:right="0" w:firstLine="63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第二十二条</w:t>
      </w:r>
      <w:r>
        <w:rPr>
          <w:rFonts w:ascii="Times New Roman" w:hAnsi="Times New Roman" w:eastAsia="方正仿宋_GBK" w:cs="Times New Roman"/>
          <w:sz w:val="32"/>
          <w:szCs w:val="32"/>
        </w:rPr>
        <w:t xml:space="preserve">  加强农用地膜应用和残留污染的基础数据管理，建立地膜污染监测网络，开展地膜残留调查和回收利用率测算，构建底数清楚、可溯源的大数据综合管理平台。</w:t>
      </w:r>
    </w:p>
    <w:p w14:paraId="72969551">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6F3105B6">
      <w:pPr>
        <w:keepNext w:val="0"/>
        <w:keepLines w:val="0"/>
        <w:pageBreakBefore w:val="0"/>
        <w:widowControl w:val="0"/>
        <w:kinsoku/>
        <w:wordWrap/>
        <w:overflowPunct/>
        <w:topLinePunct w:val="0"/>
        <w:autoSpaceDE/>
        <w:autoSpaceDN/>
        <w:bidi w:val="0"/>
        <w:spacing w:line="540" w:lineRule="exact"/>
        <w:ind w:right="0"/>
        <w:jc w:val="center"/>
        <w:textAlignment w:val="auto"/>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第四章  资金政策支持</w:t>
      </w:r>
    </w:p>
    <w:p w14:paraId="535279CC">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7D57BEA2">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第二十三条 </w:t>
      </w:r>
      <w:r>
        <w:rPr>
          <w:rFonts w:ascii="Times New Roman" w:hAnsi="Times New Roman" w:eastAsia="方正仿宋_GBK" w:cs="Times New Roman"/>
          <w:sz w:val="32"/>
          <w:szCs w:val="32"/>
        </w:rPr>
        <w:t xml:space="preserve"> 市级财政资金主要补助回收企业回收网点、贮运中心建设，劳务、运输，加工企业环保排放（技改）、基础设施建设等费用；区级财政资金主要补贴废弃农膜回收利用宣传培训和推广加厚、可降解地膜，以及村组督导员等费用。</w:t>
      </w:r>
    </w:p>
    <w:p w14:paraId="56336ED5">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第二十四条 </w:t>
      </w:r>
      <w:r>
        <w:rPr>
          <w:rFonts w:ascii="Times New Roman" w:hAnsi="Times New Roman" w:eastAsia="方正仿宋_GBK" w:cs="Times New Roman"/>
          <w:sz w:val="32"/>
          <w:szCs w:val="32"/>
        </w:rPr>
        <w:t xml:space="preserve"> 市级财政资金补助金额根据第三方机构对回收利用目标任务完成情况进行专项审计评估后确定；区级财政资金补助金额由区供销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社会同区财政等部门确定。</w:t>
      </w:r>
    </w:p>
    <w:p w14:paraId="5202EDB4">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第二十五条</w:t>
      </w:r>
      <w:r>
        <w:rPr>
          <w:rFonts w:ascii="Times New Roman" w:hAnsi="Times New Roman" w:eastAsia="方正仿宋_GBK" w:cs="Times New Roman"/>
          <w:sz w:val="32"/>
          <w:szCs w:val="32"/>
        </w:rPr>
        <w:t xml:space="preserve">  对废弃农膜回收利用管理规范、效果显著的镇，在财政补助资金安排上给予倾斜。</w:t>
      </w:r>
    </w:p>
    <w:p w14:paraId="3512DB4D">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5B043C75">
      <w:pPr>
        <w:keepNext w:val="0"/>
        <w:keepLines w:val="0"/>
        <w:pageBreakBefore w:val="0"/>
        <w:widowControl w:val="0"/>
        <w:kinsoku/>
        <w:wordWrap/>
        <w:overflowPunct/>
        <w:topLinePunct w:val="0"/>
        <w:autoSpaceDE/>
        <w:autoSpaceDN/>
        <w:bidi w:val="0"/>
        <w:spacing w:line="540" w:lineRule="exact"/>
        <w:ind w:right="0"/>
        <w:jc w:val="center"/>
        <w:textAlignment w:val="auto"/>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第五章  法律责任</w:t>
      </w:r>
    </w:p>
    <w:p w14:paraId="4C73A850">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70984553">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第二十六条</w:t>
      </w:r>
      <w:r>
        <w:rPr>
          <w:rFonts w:ascii="Times New Roman" w:hAnsi="Times New Roman" w:eastAsia="方正仿宋_GBK" w:cs="Times New Roman"/>
          <w:b/>
          <w:sz w:val="32"/>
          <w:szCs w:val="32"/>
        </w:rPr>
        <w:t xml:space="preserve"> </w:t>
      </w:r>
      <w:r>
        <w:rPr>
          <w:rFonts w:ascii="Times New Roman" w:hAnsi="Times New Roman" w:eastAsia="方正仿宋_GBK" w:cs="Times New Roman"/>
          <w:sz w:val="32"/>
          <w:szCs w:val="32"/>
        </w:rPr>
        <w:t xml:space="preserve"> 回收企业有下列情形之一的，由区供销</w:t>
      </w:r>
      <w:r>
        <w:rPr>
          <w:rFonts w:hint="eastAsia" w:ascii="Times New Roman" w:hAnsi="Times New Roman" w:eastAsia="方正仿宋_GBK" w:cs="Times New Roman"/>
          <w:kern w:val="0"/>
          <w:sz w:val="32"/>
          <w:szCs w:val="32"/>
          <w:lang w:eastAsia="zh-CN"/>
        </w:rPr>
        <w:t>合作</w:t>
      </w:r>
      <w:r>
        <w:rPr>
          <w:rFonts w:ascii="Times New Roman" w:hAnsi="Times New Roman" w:eastAsia="方正仿宋_GBK" w:cs="Times New Roman"/>
          <w:sz w:val="32"/>
          <w:szCs w:val="32"/>
        </w:rPr>
        <w:t>社会同有关部门取消其回收资格、扣减补助资金，并承担相应的法律责任：</w:t>
      </w:r>
    </w:p>
    <w:p w14:paraId="0C229B95">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（一）无正当理由拒收废弃农膜和故意压低收购价格的；</w:t>
      </w:r>
    </w:p>
    <w:p w14:paraId="7791FFB3">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（二）台账、账务档案、佐证材料不健全的；</w:t>
      </w:r>
    </w:p>
    <w:p w14:paraId="704B46F5">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（三）伪造台账报送虚假数据，与事实不符的；</w:t>
      </w:r>
    </w:p>
    <w:p w14:paraId="23303F77">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（四）回收区外废弃农膜套取财政补助资金的；</w:t>
      </w:r>
    </w:p>
    <w:p w14:paraId="024DFC14">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（五）恶意串通第三方机构出具虚假报告骗取财政补助资金的。</w:t>
      </w:r>
    </w:p>
    <w:p w14:paraId="612E3495">
      <w:pPr>
        <w:keepNext w:val="0"/>
        <w:keepLines w:val="0"/>
        <w:pageBreakBefore w:val="0"/>
        <w:widowControl w:val="0"/>
        <w:kinsoku/>
        <w:wordWrap/>
        <w:overflowPunct/>
        <w:topLinePunct w:val="0"/>
        <w:autoSpaceDE/>
        <w:autoSpaceDN/>
        <w:bidi w:val="0"/>
        <w:spacing w:line="540" w:lineRule="exact"/>
        <w:ind w:right="0"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黑体_GBK" w:cs="Times New Roman"/>
          <w:bCs/>
          <w:sz w:val="32"/>
          <w:szCs w:val="32"/>
        </w:rPr>
        <w:t xml:space="preserve">第二十七条 </w:t>
      </w:r>
      <w:r>
        <w:rPr>
          <w:rFonts w:ascii="Times New Roman" w:hAnsi="Times New Roman" w:eastAsia="方正仿宋_GBK" w:cs="Times New Roman"/>
          <w:sz w:val="32"/>
          <w:szCs w:val="32"/>
        </w:rPr>
        <w:t xml:space="preserve"> 负责废弃农膜财政资金管理的部门、单位</w:t>
      </w:r>
      <w:r>
        <w:rPr>
          <w:rFonts w:hint="eastAsia" w:ascii="Times New Roman" w:hAnsi="Times New Roman" w:eastAsia="方正仿宋_GBK" w:cs="Times New Roman"/>
          <w:sz w:val="32"/>
          <w:szCs w:val="32"/>
          <w:lang w:eastAsia="zh-CN"/>
        </w:rPr>
        <w:t>及其</w:t>
      </w:r>
      <w:r>
        <w:rPr>
          <w:rFonts w:ascii="Times New Roman" w:hAnsi="Times New Roman" w:eastAsia="方正仿宋_GBK" w:cs="Times New Roman"/>
          <w:sz w:val="32"/>
          <w:szCs w:val="32"/>
        </w:rPr>
        <w:t>工作人员，在资金分配、审批、拨付、管理中存在违法违纪行为的，按</w:t>
      </w:r>
      <w:r>
        <w:rPr>
          <w:rFonts w:hint="eastAsia" w:ascii="Times New Roman" w:hAnsi="Times New Roman" w:eastAsia="方正仿宋_GBK" w:cs="方正仿宋_GBK"/>
          <w:sz w:val="32"/>
          <w:szCs w:val="32"/>
        </w:rPr>
        <w:t>照</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谁审批、谁负责</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的</w:t>
      </w:r>
      <w:r>
        <w:rPr>
          <w:rFonts w:ascii="Times New Roman" w:hAnsi="Times New Roman" w:eastAsia="方正仿宋_GBK" w:cs="Times New Roman"/>
          <w:sz w:val="32"/>
          <w:szCs w:val="32"/>
        </w:rPr>
        <w:t>原则，依照相关法律法规规定严肃追责。具体使用补助资金的单位、组织或个人存在骗取、截留、挪用等行为的，由财政部门或主管部门追回补助资金，并视情节移送纪检监察机关处理；涉嫌犯罪的，移送司法机关依法追究刑事责任。</w:t>
      </w:r>
    </w:p>
    <w:p w14:paraId="64F0B2FC">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390406AB">
      <w:pPr>
        <w:keepNext w:val="0"/>
        <w:keepLines w:val="0"/>
        <w:pageBreakBefore w:val="0"/>
        <w:widowControl w:val="0"/>
        <w:kinsoku/>
        <w:wordWrap/>
        <w:overflowPunct/>
        <w:topLinePunct w:val="0"/>
        <w:autoSpaceDE/>
        <w:autoSpaceDN/>
        <w:bidi w:val="0"/>
        <w:spacing w:line="540" w:lineRule="exact"/>
        <w:ind w:right="0"/>
        <w:jc w:val="center"/>
        <w:textAlignment w:val="auto"/>
        <w:rPr>
          <w:rFonts w:ascii="Times New Roman" w:hAnsi="Times New Roman" w:eastAsia="方正黑体_GBK" w:cs="Times New Roman"/>
          <w:color w:val="000000"/>
          <w:kern w:val="0"/>
          <w:sz w:val="32"/>
          <w:szCs w:val="32"/>
        </w:rPr>
      </w:pPr>
      <w:r>
        <w:rPr>
          <w:rFonts w:ascii="Times New Roman" w:hAnsi="Times New Roman" w:eastAsia="方正黑体_GBK" w:cs="Times New Roman"/>
          <w:color w:val="000000"/>
          <w:kern w:val="0"/>
          <w:sz w:val="32"/>
          <w:szCs w:val="32"/>
        </w:rPr>
        <w:t>第六章</w:t>
      </w:r>
      <w:r>
        <w:rPr>
          <w:rFonts w:hint="eastAsia" w:ascii="Times New Roman" w:hAnsi="Times New Roman" w:eastAsia="方正黑体_GBK" w:cs="Times New Roman"/>
          <w:color w:val="000000"/>
          <w:kern w:val="0"/>
          <w:sz w:val="32"/>
          <w:szCs w:val="32"/>
        </w:rPr>
        <w:t xml:space="preserve"> </w:t>
      </w:r>
      <w:r>
        <w:rPr>
          <w:rFonts w:hint="eastAsia" w:ascii="Times New Roman" w:hAnsi="Times New Roman" w:eastAsia="方正黑体_GBK" w:cs="Times New Roman"/>
          <w:color w:val="000000"/>
          <w:kern w:val="0"/>
          <w:sz w:val="32"/>
          <w:szCs w:val="32"/>
          <w:lang w:val="en-US" w:eastAsia="zh-CN"/>
        </w:rPr>
        <w:t xml:space="preserve"> </w:t>
      </w:r>
      <w:r>
        <w:rPr>
          <w:rFonts w:ascii="Times New Roman" w:hAnsi="Times New Roman" w:eastAsia="方正黑体_GBK" w:cs="Times New Roman"/>
          <w:color w:val="000000"/>
          <w:kern w:val="0"/>
          <w:sz w:val="32"/>
          <w:szCs w:val="32"/>
        </w:rPr>
        <w:t>附</w:t>
      </w:r>
      <w:r>
        <w:rPr>
          <w:rFonts w:hint="eastAsia" w:ascii="Times New Roman" w:hAnsi="Times New Roman" w:eastAsia="方正黑体_GBK" w:cs="Times New Roman"/>
          <w:color w:val="000000"/>
          <w:kern w:val="0"/>
          <w:sz w:val="32"/>
          <w:szCs w:val="32"/>
        </w:rPr>
        <w:t xml:space="preserve">  </w:t>
      </w:r>
      <w:r>
        <w:rPr>
          <w:rFonts w:ascii="Times New Roman" w:hAnsi="Times New Roman" w:eastAsia="方正黑体_GBK" w:cs="Times New Roman"/>
          <w:color w:val="000000"/>
          <w:kern w:val="0"/>
          <w:sz w:val="32"/>
          <w:szCs w:val="32"/>
        </w:rPr>
        <w:t>则</w:t>
      </w:r>
    </w:p>
    <w:p w14:paraId="29610858">
      <w:pPr>
        <w:keepNext w:val="0"/>
        <w:keepLines w:val="0"/>
        <w:pageBreakBefore w:val="0"/>
        <w:widowControl w:val="0"/>
        <w:kinsoku/>
        <w:wordWrap/>
        <w:overflowPunct/>
        <w:topLinePunct w:val="0"/>
        <w:autoSpaceDE/>
        <w:autoSpaceDN/>
        <w:bidi w:val="0"/>
        <w:spacing w:line="540" w:lineRule="exact"/>
        <w:ind w:right="0"/>
        <w:textAlignment w:val="auto"/>
        <w:rPr>
          <w:rFonts w:ascii="Times New Roman" w:hAnsi="Times New Roman" w:eastAsia="方正仿宋_GBK" w:cs="Times New Roman"/>
          <w:sz w:val="32"/>
          <w:szCs w:val="32"/>
        </w:rPr>
      </w:pPr>
    </w:p>
    <w:p w14:paraId="71A27F49">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cs="Times New Roman"/>
          <w:kern w:val="0"/>
          <w:sz w:val="32"/>
          <w:szCs w:val="32"/>
        </w:rPr>
      </w:pPr>
      <w:r>
        <w:rPr>
          <w:rFonts w:hint="eastAsia" w:ascii="Times New Roman" w:hAnsi="Times New Roman" w:eastAsia="方正黑体_GBK" w:cs="Times New Roman"/>
          <w:bCs/>
          <w:color w:val="auto"/>
          <w:kern w:val="2"/>
          <w:sz w:val="32"/>
          <w:szCs w:val="32"/>
          <w:lang w:val="en-US" w:eastAsia="zh-CN" w:bidi="ar-SA"/>
        </w:rPr>
        <w:t xml:space="preserve">第二十八条 </w:t>
      </w:r>
      <w:r>
        <w:rPr>
          <w:rFonts w:ascii="Times New Roman" w:hAnsi="Times New Roman" w:eastAsia="方正仿宋_GBK" w:cs="Times New Roman"/>
          <w:color w:val="000000"/>
          <w:kern w:val="2"/>
          <w:sz w:val="32"/>
          <w:szCs w:val="32"/>
          <w:lang w:val="en-US" w:eastAsia="zh-CN" w:bidi="ar-SA"/>
        </w:rPr>
        <w:t xml:space="preserve"> 本办法自印发之日起施行</w:t>
      </w:r>
      <w:r>
        <w:rPr>
          <w:rFonts w:hint="eastAsia" w:ascii="Times New Roman" w:hAnsi="Times New Roman" w:eastAsia="方正仿宋_GBK" w:cs="Times New Roman"/>
          <w:color w:val="000000"/>
          <w:kern w:val="2"/>
          <w:sz w:val="32"/>
          <w:szCs w:val="32"/>
          <w:lang w:val="en-US" w:eastAsia="zh-CN" w:bidi="ar-SA"/>
        </w:rPr>
        <w:t>，《重庆市九龙坡区人民政府办公室关于印发〈重庆市九龙坡区废弃农膜回收利用管理办法（试行）〉的通知》（九龙坡府办发〔2024〕33号）同时废止</w:t>
      </w:r>
      <w:r>
        <w:rPr>
          <w:rFonts w:ascii="Times New Roman" w:hAnsi="Times New Roman" w:eastAsia="方正仿宋_GBK" w:cs="Times New Roman"/>
          <w:kern w:val="0"/>
          <w:sz w:val="32"/>
          <w:szCs w:val="32"/>
        </w:rPr>
        <w:t>。</w:t>
      </w:r>
    </w:p>
    <w:p w14:paraId="0F5B0AE8">
      <w:pPr>
        <w:adjustRightInd w:val="0"/>
        <w:snapToGrid w:val="0"/>
        <w:spacing w:line="540" w:lineRule="exact"/>
        <w:rPr>
          <w:rFonts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FCAB">
    <w:pPr>
      <w:pStyle w:val="10"/>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899A">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5C899A">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0BFA9BBA">
    <w:pPr>
      <w:pStyle w:val="10"/>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74C7699E">
    <w:pPr>
      <w:pStyle w:val="10"/>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F0D1">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189617DD">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3ED78D51">
    <w:pPr>
      <w:pStyle w:val="10"/>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3"/>
      <w:suff w:val="space"/>
      <w:lvlText w:val="%1"/>
      <w:lvlJc w:val="left"/>
      <w:pPr>
        <w:ind w:left="0" w:firstLine="0"/>
      </w:pPr>
      <w:rPr>
        <w:rFonts w:hint="default" w:ascii="Times New Roman" w:hAnsi="Times New Roman"/>
        <w:b/>
        <w:i w:val="0"/>
        <w:sz w:val="30"/>
        <w:szCs w:val="24"/>
      </w:rPr>
    </w:lvl>
    <w:lvl w:ilvl="1" w:tentative="0">
      <w:start w:val="1"/>
      <w:numFmt w:val="decimal"/>
      <w:pStyle w:val="4"/>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123E99"/>
    <w:rsid w:val="00172A27"/>
    <w:rsid w:val="001F71B5"/>
    <w:rsid w:val="00205228"/>
    <w:rsid w:val="002F4FD9"/>
    <w:rsid w:val="0031576A"/>
    <w:rsid w:val="00384BBB"/>
    <w:rsid w:val="003A299F"/>
    <w:rsid w:val="003A363F"/>
    <w:rsid w:val="003F7AAE"/>
    <w:rsid w:val="00466F55"/>
    <w:rsid w:val="004B1B6A"/>
    <w:rsid w:val="0060255B"/>
    <w:rsid w:val="00607CBE"/>
    <w:rsid w:val="00663465"/>
    <w:rsid w:val="00735356"/>
    <w:rsid w:val="007F76DC"/>
    <w:rsid w:val="00841229"/>
    <w:rsid w:val="008B3780"/>
    <w:rsid w:val="008C69E7"/>
    <w:rsid w:val="009F3B12"/>
    <w:rsid w:val="00A5243D"/>
    <w:rsid w:val="00AB7B73"/>
    <w:rsid w:val="00AC1060"/>
    <w:rsid w:val="00B2314E"/>
    <w:rsid w:val="00B96A53"/>
    <w:rsid w:val="00CD2D66"/>
    <w:rsid w:val="00CF4091"/>
    <w:rsid w:val="00D11229"/>
    <w:rsid w:val="00D11AF5"/>
    <w:rsid w:val="00D777B2"/>
    <w:rsid w:val="00DF3CFE"/>
    <w:rsid w:val="00E21B56"/>
    <w:rsid w:val="00F01C17"/>
    <w:rsid w:val="00F3025C"/>
    <w:rsid w:val="00F46DAB"/>
    <w:rsid w:val="00F57DF9"/>
    <w:rsid w:val="00FE039B"/>
    <w:rsid w:val="00FE2915"/>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004F7B"/>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jc w:val="left"/>
      <w:outlineLvl w:val="0"/>
    </w:pPr>
    <w:rPr>
      <w:rFonts w:eastAsia="黑体"/>
      <w:b/>
      <w:bCs/>
      <w:szCs w:val="32"/>
    </w:rPr>
  </w:style>
  <w:style w:type="paragraph" w:styleId="4">
    <w:name w:val="heading 2"/>
    <w:basedOn w:val="1"/>
    <w:next w:val="1"/>
    <w:qFormat/>
    <w:uiPriority w:val="0"/>
    <w:pPr>
      <w:numPr>
        <w:ilvl w:val="1"/>
        <w:numId w:val="1"/>
      </w:numPr>
      <w:jc w:val="left"/>
      <w:outlineLvl w:val="1"/>
    </w:pPr>
    <w:rPr>
      <w:b/>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eastAsia="新宋体"/>
      <w:szCs w:val="20"/>
    </w:rPr>
  </w:style>
  <w:style w:type="paragraph" w:styleId="6">
    <w:name w:val="annotation text"/>
    <w:basedOn w:val="1"/>
    <w:qFormat/>
    <w:uiPriority w:val="0"/>
    <w:pPr>
      <w:jc w:val="left"/>
    </w:pPr>
  </w:style>
  <w:style w:type="paragraph" w:styleId="7">
    <w:name w:val="Date"/>
    <w:basedOn w:val="1"/>
    <w:next w:val="1"/>
    <w:link w:val="25"/>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qFormat/>
    <w:uiPriority w:val="0"/>
    <w:rPr>
      <w:rFonts w:eastAsia="宋体"/>
      <w:sz w:val="18"/>
    </w:rPr>
  </w:style>
  <w:style w:type="character" w:styleId="17">
    <w:name w:val="Hyperlink"/>
    <w:qFormat/>
    <w:uiPriority w:val="0"/>
    <w:rPr>
      <w:rFonts w:ascii="Calibri" w:hAnsi="Calibri" w:eastAsia="宋体" w:cs="Times New Roman"/>
      <w:color w:val="0563C1"/>
      <w:u w:val="single"/>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20">
    <w:name w:val="@号"/>
    <w:link w:val="21"/>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1">
    <w:name w:val="@号 Char"/>
    <w:basedOn w:val="14"/>
    <w:link w:val="20"/>
    <w:qFormat/>
    <w:uiPriority w:val="0"/>
    <w:rPr>
      <w:rFonts w:eastAsia="方正仿宋_GBK"/>
      <w:kern w:val="2"/>
      <w:sz w:val="32"/>
      <w:szCs w:val="32"/>
    </w:rPr>
  </w:style>
  <w:style w:type="paragraph" w:customStyle="1" w:styleId="22">
    <w:name w:val="@落款"/>
    <w:link w:val="23"/>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3">
    <w:name w:val="@落款 Char"/>
    <w:basedOn w:val="14"/>
    <w:link w:val="22"/>
    <w:qFormat/>
    <w:uiPriority w:val="0"/>
    <w:rPr>
      <w:rFonts w:eastAsia="方正仿宋_GBK" w:cs="方正仿宋_GBK"/>
      <w:sz w:val="32"/>
      <w:szCs w:val="32"/>
    </w:rPr>
  </w:style>
  <w:style w:type="character" w:customStyle="1" w:styleId="24">
    <w:name w:val="页脚 Char"/>
    <w:link w:val="9"/>
    <w:qFormat/>
    <w:uiPriority w:val="0"/>
    <w:rPr>
      <w:rFonts w:asciiTheme="minorHAnsi" w:hAnsiTheme="minorHAnsi" w:eastAsiaTheme="minorEastAsia" w:cstheme="minorBidi"/>
      <w:kern w:val="2"/>
      <w:sz w:val="18"/>
      <w:szCs w:val="24"/>
    </w:rPr>
  </w:style>
  <w:style w:type="character" w:customStyle="1" w:styleId="25">
    <w:name w:val="日期 Char"/>
    <w:basedOn w:val="14"/>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79aec02d-5876-4ad6-9bff-e89e5248f093</errorID>
      <errorWord>(</errorWord>
      <group>L1_Format</group>
      <groupName>格式问题</groupName>
      <ability>L2_HalfPunc</ability>
      <abilityName>全半角检查</abilityName>
      <candidateList>
        <item>（</item>
      </candidateList>
      <explain>文本全半角错误。</explain>
      <paraID> C01011D</paraID>
      <start>0</start>
      <end>1</end>
      <status>modified</status>
      <modifiedWord>（</modifiedWord>
      <trackRevisions>false</trackRevisions>
    </reviewItem>
    <reviewItem>
      <errorID>4efa0cf1-ba50-4abc-9ea9-3988f4e87b25</errorID>
      <errorWord>)</errorWord>
      <group>L1_Format</group>
      <groupName>格式问题</groupName>
      <ability>L2_HalfPunc</ability>
      <abilityName>全半角检查</abilityName>
      <candidateList>
        <item>）</item>
      </candidateList>
      <explain>文本全半角错误。</explain>
      <paraID> C01011D</paraID>
      <start>7</start>
      <end>8</end>
      <status>modified</status>
      <modifiedWord>）</modifiedWord>
      <trackRevisions>false</trackRevisions>
    </reviewItem>
    <reviewItem>
      <errorID>15e9e169-49a9-4cf5-bd19-a94bcfaad328</errorID>
      <errorWord>、</errorWord>
      <group>L1_AI</group>
      <groupName>深度校对</groupName>
      <ability>L2_AI_Punc</ability>
      <abilityName>标点纠错</abilityName>
      <candidateList>
        <item/>
      </candidateList>
      <explain/>
      <paraID>58F819A1</paraID>
      <start>46</start>
      <end>47</end>
      <status>ignored</status>
      <modifiedWord/>
      <trackRevisions>false</trackRevisions>
    </reviewItem>
    <reviewItem>
      <errorID>87c846c0-0084-4c9e-b779-45b843d0197a</errorID>
      <errorWord>账务</errorWord>
      <group>L1_Word</group>
      <groupName>字词问题</groupName>
      <ability>L2_Typo</ability>
      <abilityName>字词错误</abilityName>
      <candidateList>
        <item>财务</item>
      </candidateList>
      <explain/>
      <paraID>7791FFB3</paraID>
      <start>6</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9dfe3-6612-486f-a8fd-eb0cf4c51e77}">
  <ds:schemaRefs/>
</ds:datastoreItem>
</file>

<file path=docProps/app.xml><?xml version="1.0" encoding="utf-8"?>
<Properties xmlns="http://schemas.openxmlformats.org/officeDocument/2006/extended-properties" xmlns:vt="http://schemas.openxmlformats.org/officeDocument/2006/docPropsVTypes">
  <Template>Normal</Template>
  <Pages>8</Pages>
  <Words>2962</Words>
  <Characters>2980</Characters>
  <Lines>21</Lines>
  <Paragraphs>6</Paragraphs>
  <TotalTime>3</TotalTime>
  <ScaleCrop>false</ScaleCrop>
  <LinksUpToDate>false</LinksUpToDate>
  <CharactersWithSpaces>3088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2024-04-16T09:26:00Z</cp:lastPrinted>
  <dcterms:modified xsi:type="dcterms:W3CDTF">2025-12-30T03:02:04Z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eyJoZGlkIjoiMGVlMGZhMjM2YmIyYzQ2NGQ1Y2ViYjdkMTk1NTk1OGQiLCJ1c2VySWQiOiI2NDQ1MTQ4NDAifQ==</vt:lpwstr>
  </property>
</Properties>
</file>