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val="0"/>
        <w:jc w:val="center"/>
        <w:textAlignment w:val="auto"/>
        <w:rPr>
          <w:szCs w:val="32"/>
        </w:rPr>
      </w:pPr>
      <w:r>
        <w:rPr>
          <w:rFonts w:ascii="方正小标宋_GBK" w:hAnsi="方正小标宋_GBK" w:eastAsia="方正小标宋_GBK" w:cs="方正小标宋_GBK"/>
          <w:b w:val="0"/>
          <w:bCs w:val="0"/>
          <w:sz w:val="44"/>
          <w:szCs w:val="44"/>
        </w:rPr>
        <w:t>重庆市九龙坡区黄桷坪街道社区事务服务中心</w:t>
      </w:r>
      <w:r>
        <w:rPr>
          <w:rFonts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ascii="方正小标宋_GBK" w:hAnsi="方正小标宋_GBK" w:eastAsia="方正小标宋_GBK" w:cs="方正小标宋_GBK"/>
          <w:b w:val="0"/>
          <w:bCs w:val="0"/>
          <w:sz w:val="44"/>
          <w:szCs w:val="44"/>
          <w:shd w:val="clear" w:color="auto" w:fill="FFFFFF"/>
        </w:rPr>
        <w:t>年度决算公开说明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一、部门基本情况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cs="宋体"/>
          <w:kern w:val="0"/>
          <w:sz w:val="32"/>
          <w:szCs w:val="32"/>
        </w:rPr>
      </w:pPr>
      <w:r>
        <w:rPr>
          <w:rFonts w:hint="default" w:ascii="Times New Roman" w:hAnsi="Times New Roman" w:eastAsia="方正仿宋_GBK" w:cs="Times New Roman"/>
          <w:b w:val="0"/>
          <w:bCs w:val="0"/>
          <w:sz w:val="32"/>
          <w:szCs w:val="32"/>
        </w:rPr>
        <w:t>组织开展社区志愿者服务工作，做好社区残疾人、空巢老人、孤儿、流动儿童等群体的服务工作，逐步规范社区福利行业服务行为；加强社区捐助站点建设管理，推进社区救助、慈善和福利工作，开展扶贫济困活动；加强社区服务队伍建设，承办辖区内社区服务从业人员和社区志愿者的日常管理和培训工作；开展社区服务需求调查，开发利用社区资源，鼓励兴办社区福利服务项目；为辖区新经济组织、社会组织、中介组织和企业提供服务；指导社区市民学校开展活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（二）机构设置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b w:val="0"/>
          <w:bCs w:val="0"/>
          <w:sz w:val="32"/>
          <w:szCs w:val="32"/>
        </w:rPr>
        <w:t>“重庆市九龙坡区黄桷坪街道社区事务服务中心”为正科级公益一类事业单位。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二、单位决算收支情况说明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0" w:firstLineChars="196"/>
        <w:jc w:val="left"/>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度收入总计70.09万元，支出总计</w:t>
      </w:r>
      <w:r>
        <w:rPr>
          <w:rFonts w:ascii="方正仿宋_GBK" w:hAnsi="方正仿宋_GBK" w:eastAsia="方正仿宋_GBK" w:cs="方正仿宋_GBK"/>
          <w:sz w:val="32"/>
          <w:szCs w:val="32"/>
        </w:rPr>
        <w:t>70.09</w:t>
      </w:r>
      <w:r>
        <w:rPr>
          <w:rFonts w:ascii="方正仿宋_GBK" w:hAnsi="方正仿宋_GBK" w:eastAsia="方正仿宋_GBK" w:cs="方正仿宋_GBK"/>
          <w:sz w:val="32"/>
          <w:szCs w:val="32"/>
          <w:shd w:val="clear" w:color="auto" w:fill="FFFFFF"/>
        </w:rPr>
        <w:t>万元。收、支与2023年度相比，增加6.89万元，增长10.9%，主要原因是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政策性调整等。</w:t>
      </w:r>
    </w:p>
    <w:p>
      <w:pPr>
        <w:pStyle w:val="8"/>
        <w:keepNext w:val="0"/>
        <w:keepLines w:val="0"/>
        <w:pageBreakBefore w:val="0"/>
        <w:widowControl w:val="0"/>
        <w:kinsoku/>
        <w:wordWrap/>
        <w:overflowPunct/>
        <w:topLinePunct w:val="0"/>
        <w:autoSpaceDE/>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度收入合计70.09万元，与2023年度相比，增加6.89万元，增长10.9%，主要原因是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w:t>
      </w:r>
      <w:r>
        <w:rPr>
          <w:rFonts w:hint="eastAsia" w:ascii="Times New Roman" w:hAnsi="Times New Roman" w:eastAsia="方正仿宋_GBK" w:cs="Times New Roman"/>
          <w:b w:val="0"/>
          <w:bCs w:val="0"/>
          <w:sz w:val="32"/>
          <w:szCs w:val="32"/>
        </w:rPr>
        <w:t>金预算</w:t>
      </w:r>
      <w:r>
        <w:rPr>
          <w:rFonts w:hint="eastAsia" w:ascii="Times New Roman" w:hAnsi="Times New Roman" w:eastAsia="方正仿宋_GBK" w:cs="Times New Roman"/>
          <w:b w:val="0"/>
          <w:bCs w:val="0"/>
          <w:sz w:val="32"/>
          <w:szCs w:val="32"/>
          <w:lang w:val="en-US" w:eastAsia="zh-CN"/>
        </w:rPr>
        <w:t>政策性调整</w:t>
      </w:r>
      <w:r>
        <w:rPr>
          <w:rFonts w:hint="default" w:ascii="Times New Roman" w:hAnsi="Times New Roman" w:eastAsia="方正仿宋_GBK" w:cs="Times New Roman"/>
          <w:b w:val="0"/>
          <w:bCs w:val="0"/>
          <w:sz w:val="32"/>
          <w:szCs w:val="32"/>
        </w:rPr>
        <w:t>。其中：财政拨款收入70.09万元，占100.00%。</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70.09</w:t>
      </w:r>
      <w:r>
        <w:rPr>
          <w:rFonts w:ascii="方正仿宋_GBK" w:hAnsi="方正仿宋_GBK" w:eastAsia="方正仿宋_GBK" w:cs="方正仿宋_GBK"/>
          <w:sz w:val="32"/>
          <w:szCs w:val="32"/>
          <w:shd w:val="clear" w:color="auto" w:fill="FFFFFF"/>
        </w:rPr>
        <w:t>万元，与2023年度相比，增加6.89万元，增长10.9%，主要原因是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w:t>
      </w:r>
      <w:r>
        <w:rPr>
          <w:rFonts w:hint="eastAsia" w:ascii="Times New Roman" w:hAnsi="Times New Roman" w:eastAsia="方正仿宋_GBK" w:cs="Times New Roman"/>
          <w:b w:val="0"/>
          <w:bCs w:val="0"/>
          <w:sz w:val="32"/>
          <w:szCs w:val="32"/>
          <w:lang w:val="en-US" w:eastAsia="zh-CN"/>
        </w:rPr>
        <w:t>调整</w:t>
      </w:r>
      <w:r>
        <w:rPr>
          <w:rFonts w:hint="default" w:ascii="Times New Roman" w:hAnsi="Times New Roman" w:eastAsia="方正仿宋_GBK" w:cs="Times New Roman"/>
          <w:b w:val="0"/>
          <w:bCs w:val="0"/>
          <w:sz w:val="32"/>
          <w:szCs w:val="32"/>
        </w:rPr>
        <w:t>。其中：</w:t>
      </w:r>
      <w:r>
        <w:rPr>
          <w:rFonts w:ascii="方正仿宋_GBK" w:hAnsi="方正仿宋_GBK" w:eastAsia="方正仿宋_GBK" w:cs="方正仿宋_GBK"/>
          <w:sz w:val="32"/>
          <w:szCs w:val="32"/>
          <w:shd w:val="clear" w:color="auto" w:fill="FFFFFF"/>
        </w:rPr>
        <w:t>基本支出</w:t>
      </w:r>
      <w:r>
        <w:rPr>
          <w:rFonts w:ascii="方正仿宋_GBK" w:hAnsi="方正仿宋_GBK" w:eastAsia="方正仿宋_GBK" w:cs="方正仿宋_GBK"/>
          <w:sz w:val="32"/>
          <w:szCs w:val="32"/>
        </w:rPr>
        <w:t>70.09</w:t>
      </w:r>
      <w:r>
        <w:rPr>
          <w:rFonts w:ascii="方正仿宋_GBK" w:hAnsi="方正仿宋_GBK" w:eastAsia="方正仿宋_GBK" w:cs="方正仿宋_GBK"/>
          <w:sz w:val="32"/>
          <w:szCs w:val="32"/>
          <w:shd w:val="clear" w:color="auto" w:fill="FFFFFF"/>
        </w:rPr>
        <w:t>万元，占100.00%。</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3" w:firstLineChars="200"/>
        <w:textAlignment w:val="auto"/>
        <w:rPr>
          <w:rFonts w:hint="default" w:ascii="Times New Roman" w:hAnsi="Times New Roman" w:eastAsia="方正仿宋_GBK" w:cs="Times New Roman"/>
          <w:b w:val="0"/>
          <w:bCs w:val="0"/>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w:t>
      </w:r>
      <w:r>
        <w:rPr>
          <w:rFonts w:hint="default" w:ascii="Times New Roman" w:hAnsi="Times New Roman" w:eastAsia="方正仿宋_GBK" w:cs="Times New Roman"/>
          <w:b w:val="0"/>
          <w:bCs w:val="0"/>
          <w:sz w:val="32"/>
          <w:szCs w:val="32"/>
        </w:rPr>
        <w:t>减。</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度财政拨款收、支总计70.09万元。与202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年相比，财政拨款收、支总计各增加6.89万元，增长10.9%。主要原因是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政策性调整</w:t>
      </w:r>
      <w:r>
        <w:rPr>
          <w:rFonts w:hint="eastAsia" w:ascii="Times New Roman" w:hAnsi="Times New Roman" w:eastAsia="方正仿宋_GBK" w:cs="Times New Roman"/>
          <w:b w:val="0"/>
          <w:bCs w:val="0"/>
          <w:sz w:val="32"/>
          <w:szCs w:val="32"/>
          <w:lang w:val="en-US" w:eastAsia="zh-CN" w:bidi="ar-SA"/>
        </w:rPr>
        <w:t>等。</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70.09</w:t>
      </w:r>
      <w:r>
        <w:rPr>
          <w:rFonts w:ascii="方正仿宋_GBK" w:hAnsi="方正仿宋_GBK" w:eastAsia="方正仿宋_GBK" w:cs="方正仿宋_GBK"/>
          <w:sz w:val="32"/>
          <w:szCs w:val="32"/>
          <w:shd w:val="clear" w:color="auto" w:fill="FFFFFF"/>
        </w:rPr>
        <w:t>万元，与2023年度相比，增加6.89万元，增长10.9%。主要原因是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政策性调整等</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较年初预算数增加2.97万元，增长4.4%。主要原因是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政策性调整</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70.09</w:t>
      </w:r>
      <w:r>
        <w:rPr>
          <w:rFonts w:ascii="方正仿宋_GBK" w:hAnsi="方正仿宋_GBK" w:eastAsia="方正仿宋_GBK" w:cs="方正仿宋_GBK"/>
          <w:sz w:val="32"/>
          <w:szCs w:val="32"/>
          <w:shd w:val="clear" w:color="auto" w:fill="FFFFFF"/>
        </w:rPr>
        <w:t>万元，与2023年度相比，增加6.89万元，增长10.9%。主要原因是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政策性调整等</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较年初预算数增加2.97万元，增长4.4%。主要原因是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政策性调整</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FF0000"/>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88.56</w:t>
      </w:r>
      <w:r>
        <w:rPr>
          <w:rFonts w:ascii="方正仿宋_GBK" w:hAnsi="方正仿宋_GBK" w:eastAsia="方正仿宋_GBK" w:cs="方正仿宋_GBK"/>
          <w:sz w:val="32"/>
          <w:szCs w:val="32"/>
          <w:shd w:val="clear" w:color="auto" w:fill="FFFFFF"/>
        </w:rPr>
        <w:t>%，较年初预算数增加2.97万元，增长5.0%，主要原因是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w:t>
      </w:r>
      <w:r>
        <w:rPr>
          <w:rFonts w:hint="eastAsia" w:ascii="方正仿宋_GBK" w:hAnsi="方正仿宋_GBK" w:eastAsia="方正仿宋_GBK" w:cs="方正仿宋_GBK"/>
          <w:color w:val="auto"/>
          <w:sz w:val="32"/>
          <w:szCs w:val="32"/>
          <w:shd w:val="clear" w:color="auto" w:fill="FFFFFF"/>
          <w:lang w:val="en-US" w:eastAsia="zh-CN"/>
        </w:rPr>
        <w:t>整</w:t>
      </w:r>
      <w:r>
        <w:rPr>
          <w:rFonts w:ascii="方正仿宋_GBK" w:hAnsi="方正仿宋_GBK" w:eastAsia="方正仿宋_GBK" w:cs="方正仿宋_GBK"/>
          <w:color w:val="auto"/>
          <w:sz w:val="32"/>
          <w:szCs w:val="32"/>
          <w:shd w:val="clear" w:color="auto" w:fill="FFFFFF"/>
        </w:rPr>
        <w:t>。</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%，较年初预算数无增</w:t>
      </w:r>
      <w:r>
        <w:rPr>
          <w:rFonts w:hint="default" w:ascii="Times New Roman" w:hAnsi="Times New Roman" w:eastAsia="方正仿宋_GBK" w:cs="Times New Roman"/>
          <w:b w:val="0"/>
          <w:bCs w:val="0"/>
          <w:sz w:val="32"/>
          <w:szCs w:val="32"/>
        </w:rPr>
        <w:t>减。</w:t>
      </w:r>
    </w:p>
    <w:p>
      <w:pPr>
        <w:keepNext w:val="0"/>
        <w:keepLines w:val="0"/>
        <w:pageBreakBefore w:val="0"/>
        <w:widowControl w:val="0"/>
        <w:kinsoku/>
        <w:wordWrap/>
        <w:overflowPunct/>
        <w:topLinePunct w:val="0"/>
        <w:autoSpaceDN/>
        <w:bidi w:val="0"/>
        <w:ind w:firstLine="640" w:firstLineChars="200"/>
        <w:textAlignment w:val="auto"/>
        <w:rPr>
          <w:rFonts w:hint="default" w:ascii="Times New Roman" w:hAnsi="Times New Roman" w:eastAsia="方正仿宋_GBK" w:cs="Times New Roman"/>
          <w:b w:val="0"/>
          <w:bCs w:val="0"/>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7.61</w:t>
      </w:r>
      <w:r>
        <w:rPr>
          <w:rFonts w:ascii="方正仿宋_GBK" w:hAnsi="方正仿宋_GBK" w:eastAsia="方正仿宋_GBK" w:cs="方正仿宋_GBK"/>
          <w:sz w:val="32"/>
          <w:szCs w:val="32"/>
          <w:shd w:val="clear" w:color="auto" w:fill="FFFFFF"/>
        </w:rPr>
        <w:t>%，较年初预算数无</w:t>
      </w:r>
      <w:r>
        <w:rPr>
          <w:rFonts w:hint="default" w:ascii="Times New Roman" w:hAnsi="Times New Roman" w:eastAsia="方正仿宋_GBK" w:cs="Times New Roman"/>
          <w:b w:val="0"/>
          <w:bCs w:val="0"/>
          <w:sz w:val="32"/>
          <w:szCs w:val="32"/>
          <w:lang w:val="en-US" w:eastAsia="zh-CN" w:bidi="ar-SA"/>
        </w:rPr>
        <w:t>增减。</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70.09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57.07</w:t>
      </w:r>
      <w:r>
        <w:rPr>
          <w:rFonts w:ascii="方正仿宋_GBK" w:hAnsi="方正仿宋_GBK" w:eastAsia="方正仿宋_GBK" w:cs="方正仿宋_GBK"/>
          <w:sz w:val="32"/>
          <w:szCs w:val="32"/>
          <w:shd w:val="clear" w:color="auto" w:fill="FFFFFF"/>
        </w:rPr>
        <w:t>万元，与2023年度相比，增加7.98万元，增长16.3%，主要原因是</w:t>
      </w:r>
      <w:r>
        <w:rPr>
          <w:rFonts w:hint="eastAsia" w:ascii="方正仿宋_GBK" w:hAnsi="方正仿宋_GBK" w:eastAsia="方正仿宋_GBK" w:cs="方正仿宋_GBK"/>
          <w:sz w:val="32"/>
          <w:szCs w:val="32"/>
          <w:shd w:val="clear" w:color="auto" w:fill="FFFFFF"/>
        </w:rPr>
        <w:t>在职人员</w:t>
      </w:r>
      <w:r>
        <w:rPr>
          <w:rFonts w:hint="eastAsia" w:ascii="方正仿宋_GBK" w:hAnsi="方正仿宋_GBK" w:eastAsia="方正仿宋_GBK" w:cs="方正仿宋_GBK"/>
          <w:sz w:val="32"/>
          <w:szCs w:val="32"/>
          <w:shd w:val="clear" w:color="auto" w:fill="FFFFFF"/>
          <w:lang w:val="en-US" w:eastAsia="zh-CN"/>
        </w:rPr>
        <w:t>工资、</w:t>
      </w:r>
      <w:r>
        <w:rPr>
          <w:rFonts w:hint="eastAsia" w:ascii="方正仿宋_GBK" w:hAnsi="方正仿宋_GBK" w:eastAsia="方正仿宋_GBK" w:cs="方正仿宋_GBK"/>
          <w:sz w:val="32"/>
          <w:szCs w:val="32"/>
          <w:shd w:val="clear" w:color="auto" w:fill="FFFFFF"/>
        </w:rPr>
        <w:t>养老保险和职业年金预算</w:t>
      </w:r>
      <w:r>
        <w:rPr>
          <w:rFonts w:hint="eastAsia" w:ascii="方正仿宋_GBK" w:hAnsi="方正仿宋_GBK" w:eastAsia="方正仿宋_GBK" w:cs="方正仿宋_GBK"/>
          <w:sz w:val="32"/>
          <w:szCs w:val="32"/>
          <w:shd w:val="clear" w:color="auto" w:fill="FFFFFF"/>
          <w:lang w:val="en-US" w:eastAsia="zh-CN"/>
        </w:rPr>
        <w:t>政策性调</w:t>
      </w:r>
      <w:r>
        <w:rPr>
          <w:rFonts w:hint="eastAsia" w:ascii="Times New Roman" w:hAnsi="Times New Roman" w:eastAsia="方正仿宋_GBK" w:cs="Times New Roman"/>
          <w:b w:val="0"/>
          <w:bCs w:val="0"/>
          <w:sz w:val="32"/>
          <w:szCs w:val="32"/>
          <w:lang w:val="en-US" w:eastAsia="zh-CN"/>
        </w:rPr>
        <w:t>整等</w:t>
      </w:r>
      <w:r>
        <w:rPr>
          <w:rFonts w:hint="default" w:ascii="Times New Roman" w:hAnsi="Times New Roman" w:eastAsia="方正仿宋_GBK" w:cs="Times New Roman"/>
          <w:b w:val="0"/>
          <w:bCs w:val="0"/>
          <w:sz w:val="32"/>
          <w:szCs w:val="32"/>
        </w:rPr>
        <w:t>。人员经</w:t>
      </w:r>
      <w:r>
        <w:rPr>
          <w:rFonts w:ascii="方正仿宋_GBK" w:hAnsi="方正仿宋_GBK" w:eastAsia="方正仿宋_GBK" w:cs="方正仿宋_GBK"/>
          <w:sz w:val="32"/>
          <w:szCs w:val="32"/>
          <w:shd w:val="clear" w:color="auto" w:fill="FFFFFF"/>
        </w:rPr>
        <w:t>费用途主要包括</w:t>
      </w:r>
      <w:r>
        <w:rPr>
          <w:rFonts w:hint="eastAsia" w:ascii="方正仿宋_GBK" w:hAnsi="方正仿宋_GBK" w:eastAsia="方正仿宋_GBK" w:cs="方正仿宋_GBK"/>
          <w:b w:val="0"/>
          <w:bCs w:val="0"/>
          <w:color w:val="auto"/>
          <w:kern w:val="0"/>
          <w:sz w:val="32"/>
          <w:szCs w:val="32"/>
          <w:shd w:val="clear" w:color="auto" w:fill="FFFFFF"/>
        </w:rPr>
        <w:t>基本工资、津贴补贴、</w:t>
      </w:r>
      <w:r>
        <w:rPr>
          <w:rFonts w:hint="eastAsia" w:ascii="Times New Roman" w:hAnsi="Times New Roman" w:eastAsia="方正仿宋_GBK" w:cs="Times New Roman"/>
          <w:b w:val="0"/>
          <w:bCs w:val="0"/>
          <w:sz w:val="32"/>
          <w:szCs w:val="32"/>
        </w:rPr>
        <w:t>奖金、社会保障缴费、其他工资福利支出、住房公积金及购房补贴</w:t>
      </w:r>
      <w:r>
        <w:rPr>
          <w:rFonts w:hint="eastAsia" w:ascii="Times New Roman" w:hAnsi="Times New Roman" w:eastAsia="方正仿宋_GBK" w:cs="Times New Roman"/>
          <w:b w:val="0"/>
          <w:bCs w:val="0"/>
          <w:sz w:val="32"/>
          <w:szCs w:val="32"/>
          <w:lang w:val="en-US" w:eastAsia="zh-CN"/>
        </w:rPr>
        <w:t>等</w:t>
      </w:r>
      <w:r>
        <w:rPr>
          <w:rFonts w:hint="default" w:ascii="Times New Roman" w:hAnsi="Times New Roman" w:eastAsia="方正仿宋_GBK" w:cs="Times New Roman"/>
          <w:b w:val="0"/>
          <w:bCs w:val="0"/>
          <w:sz w:val="32"/>
          <w:szCs w:val="32"/>
        </w:rPr>
        <w:t>。公用经费13.02万元，与2023年度相比，减少1.08万元，下降7.7%，主要原因是</w:t>
      </w:r>
      <w:r>
        <w:rPr>
          <w:rFonts w:hint="eastAsia" w:ascii="Times New Roman" w:hAnsi="Times New Roman" w:eastAsia="方正仿宋_GBK" w:cs="Times New Roman"/>
          <w:b w:val="0"/>
          <w:bCs w:val="0"/>
          <w:sz w:val="32"/>
          <w:szCs w:val="32"/>
          <w:lang w:val="en-US" w:eastAsia="zh-CN"/>
        </w:rPr>
        <w:t>公用经费支出较上年减少</w:t>
      </w:r>
      <w:r>
        <w:rPr>
          <w:rFonts w:hint="default" w:ascii="Times New Roman" w:hAnsi="Times New Roman" w:eastAsia="方正仿宋_GBK" w:cs="Times New Roman"/>
          <w:b w:val="0"/>
          <w:bCs w:val="0"/>
          <w:sz w:val="32"/>
          <w:szCs w:val="32"/>
        </w:rPr>
        <w:t>。公用</w:t>
      </w:r>
      <w:r>
        <w:rPr>
          <w:rFonts w:ascii="方正仿宋_GBK" w:hAnsi="方正仿宋_GBK" w:eastAsia="方正仿宋_GBK" w:cs="方正仿宋_GBK"/>
          <w:sz w:val="32"/>
          <w:szCs w:val="32"/>
          <w:shd w:val="clear" w:color="auto" w:fill="FFFFFF"/>
        </w:rPr>
        <w:t>经费用途主要包括</w:t>
      </w:r>
      <w:r>
        <w:rPr>
          <w:rFonts w:hint="eastAsia" w:ascii="方正仿宋_GBK" w:hAnsi="方正仿宋_GBK" w:eastAsia="方正仿宋_GBK" w:cs="方正仿宋_GBK"/>
          <w:b w:val="0"/>
          <w:bCs w:val="0"/>
          <w:color w:val="auto"/>
          <w:kern w:val="0"/>
          <w:sz w:val="32"/>
          <w:szCs w:val="32"/>
          <w:shd w:val="clear" w:color="auto" w:fill="FFFFFF"/>
        </w:rPr>
        <w:t>办公费、水费、电费、邮电费、物业管理费、工会经费、福利费</w:t>
      </w:r>
      <w:r>
        <w:rPr>
          <w:rFonts w:hint="eastAsia" w:ascii="Times New Roman" w:hAnsi="Times New Roman" w:eastAsia="方正仿宋_GBK" w:cs="Times New Roman"/>
          <w:b w:val="0"/>
          <w:bCs w:val="0"/>
          <w:sz w:val="32"/>
          <w:szCs w:val="32"/>
        </w:rPr>
        <w:t>等</w:t>
      </w:r>
      <w:r>
        <w:rPr>
          <w:rFonts w:hint="default" w:ascii="Times New Roman" w:hAnsi="Times New Roman" w:eastAsia="方正仿宋_GBK" w:cs="Times New Roman"/>
          <w:b w:val="0"/>
          <w:bCs w:val="0"/>
          <w:sz w:val="32"/>
          <w:szCs w:val="32"/>
        </w:rPr>
        <w:t>。</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（五）政府性基金预算收支决算情况说明</w:t>
      </w:r>
    </w:p>
    <w:p>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本单位2024年度无政府性基金预算财政拨款收支。</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shd w:val="clear" w:color="auto" w:fill="FFFFFF"/>
        </w:rPr>
      </w:pPr>
      <w:r>
        <w:rPr>
          <w:rFonts w:hint="eastAsia" w:ascii="方正仿宋_GBK" w:hAnsi="方正仿宋_GBK" w:eastAsia="方正仿宋_GBK" w:cs="方正仿宋_GBK"/>
          <w:color w:val="auto"/>
          <w:kern w:val="0"/>
          <w:sz w:val="32"/>
          <w:szCs w:val="32"/>
          <w:shd w:val="clear" w:color="auto" w:fill="FFFFFF"/>
        </w:rPr>
        <w:t>本单位2024年度无国有资本经营预算财政拨款支出。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三、“三公”经费情况说明</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（一）“三公”经费支出总体情况说明</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年度未发生“三公”经费支出。</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（二）“三公”经费分项支出情况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000000"/>
          <w:kern w:val="0"/>
          <w:sz w:val="32"/>
          <w:szCs w:val="32"/>
          <w:shd w:val="clear" w:color="auto" w:fill="FFFFFF"/>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eastAsia="方正仿宋_GBK"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年度未发生因公出国（境）费用。</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000000"/>
          <w:kern w:val="0"/>
          <w:sz w:val="32"/>
          <w:szCs w:val="32"/>
          <w:shd w:val="clear" w:color="auto" w:fill="D9D9D9"/>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eastAsia="方正仿宋_GBK"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年度未发生公务车购置费。</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b w:val="0"/>
          <w:bCs w:val="0"/>
          <w:color w:val="000000"/>
          <w:kern w:val="0"/>
          <w:sz w:val="32"/>
          <w:szCs w:val="32"/>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eastAsia="方正仿宋_GBK"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年度未发生公务车运行维护费。</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w:t>
      </w:r>
      <w:r>
        <w:rPr>
          <w:rFonts w:hint="default" w:ascii="Times New Roman" w:hAnsi="Times New Roman" w:eastAsia="方正仿宋_GBK" w:cs="Times New Roman"/>
          <w:b w:val="0"/>
          <w:bCs w:val="0"/>
          <w:color w:val="000000"/>
          <w:kern w:val="0"/>
          <w:sz w:val="32"/>
          <w:szCs w:val="32"/>
          <w:shd w:val="clear" w:color="auto" w:fill="FFFFFF"/>
        </w:rPr>
        <w:t>202</w:t>
      </w:r>
      <w:r>
        <w:rPr>
          <w:rFonts w:hint="eastAsia" w:ascii="Times New Roman" w:hAnsi="Times New Roman" w:cs="Times New Roman"/>
          <w:b w:val="0"/>
          <w:bCs w:val="0"/>
          <w:color w:val="000000"/>
          <w:kern w:val="0"/>
          <w:sz w:val="32"/>
          <w:szCs w:val="32"/>
          <w:shd w:val="clear" w:color="auto" w:fill="FFFFFF"/>
          <w:lang w:val="en-US" w:eastAsia="zh-CN"/>
        </w:rPr>
        <w:t>4</w:t>
      </w:r>
      <w:r>
        <w:rPr>
          <w:rFonts w:hint="eastAsia" w:ascii="方正仿宋_GBK" w:hAnsi="方正仿宋_GBK" w:eastAsia="方正仿宋_GBK" w:cs="方正仿宋_GBK"/>
          <w:b w:val="0"/>
          <w:bCs w:val="0"/>
          <w:color w:val="000000"/>
          <w:kern w:val="0"/>
          <w:sz w:val="32"/>
          <w:szCs w:val="32"/>
          <w:shd w:val="clear" w:color="auto" w:fill="FFFFFF"/>
        </w:rPr>
        <w:t>年度未发生公务接待费。</w:t>
      </w:r>
    </w:p>
    <w:p>
      <w:pPr>
        <w:pStyle w:val="8"/>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（三）“三公”经费实物量情况</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cs="宋体"/>
          <w:kern w:val="0"/>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w:t>
      </w:r>
      <w:r>
        <w:rPr>
          <w:rFonts w:hint="eastAsia" w:ascii="方正仿宋_GBK" w:hAnsi="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（一）一般公共预算财政拨款会议费和培训费情况说明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本单位未发生</w:t>
      </w:r>
      <w:r>
        <w:rPr>
          <w:rFonts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val="en-US" w:eastAsia="zh-CN"/>
        </w:rPr>
        <w:t>和</w:t>
      </w:r>
      <w:r>
        <w:rPr>
          <w:rFonts w:ascii="方正仿宋_GBK" w:hAnsi="方正仿宋_GBK" w:eastAsia="方正仿宋_GBK" w:cs="方正仿宋_GBK"/>
          <w:sz w:val="32"/>
          <w:szCs w:val="32"/>
          <w:shd w:val="clear" w:color="auto" w:fill="FFFFFF"/>
        </w:rPr>
        <w:t>培训费支出</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按照部门决算列报口径，我单位不在机关运行经费统计范围之内。</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cs="宋体"/>
          <w:kern w:val="0"/>
          <w:szCs w:val="32"/>
        </w:rPr>
      </w:pPr>
      <w:r>
        <w:rPr>
          <w:rFonts w:hint="eastAsia" w:ascii="方正仿宋_GBK" w:hAnsi="方正仿宋_GBK" w:eastAsia="方正仿宋_GBK" w:cs="方正仿宋_GBK"/>
          <w:b w:val="0"/>
          <w:bCs w:val="0"/>
          <w:color w:val="000000"/>
          <w:kern w:val="0"/>
          <w:sz w:val="32"/>
          <w:szCs w:val="32"/>
          <w:shd w:val="clear" w:color="auto" w:fill="FFFFFF"/>
        </w:rPr>
        <w:t>本单位无国有资产占用情况</w:t>
      </w:r>
      <w:r>
        <w:rPr>
          <w:rFonts w:hint="eastAsia" w:ascii="方正仿宋_GBK" w:hAnsi="方正仿宋_GBK" w:eastAsia="方正仿宋_GBK" w:cs="方正仿宋_GBK"/>
          <w:b w:val="0"/>
          <w:bCs w:val="0"/>
          <w:color w:val="000000"/>
          <w:kern w:val="0"/>
          <w:sz w:val="32"/>
          <w:szCs w:val="32"/>
          <w:shd w:val="clear" w:color="auto" w:fill="FFFFFF"/>
          <w:lang w:eastAsia="zh-CN"/>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val="0"/>
          <w:color w:val="000000"/>
          <w:kern w:val="0"/>
          <w:sz w:val="32"/>
          <w:szCs w:val="32"/>
          <w:shd w:val="clear" w:color="auto" w:fill="FFFFFF"/>
        </w:rPr>
      </w:pPr>
      <w:r>
        <w:rPr>
          <w:rFonts w:hint="eastAsia" w:ascii="方正仿宋_GBK" w:hAnsi="方正仿宋_GBK" w:eastAsia="方正仿宋_GBK" w:cs="方正仿宋_GBK"/>
          <w:b w:val="0"/>
          <w:bCs w:val="0"/>
          <w:color w:val="000000"/>
          <w:kern w:val="0"/>
          <w:sz w:val="32"/>
          <w:szCs w:val="32"/>
          <w:shd w:val="clear" w:color="auto" w:fill="FFFFFF"/>
        </w:rPr>
        <w:t>2024年度我单位未发生政府采购事项，无相关经费支出。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五、预算绩效管理情况说明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（一）单位自评情况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960" w:firstLineChars="300"/>
        <w:textAlignment w:val="auto"/>
        <w:rPr>
          <w:rFonts w:hint="eastAsia" w:cs="宋体"/>
          <w:kern w:val="0"/>
          <w:szCs w:val="32"/>
        </w:rPr>
      </w:pPr>
      <w:r>
        <w:rPr>
          <w:rFonts w:hint="eastAsia" w:ascii="方正仿宋_GBK" w:hAnsi="方正仿宋_GBK" w:eastAsia="方正仿宋_GBK" w:cs="方正仿宋_GBK"/>
          <w:color w:val="auto"/>
          <w:sz w:val="32"/>
          <w:szCs w:val="32"/>
          <w:lang w:val="en-US" w:eastAsia="zh-CN" w:bidi="ar-SA"/>
        </w:rPr>
        <w:t>我单位未开展绩效自评。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（二）部门重点绩效评价情况</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rPr>
        <w:t>我单位</w:t>
      </w:r>
      <w:r>
        <w:rPr>
          <w:rFonts w:hint="eastAsia" w:ascii="Times New Roman" w:hAnsi="Times New Roman" w:eastAsia="方正仿宋_GBK" w:cs="Times New Roman"/>
          <w:b w:val="0"/>
          <w:bCs w:val="0"/>
          <w:sz w:val="32"/>
          <w:szCs w:val="32"/>
          <w:lang w:val="en-US" w:eastAsia="zh-CN"/>
        </w:rPr>
        <w:t>未开展重点绩效评价。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楷体_GBK" w:hAnsi="方正楷体_GBK" w:eastAsia="方正楷体_GBK" w:cs="方正楷体_GBK"/>
          <w:b w:val="0"/>
          <w:bCs w:val="0"/>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rPr>
        <w:t>（三）财政绩效评价情况</w:t>
      </w:r>
    </w:p>
    <w:p>
      <w:pPr>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color w:val="auto"/>
          <w:sz w:val="32"/>
          <w:szCs w:val="32"/>
          <w:lang w:val="en-US" w:eastAsia="zh-CN" w:bidi="ar-SA"/>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（三）经营收入：指</w:t>
      </w:r>
      <w:r>
        <w:rPr>
          <w:rFonts w:hint="eastAsia" w:ascii="方正仿宋_GBK" w:hAnsi="方正仿宋_GBK" w:eastAsia="方正仿宋_GBK" w:cs="方正仿宋_GBK"/>
          <w:kern w:val="0"/>
          <w:sz w:val="32"/>
          <w:szCs w:val="32"/>
          <w:shd w:val="clear" w:fill="FFFFFF"/>
        </w:rPr>
        <w:t>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eastAsia" w:ascii="方正仿宋_GBK" w:hAnsi="方正仿宋_GBK" w:eastAsia="方正仿宋_GBK" w:cs="方正仿宋_GBK"/>
          <w:spacing w:val="-6"/>
          <w:kern w:val="0"/>
          <w:sz w:val="32"/>
          <w:szCs w:val="32"/>
          <w:shd w:val="clear" w:fill="FFFFFF"/>
        </w:rPr>
        <w:t>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Style w:val="11"/>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N/>
        <w:bidi w:val="0"/>
        <w:adjustRightInd/>
        <w:snapToGrid/>
        <w:spacing w:beforeAutospacing="0" w:after="0" w:afterAutospacing="0" w:line="594" w:lineRule="exact"/>
        <w:ind w:firstLine="64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rPr>
      </w:pPr>
      <w:r>
        <w:rPr>
          <w:rStyle w:val="11"/>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keepNext w:val="0"/>
        <w:keepLines w:val="0"/>
        <w:pageBreakBefore w:val="0"/>
        <w:widowControl w:val="0"/>
        <w:kinsoku/>
        <w:wordWrap/>
        <w:overflowPunct/>
        <w:topLinePunct w:val="0"/>
        <w:autoSpaceDN/>
        <w:bidi w:val="0"/>
        <w:adjustRightInd w:val="0"/>
        <w:snapToGrid w:val="0"/>
        <w:spacing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023-86182888</w:t>
      </w:r>
      <w:bookmarkStart w:id="0" w:name="_GoBack"/>
      <w:bookmarkEnd w:id="0"/>
    </w:p>
    <w:p>
      <w:pPr>
        <w:keepNext w:val="0"/>
        <w:keepLines w:val="0"/>
        <w:pageBreakBefore w:val="0"/>
        <w:widowControl w:val="0"/>
        <w:kinsoku/>
        <w:wordWrap/>
        <w:overflowPunct/>
        <w:topLinePunct w:val="0"/>
        <w:autoSpaceDN/>
        <w:bidi w:val="0"/>
        <w:adjustRightInd w:val="0"/>
        <w:snapToGrid w:val="0"/>
        <w:spacing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pPr>
        <w:keepNext w:val="0"/>
        <w:keepLines w:val="0"/>
        <w:pageBreakBefore w:val="0"/>
        <w:widowControl w:val="0"/>
        <w:kinsoku/>
        <w:wordWrap/>
        <w:overflowPunct/>
        <w:topLinePunct w:val="0"/>
        <w:autoSpaceDN/>
        <w:bidi w:val="0"/>
        <w:adjustRightInd w:val="0"/>
        <w:snapToGrid w:val="0"/>
        <w:spacing w:line="594"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 xml:space="preserve">          7.政府性基金预算财政拨款收入支出决算表</w:t>
      </w:r>
    </w:p>
    <w:p>
      <w:pPr>
        <w:keepNext w:val="0"/>
        <w:keepLines w:val="0"/>
        <w:pageBreakBefore w:val="0"/>
        <w:widowControl w:val="0"/>
        <w:kinsoku/>
        <w:wordWrap/>
        <w:overflowPunct/>
        <w:topLinePunct w:val="0"/>
        <w:autoSpaceDN/>
        <w:bidi w:val="0"/>
        <w:adjustRightInd w:val="0"/>
        <w:snapToGrid w:val="0"/>
        <w:spacing w:line="594"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pPr>
        <w:pStyle w:val="12"/>
        <w:keepNext w:val="0"/>
        <w:keepLines w:val="0"/>
        <w:pageBreakBefore w:val="0"/>
        <w:widowControl w:val="0"/>
        <w:kinsoku/>
        <w:wordWrap/>
        <w:overflowPunct/>
        <w:topLinePunct w:val="0"/>
        <w:autoSpaceDE w:val="0"/>
        <w:autoSpaceDN/>
        <w:bidi w:val="0"/>
        <w:spacing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重庆市九龙坡区黄桷坪街道社区事务服务中心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70.09</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重庆市九龙坡区黄桷坪街道社区事务服务中心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70.09</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Layout w:type="fixed"/>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重庆市九龙坡区黄桷坪街道社区事务服务中心 </w:t>
            </w: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70.09</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70.09</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重庆市九龙坡区黄桷坪街道社区事务服务中心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重庆市九龙坡区黄桷坪街道社区事务服务中心</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Layout w:type="fixed"/>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重庆市九龙坡区黄桷坪街道社区事务服务中心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57.07</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Layout w:type="fixed"/>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重庆市九龙坡区黄桷坪街道社区事务服务中心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重庆市九龙坡区黄桷坪街道社区事务服务中心</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重庆市九龙坡区黄桷坪街道社区事务服务中心</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7578C3"/>
    <w:rsid w:val="0B9335CE"/>
    <w:rsid w:val="0BA10C97"/>
    <w:rsid w:val="0C554661"/>
    <w:rsid w:val="0C7927C4"/>
    <w:rsid w:val="0C9B098C"/>
    <w:rsid w:val="0CBE4560"/>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DDA6396"/>
    <w:rsid w:val="2FE029D7"/>
    <w:rsid w:val="2FF06E00"/>
    <w:rsid w:val="300C08C8"/>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323C2"/>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8F61AA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252F5"/>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AEA2A1A"/>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0C4F46"/>
    <w:rsid w:val="62944DD7"/>
    <w:rsid w:val="629F08EF"/>
    <w:rsid w:val="634265E1"/>
    <w:rsid w:val="63497036"/>
    <w:rsid w:val="63C1619B"/>
    <w:rsid w:val="63C25DC5"/>
    <w:rsid w:val="63C62057"/>
    <w:rsid w:val="63C73832"/>
    <w:rsid w:val="64192A39"/>
    <w:rsid w:val="64614363"/>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E847835"/>
    <w:rsid w:val="6F607C2A"/>
    <w:rsid w:val="6FFB2E76"/>
    <w:rsid w:val="70AB70D6"/>
    <w:rsid w:val="70DE5507"/>
    <w:rsid w:val="71A21E03"/>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41492E"/>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4047</Words>
  <Characters>4366</Characters>
  <Lines>161</Lines>
  <Paragraphs>45</Paragraphs>
  <TotalTime>24</TotalTime>
  <ScaleCrop>false</ScaleCrop>
  <LinksUpToDate>false</LinksUpToDate>
  <CharactersWithSpaces>4424</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重庆市九龙坡区人民政府黄桷坪街道办事处</cp:lastModifiedBy>
  <cp:lastPrinted>2025-10-24T08:21:00Z</cp:lastPrinted>
  <dcterms:modified xsi:type="dcterms:W3CDTF">2025-10-27T00:54:13Z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BB46EABDBB2749749395447164B066B3_12</vt:lpwstr>
  </property>
  <property fmtid="{D5CDD505-2E9C-101B-9397-08002B2CF9AE}" pid="4" name="KSOTemplateDocerSaveRecord">
    <vt:lpwstr>eyJoZGlkIjoiM2M3ZTc1MjVhMmZiY2VlN2UyNTA0MzA3OTYxYmFkZDkiLCJ1c2VySWQiOiIzODA0NzAzMDUifQ==</vt:lpwstr>
  </property>
</Properties>
</file>