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0" w:firstLineChars="0"/>
        <w:jc w:val="center"/>
        <w:textAlignment w:val="auto"/>
        <w:rPr>
          <w:rFonts w:ascii="方正小标宋_GBK" w:hAnsi="方正小标宋_GBK" w:eastAsia="方正小标宋_GBK" w:cs="方正小标宋_GBK"/>
          <w:b w:val="0"/>
          <w:bCs w:val="0"/>
          <w:color w:val="auto"/>
          <w:sz w:val="44"/>
          <w:szCs w:val="44"/>
          <w:shd w:val="clear" w:color="auto" w:fill="FFFFFF"/>
        </w:rPr>
      </w:pPr>
      <w:r>
        <w:rPr>
          <w:rFonts w:ascii="方正小标宋_GBK" w:hAnsi="方正小标宋_GBK" w:eastAsia="方正小标宋_GBK" w:cs="方正小标宋_GBK"/>
          <w:b w:val="0"/>
          <w:bCs w:val="0"/>
          <w:color w:val="auto"/>
          <w:sz w:val="44"/>
          <w:szCs w:val="44"/>
        </w:rPr>
        <w:t>重庆市九龙坡区人民政府黄桷坪街道办事处（本级）</w:t>
      </w:r>
      <w:r>
        <w:rPr>
          <w:rFonts w:ascii="方正小标宋_GBK" w:hAnsi="方正小标宋_GBK" w:eastAsia="方正小标宋_GBK" w:cs="方正小标宋_GBK"/>
          <w:b w:val="0"/>
          <w:bCs w:val="0"/>
          <w:color w:val="auto"/>
          <w:sz w:val="44"/>
          <w:szCs w:val="44"/>
          <w:shd w:val="clear" w:color="auto" w:fill="FFFFFF"/>
        </w:rPr>
        <w:t>202</w:t>
      </w:r>
      <w:r>
        <w:rPr>
          <w:rFonts w:hint="eastAsia" w:ascii="方正小标宋_GBK" w:hAnsi="方正小标宋_GBK" w:eastAsia="方正小标宋_GBK" w:cs="方正小标宋_GBK"/>
          <w:b w:val="0"/>
          <w:bCs w:val="0"/>
          <w:color w:val="auto"/>
          <w:sz w:val="44"/>
          <w:szCs w:val="44"/>
          <w:shd w:val="clear" w:color="auto" w:fill="FFFFFF"/>
          <w:lang w:val="en-US" w:eastAsia="zh-CN"/>
        </w:rPr>
        <w:t>4</w:t>
      </w:r>
      <w:r>
        <w:rPr>
          <w:rFonts w:ascii="方正小标宋_GBK" w:hAnsi="方正小标宋_GBK" w:eastAsia="方正小标宋_GBK" w:cs="方正小标宋_GBK"/>
          <w:b w:val="0"/>
          <w:bCs w:val="0"/>
          <w:color w:val="auto"/>
          <w:sz w:val="44"/>
          <w:szCs w:val="44"/>
          <w:shd w:val="clear" w:color="auto" w:fill="FFFFFF"/>
        </w:rPr>
        <w:t>年度决算公开说明</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480" w:firstLineChars="200"/>
        <w:jc w:val="left"/>
        <w:textAlignment w:val="auto"/>
        <w:rPr>
          <w:rFonts w:hint="eastAsia" w:cs="宋体"/>
          <w:color w:val="auto"/>
          <w:kern w:val="0"/>
          <w:szCs w:val="32"/>
          <w:shd w:val="clear" w:color="auto" w:fill="FFFF00"/>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color w:val="auto"/>
          <w:sz w:val="32"/>
          <w:szCs w:val="32"/>
          <w:shd w:val="clear" w:color="auto" w:fill="FFFFFF"/>
          <w:lang w:val="en-US" w:eastAsia="zh-CN"/>
        </w:rPr>
      </w:pPr>
      <w:r>
        <w:rPr>
          <w:rStyle w:val="8"/>
          <w:rFonts w:hint="eastAsia" w:ascii="方正黑体_GBK" w:hAnsi="方正黑体_GBK" w:eastAsia="方正黑体_GBK" w:cs="方正黑体_GBK"/>
          <w:b w:val="0"/>
          <w:bCs w:val="0"/>
          <w:color w:val="auto"/>
          <w:sz w:val="32"/>
          <w:szCs w:val="32"/>
          <w:shd w:val="clear" w:color="auto" w:fill="FFFFFF"/>
          <w:lang w:val="en-US" w:eastAsia="zh-CN"/>
        </w:rPr>
        <w:t>一、单位基本情况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val="0"/>
          <w:color w:val="auto"/>
          <w:sz w:val="32"/>
          <w:szCs w:val="32"/>
        </w:rPr>
      </w:pPr>
      <w:r>
        <w:rPr>
          <w:rStyle w:val="8"/>
          <w:rFonts w:hint="eastAsia" w:ascii="方正楷体_GBK" w:hAnsi="方正楷体_GBK" w:eastAsia="方正楷体_GBK" w:cs="方正楷体_GBK"/>
          <w:b w:val="0"/>
          <w:bCs w:val="0"/>
          <w:color w:val="auto"/>
          <w:sz w:val="32"/>
          <w:szCs w:val="32"/>
          <w:shd w:val="clear" w:color="auto" w:fill="FFFFFF"/>
        </w:rPr>
        <w:t>（一）职能职责</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街道主要职责是加强党的基层建设，夯实党的执政根基，做好公共服务、公共管理、公共安全工作，为经济社会发展提供良好公共环境。一是加强基层党的建设，坚持党要管党、全面从严治党，切实加强党的政治建设、思想建设、组织建设、作风建设、纪律建设，把制度建设贯穿其中，深入推进反腐败斗争，推动全面从严治党向基层延伸；二是强化经济发展职能，正确处理好政府与市场、政府与社会的关系，规范市场秩序，为各类市场主体创造统一开放、公平竞争的发展环境，激发市场、社会的创造活力。强化产业引导，科学编制发展规划；三是强化公共服务职能，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四是强化公共管理职能，加强街道规划建设和环境保护，强化街道和社区城市风貌管理。健全重大社情、疫情、险情等公共突发事件的预防和应急处理机制。推进社会治安综合治理，完善社会治安防控体系。加强信访工作，建立调处化解矛盾纠纷综合机制，确保社会和谐稳定；五是强化公共安全职能，加强安全生产、食品药品、生态建设、农产品质量安全等监督管理，建立健全隐患排查治理体系和安全预防控制体系。推进基层行政执法体制改革，完善执法保障机制，增强执法监管能力；六是承办区委、区政府交办的其他事项。</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8"/>
          <w:rFonts w:hint="default" w:ascii="方正楷体_GBK" w:hAnsi="方正楷体_GBK" w:eastAsia="方正楷体_GBK" w:cs="方正楷体_GBK"/>
          <w:b w:val="0"/>
          <w:bCs w:val="0"/>
          <w:color w:val="auto"/>
          <w:sz w:val="32"/>
          <w:szCs w:val="32"/>
          <w:shd w:val="clear" w:color="auto" w:fill="FFFFFF"/>
        </w:rPr>
      </w:pPr>
      <w:r>
        <w:rPr>
          <w:rStyle w:val="8"/>
          <w:rFonts w:hint="eastAsia" w:ascii="方正楷体_GBK" w:hAnsi="方正楷体_GBK" w:eastAsia="方正楷体_GBK" w:cs="方正楷体_GBK"/>
          <w:b w:val="0"/>
          <w:bCs w:val="0"/>
          <w:color w:val="auto"/>
          <w:sz w:val="32"/>
          <w:szCs w:val="32"/>
          <w:shd w:val="clear" w:color="auto" w:fill="FFFFFF"/>
        </w:rPr>
        <w:t>（二）机构设置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黄桷坪街道办事处内设科室9个，参公事业单位1个（区城市管理综合行政执法支队黄桷坪街道大队），全额事业单位7个（黄桷坪街道社区事务服务中心、黄桷坪街道社区文化服务中心、黄桷坪街道劳动就业和社会保障服务所、黄桷坪街道退役军人服务站、黄桷坪街道综合行政执法大队、黄桷坪街道社会管理信息服务中心、黄桷坪街道物业管理服务中心</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color w:val="auto"/>
          <w:sz w:val="32"/>
          <w:szCs w:val="32"/>
        </w:rPr>
      </w:pPr>
      <w:r>
        <w:rPr>
          <w:rStyle w:val="8"/>
          <w:rFonts w:hint="eastAsia" w:ascii="方正黑体_GBK" w:hAnsi="方正黑体_GBK" w:eastAsia="方正黑体_GBK" w:cs="方正黑体_GBK"/>
          <w:b w:val="0"/>
          <w:bCs/>
          <w:color w:val="auto"/>
          <w:sz w:val="32"/>
          <w:szCs w:val="32"/>
          <w:shd w:val="clear" w:color="auto" w:fill="FFFFFF"/>
        </w:rPr>
        <w:t>二、</w:t>
      </w:r>
      <w:r>
        <w:rPr>
          <w:rStyle w:val="8"/>
          <w:rFonts w:hint="eastAsia" w:ascii="方正黑体_GBK" w:hAnsi="方正黑体_GBK" w:eastAsia="方正黑体_GBK" w:cs="方正黑体_GBK"/>
          <w:b w:val="0"/>
          <w:bCs/>
          <w:color w:val="auto"/>
          <w:sz w:val="32"/>
          <w:szCs w:val="32"/>
          <w:shd w:val="clear" w:color="auto" w:fill="FFFFFF"/>
          <w:lang w:eastAsia="zh-CN"/>
        </w:rPr>
        <w:t>部门</w:t>
      </w:r>
      <w:r>
        <w:rPr>
          <w:rStyle w:val="8"/>
          <w:rFonts w:hint="eastAsia" w:ascii="方正黑体_GBK" w:hAnsi="方正黑体_GBK" w:eastAsia="方正黑体_GBK" w:cs="方正黑体_GBK"/>
          <w:b w:val="0"/>
          <w:bCs/>
          <w:color w:val="auto"/>
          <w:sz w:val="32"/>
          <w:szCs w:val="32"/>
          <w:shd w:val="clear" w:color="auto" w:fill="FFFFFF"/>
        </w:rPr>
        <w:t>决算</w:t>
      </w:r>
      <w:r>
        <w:rPr>
          <w:rStyle w:val="8"/>
          <w:rFonts w:hint="eastAsia" w:ascii="方正黑体_GBK" w:hAnsi="方正黑体_GBK" w:eastAsia="方正黑体_GBK" w:cs="方正黑体_GBK"/>
          <w:b w:val="0"/>
          <w:bCs/>
          <w:color w:val="auto"/>
          <w:sz w:val="32"/>
          <w:szCs w:val="32"/>
          <w:shd w:val="clear" w:color="auto" w:fill="FFFFFF"/>
          <w:lang w:eastAsia="zh-CN"/>
        </w:rPr>
        <w:t>收支</w:t>
      </w:r>
      <w:r>
        <w:rPr>
          <w:rStyle w:val="8"/>
          <w:rFonts w:hint="eastAsia" w:ascii="方正黑体_GBK" w:hAnsi="方正黑体_GBK" w:eastAsia="方正黑体_GBK" w:cs="方正黑体_GBK"/>
          <w:b w:val="0"/>
          <w:bCs/>
          <w:color w:val="auto"/>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pPr>
        <w:keepNext w:val="0"/>
        <w:keepLines w:val="0"/>
        <w:pageBreakBefore w:val="0"/>
        <w:widowControl w:val="0"/>
        <w:kinsoku/>
        <w:wordWrap/>
        <w:overflowPunct/>
        <w:topLinePunct w:val="0"/>
        <w:autoSpaceDN/>
        <w:bidi w:val="0"/>
        <w:adjustRightInd/>
        <w:spacing w:beforeAutospacing="0" w:afterAutospacing="0" w:line="594" w:lineRule="exact"/>
        <w:ind w:firstLine="630" w:firstLineChars="196"/>
        <w:jc w:val="left"/>
        <w:textAlignment w:val="auto"/>
        <w:rPr>
          <w:rFonts w:hint="eastAsia" w:ascii="方正仿宋_GBK" w:hAnsi="方正仿宋_GBK" w:eastAsia="方正仿宋_GBK" w:cs="方正仿宋_GBK"/>
          <w:color w:val="auto"/>
          <w:sz w:val="32"/>
          <w:szCs w:val="32"/>
          <w:shd w:val="clear" w:color="auto" w:fill="FFFFFF"/>
          <w:lang w:val="en-US" w:eastAsia="zh-CN"/>
        </w:rPr>
      </w:pPr>
      <w:r>
        <w:rPr>
          <w:rStyle w:val="8"/>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度收入总计6049.70万元，支出总计</w:t>
      </w:r>
      <w:r>
        <w:rPr>
          <w:rFonts w:ascii="方正仿宋_GBK" w:hAnsi="方正仿宋_GBK" w:eastAsia="方正仿宋_GBK" w:cs="方正仿宋_GBK"/>
          <w:color w:val="auto"/>
          <w:sz w:val="32"/>
          <w:szCs w:val="32"/>
        </w:rPr>
        <w:t>6049.70</w:t>
      </w:r>
      <w:r>
        <w:rPr>
          <w:rFonts w:ascii="方正仿宋_GBK" w:hAnsi="方正仿宋_GBK" w:eastAsia="方正仿宋_GBK" w:cs="方正仿宋_GBK"/>
          <w:color w:val="auto"/>
          <w:sz w:val="32"/>
          <w:szCs w:val="32"/>
          <w:shd w:val="clear" w:color="auto" w:fill="FFFFFF"/>
        </w:rPr>
        <w:t>万元。收、支与2023年度相比，减少1270.58万元，下降17.4%，主要原因是</w:t>
      </w:r>
      <w:r>
        <w:rPr>
          <w:rFonts w:hint="eastAsia" w:ascii="方正仿宋_GBK" w:hAnsi="方正仿宋_GBK" w:eastAsia="方正仿宋_GBK" w:cs="方正仿宋_GBK"/>
          <w:color w:val="auto"/>
          <w:sz w:val="32"/>
          <w:szCs w:val="32"/>
          <w:shd w:val="clear" w:color="auto" w:fill="FFFFFF"/>
          <w:lang w:val="en-US" w:eastAsia="zh-CN"/>
        </w:rPr>
        <w:t>本单位项目经费较上年减少1190.04万元。</w:t>
      </w:r>
    </w:p>
    <w:p>
      <w:pPr>
        <w:pStyle w:val="5"/>
        <w:keepNext w:val="0"/>
        <w:keepLines w:val="0"/>
        <w:pageBreakBefore w:val="0"/>
        <w:widowControl w:val="0"/>
        <w:numPr>
          <w:ilvl w:val="0"/>
          <w:numId w:val="0"/>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fill="FFFFFF"/>
          <w:lang w:val="en-US" w:eastAsia="zh-CN" w:bidi="ar-SA"/>
        </w:rPr>
        <w:t>2.</w:t>
      </w:r>
      <w:r>
        <w:rPr>
          <w:rStyle w:val="8"/>
          <w:rFonts w:ascii="方正仿宋_GBK" w:hAnsi="方正仿宋_GBK" w:eastAsia="方正仿宋_GBK" w:cs="方正仿宋_GBK"/>
          <w:color w:val="auto"/>
          <w:sz w:val="32"/>
          <w:szCs w:val="32"/>
          <w:shd w:val="clear" w:color="auto" w:fill="FFFFFF"/>
        </w:rPr>
        <w:t>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度收入合计6049.70万元，与2023年度相比，减少1270.58万元，下降17.4%，主要原因是</w:t>
      </w:r>
      <w:r>
        <w:rPr>
          <w:rFonts w:hint="eastAsia" w:ascii="方正仿宋_GBK" w:hAnsi="方正仿宋_GBK" w:eastAsia="方正仿宋_GBK" w:cs="方正仿宋_GBK"/>
          <w:color w:val="auto"/>
          <w:sz w:val="32"/>
          <w:szCs w:val="32"/>
          <w:shd w:val="clear" w:color="auto" w:fill="FFFFFF"/>
          <w:lang w:val="en-US" w:eastAsia="zh-CN"/>
        </w:rPr>
        <w:t>本单位项目经费较上年减少1190.04万元</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6049.70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numPr>
          <w:ilvl w:val="0"/>
          <w:numId w:val="0"/>
        </w:numP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6049.70</w:t>
      </w:r>
      <w:r>
        <w:rPr>
          <w:rFonts w:ascii="方正仿宋_GBK" w:hAnsi="方正仿宋_GBK" w:eastAsia="方正仿宋_GBK" w:cs="方正仿宋_GBK"/>
          <w:color w:val="auto"/>
          <w:sz w:val="32"/>
          <w:szCs w:val="32"/>
          <w:shd w:val="clear" w:color="auto" w:fill="FFFFFF"/>
        </w:rPr>
        <w:t>万元，与2023年度相比，减少1270.58万元，下降17.4%，主要原因是</w:t>
      </w:r>
      <w:r>
        <w:rPr>
          <w:rFonts w:hint="eastAsia" w:ascii="方正仿宋_GBK" w:hAnsi="方正仿宋_GBK" w:eastAsia="方正仿宋_GBK" w:cs="方正仿宋_GBK"/>
          <w:color w:val="auto"/>
          <w:sz w:val="32"/>
          <w:szCs w:val="32"/>
          <w:shd w:val="clear" w:color="auto" w:fill="FFFFFF"/>
          <w:lang w:val="en-US" w:eastAsia="zh-CN"/>
        </w:rPr>
        <w:t>本单位项目经费较上年减少1190.04万元</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798.84</w:t>
      </w:r>
      <w:r>
        <w:rPr>
          <w:rFonts w:ascii="方正仿宋_GBK" w:hAnsi="方正仿宋_GBK" w:eastAsia="方正仿宋_GBK" w:cs="方正仿宋_GBK"/>
          <w:color w:val="auto"/>
          <w:sz w:val="32"/>
          <w:szCs w:val="32"/>
          <w:shd w:val="clear" w:color="auto" w:fill="FFFFFF"/>
        </w:rPr>
        <w:t>万元，占13.20%；项目支出</w:t>
      </w:r>
      <w:r>
        <w:rPr>
          <w:rFonts w:ascii="方正仿宋_GBK" w:hAnsi="方正仿宋_GBK" w:eastAsia="方正仿宋_GBK" w:cs="方正仿宋_GBK"/>
          <w:color w:val="auto"/>
          <w:sz w:val="32"/>
          <w:szCs w:val="32"/>
        </w:rPr>
        <w:t>5250.86</w:t>
      </w:r>
      <w:r>
        <w:rPr>
          <w:rFonts w:ascii="方正仿宋_GBK" w:hAnsi="方正仿宋_GBK" w:eastAsia="方正仿宋_GBK" w:cs="方正仿宋_GBK"/>
          <w:color w:val="auto"/>
          <w:sz w:val="32"/>
          <w:szCs w:val="32"/>
          <w:shd w:val="clear" w:color="auto" w:fill="FFFFFF"/>
        </w:rPr>
        <w:t>万元，占86.80%</w:t>
      </w:r>
      <w:r>
        <w:rPr>
          <w:rFonts w:hint="eastAsia" w:ascii="方正仿宋_GBK" w:hAnsi="方正仿宋_GBK" w:eastAsia="方正仿宋_GBK" w:cs="方正仿宋_GBK"/>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auto"/>
          <w:sz w:val="32"/>
          <w:szCs w:val="32"/>
          <w:lang w:eastAsia="zh-CN"/>
        </w:rPr>
      </w:pPr>
      <w:r>
        <w:rPr>
          <w:rStyle w:val="8"/>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jc w:val="left"/>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度财政拨款收、支总计6049.70万元。与202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年相比，财政拨款收、支总计各减少1270.58万元，下降17.4%。主要原因是</w:t>
      </w:r>
      <w:r>
        <w:rPr>
          <w:rFonts w:hint="eastAsia" w:ascii="方正仿宋_GBK" w:hAnsi="方正仿宋_GBK" w:eastAsia="方正仿宋_GBK" w:cs="方正仿宋_GBK"/>
          <w:color w:val="auto"/>
          <w:sz w:val="32"/>
          <w:szCs w:val="32"/>
          <w:shd w:val="clear" w:color="auto" w:fill="FFFFFF"/>
          <w:lang w:val="en-US" w:eastAsia="zh-CN"/>
        </w:rPr>
        <w:t>本单位项目经费较上年减少1190.04万元。</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8"/>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5928.53</w:t>
      </w:r>
      <w:r>
        <w:rPr>
          <w:rFonts w:ascii="方正仿宋_GBK" w:hAnsi="方正仿宋_GBK" w:eastAsia="方正仿宋_GBK" w:cs="方正仿宋_GBK"/>
          <w:color w:val="auto"/>
          <w:sz w:val="32"/>
          <w:szCs w:val="32"/>
          <w:shd w:val="clear" w:color="auto" w:fill="FFFFFF"/>
        </w:rPr>
        <w:t>万元，与2023年度相比，减少555.06万元，下降8.6%。主要原因是</w:t>
      </w:r>
      <w:r>
        <w:rPr>
          <w:rFonts w:hint="eastAsia" w:ascii="方正仿宋_GBK" w:hAnsi="方正仿宋_GBK" w:eastAsia="方正仿宋_GBK" w:cs="方正仿宋_GBK"/>
          <w:color w:val="auto"/>
          <w:sz w:val="32"/>
          <w:szCs w:val="32"/>
          <w:shd w:val="clear" w:color="auto" w:fill="FFFFFF"/>
          <w:lang w:val="en-US" w:eastAsia="zh-CN"/>
        </w:rPr>
        <w:t>本单位项目经费较上年减少</w:t>
      </w:r>
      <w:r>
        <w:rPr>
          <w:rFonts w:ascii="方正仿宋_GBK" w:hAnsi="方正仿宋_GBK" w:eastAsia="方正仿宋_GBK" w:cs="方正仿宋_GBK"/>
          <w:color w:val="auto"/>
          <w:sz w:val="32"/>
          <w:szCs w:val="32"/>
          <w:shd w:val="clear" w:color="auto" w:fill="FFFFFF"/>
        </w:rPr>
        <w:t>。较年初预算数增加128.48万元，增长2.2%。主要原因是</w:t>
      </w:r>
      <w:r>
        <w:rPr>
          <w:rFonts w:hint="eastAsia" w:ascii="方正仿宋_GBK" w:hAnsi="方正仿宋_GBK" w:eastAsia="方正仿宋_GBK" w:cs="方正仿宋_GBK"/>
          <w:color w:val="auto"/>
          <w:sz w:val="32"/>
          <w:szCs w:val="32"/>
          <w:shd w:val="clear" w:color="auto" w:fill="FFFFFF"/>
          <w:lang w:val="en-US" w:eastAsia="zh-CN"/>
        </w:rPr>
        <w:t>年中追加项目：养老服务补贴、2024年集中投放点升级改造经费、区第五次全国经济普查“两员”劳动报酬及数据质量工作经费等</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8"/>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5928.53</w:t>
      </w:r>
      <w:r>
        <w:rPr>
          <w:rFonts w:ascii="方正仿宋_GBK" w:hAnsi="方正仿宋_GBK" w:eastAsia="方正仿宋_GBK" w:cs="方正仿宋_GBK"/>
          <w:color w:val="auto"/>
          <w:sz w:val="32"/>
          <w:szCs w:val="32"/>
          <w:shd w:val="clear" w:color="auto" w:fill="FFFFFF"/>
        </w:rPr>
        <w:t>万元，与2023年度相比，减少555.06万元，下降8.6%。主要原因是</w:t>
      </w:r>
      <w:r>
        <w:rPr>
          <w:rFonts w:hint="eastAsia" w:ascii="方正仿宋_GBK" w:hAnsi="方正仿宋_GBK" w:eastAsia="方正仿宋_GBK" w:cs="方正仿宋_GBK"/>
          <w:color w:val="auto"/>
          <w:sz w:val="32"/>
          <w:szCs w:val="32"/>
          <w:shd w:val="clear" w:color="auto" w:fill="FFFFFF"/>
          <w:lang w:val="en-US" w:eastAsia="zh-CN"/>
        </w:rPr>
        <w:t>本单位项目经费较上年减少</w:t>
      </w:r>
      <w:r>
        <w:rPr>
          <w:rFonts w:ascii="方正仿宋_GBK" w:hAnsi="方正仿宋_GBK" w:eastAsia="方正仿宋_GBK" w:cs="方正仿宋_GBK"/>
          <w:color w:val="auto"/>
          <w:sz w:val="32"/>
          <w:szCs w:val="32"/>
          <w:shd w:val="clear" w:color="auto" w:fill="FFFFFF"/>
        </w:rPr>
        <w:t>。较年初预算数增加128.48万元，增长2.2%。主要原因是</w:t>
      </w:r>
      <w:r>
        <w:rPr>
          <w:rFonts w:hint="eastAsia" w:ascii="方正仿宋_GBK" w:hAnsi="方正仿宋_GBK" w:eastAsia="方正仿宋_GBK" w:cs="方正仿宋_GBK"/>
          <w:color w:val="auto"/>
          <w:sz w:val="32"/>
          <w:szCs w:val="32"/>
          <w:shd w:val="clear" w:color="auto" w:fill="FFFFFF"/>
          <w:lang w:val="en-US" w:eastAsia="zh-CN"/>
        </w:rPr>
        <w:t>年中追加项目：养老服务补贴、2024年集中投放点升级改造经费、区第五次全国经济普查“两员”劳动报酬及数据质量工作经费等</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8"/>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8"/>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val="en-US" w:eastAsia="zh-CN"/>
        </w:rPr>
        <w:t>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2046.25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34.52</w:t>
      </w:r>
      <w:r>
        <w:rPr>
          <w:rFonts w:ascii="方正仿宋_GBK" w:hAnsi="方正仿宋_GBK" w:eastAsia="方正仿宋_GBK" w:cs="方正仿宋_GBK"/>
          <w:color w:val="auto"/>
          <w:sz w:val="32"/>
          <w:szCs w:val="32"/>
          <w:shd w:val="clear" w:color="auto" w:fill="FFFFFF"/>
        </w:rPr>
        <w:t>%，较年初预算数增加345.63万元，增长20.3%，主要原因是</w:t>
      </w:r>
      <w:r>
        <w:rPr>
          <w:rFonts w:hint="eastAsia" w:ascii="方正仿宋_GBK" w:hAnsi="方正仿宋_GBK" w:eastAsia="方正仿宋_GBK" w:cs="方正仿宋_GBK"/>
          <w:color w:val="auto"/>
          <w:sz w:val="32"/>
          <w:szCs w:val="32"/>
          <w:shd w:val="clear" w:color="auto" w:fill="FFFFFF"/>
          <w:lang w:val="en-US" w:eastAsia="zh-CN"/>
        </w:rPr>
        <w:t>年中追加</w:t>
      </w:r>
      <w:r>
        <w:rPr>
          <w:rFonts w:hint="eastAsia" w:ascii="方正仿宋_GBK" w:hAnsi="方正仿宋_GBK" w:eastAsia="方正仿宋_GBK" w:cs="方正仿宋_GBK"/>
          <w:color w:val="auto"/>
          <w:sz w:val="32"/>
          <w:szCs w:val="32"/>
          <w:shd w:val="clear" w:color="auto" w:fill="FFFFFF"/>
        </w:rPr>
        <w:t>区第五次全国经济普查“两员”劳动报酬及数据质量工作经费</w:t>
      </w:r>
      <w:r>
        <w:rPr>
          <w:rFonts w:hint="eastAsia" w:ascii="方正仿宋_GBK" w:hAnsi="方正仿宋_GBK" w:eastAsia="方正仿宋_GBK" w:cs="方正仿宋_GBK"/>
          <w:color w:val="auto"/>
          <w:sz w:val="32"/>
          <w:szCs w:val="32"/>
          <w:shd w:val="clear" w:color="auto" w:fill="FFFFFF"/>
          <w:lang w:eastAsia="zh-CN"/>
        </w:rPr>
        <w:t>、2024年基层党建工作经费、2024年政协委员履职活动经费</w:t>
      </w:r>
      <w:r>
        <w:rPr>
          <w:rFonts w:hint="eastAsia" w:ascii="方正仿宋_GBK" w:hAnsi="方正仿宋_GBK" w:eastAsia="方正仿宋_GBK" w:cs="方正仿宋_GBK"/>
          <w:color w:val="auto"/>
          <w:sz w:val="32"/>
          <w:szCs w:val="32"/>
          <w:shd w:val="clear" w:color="auto" w:fill="FFFFFF"/>
          <w:lang w:val="en-US" w:eastAsia="zh-CN"/>
        </w:rPr>
        <w:t>等项目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）国防支出</w:t>
      </w:r>
      <w:r>
        <w:rPr>
          <w:rFonts w:ascii="方正仿宋_GBK" w:hAnsi="方正仿宋_GBK" w:eastAsia="方正仿宋_GBK" w:cs="方正仿宋_GBK"/>
          <w:color w:val="auto"/>
          <w:sz w:val="32"/>
          <w:szCs w:val="32"/>
        </w:rPr>
        <w:t>2.35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0.04</w:t>
      </w:r>
      <w:r>
        <w:rPr>
          <w:rFonts w:ascii="方正仿宋_GBK" w:hAnsi="方正仿宋_GBK" w:eastAsia="方正仿宋_GBK" w:cs="方正仿宋_GBK"/>
          <w:color w:val="auto"/>
          <w:sz w:val="32"/>
          <w:szCs w:val="32"/>
          <w:shd w:val="clear" w:color="auto" w:fill="FFFFFF"/>
        </w:rPr>
        <w:t>%，较年初预算数增加2.35万元，增长100.0%，主要原因是</w:t>
      </w:r>
      <w:r>
        <w:rPr>
          <w:rFonts w:hint="eastAsia" w:ascii="方正仿宋_GBK" w:hAnsi="方正仿宋_GBK" w:eastAsia="方正仿宋_GBK" w:cs="方正仿宋_GBK"/>
          <w:color w:val="auto"/>
          <w:sz w:val="32"/>
          <w:szCs w:val="32"/>
          <w:shd w:val="clear" w:color="auto" w:fill="FFFFFF"/>
          <w:lang w:val="en-US" w:eastAsia="zh-CN"/>
        </w:rPr>
        <w:t>武装工作专项经费项目功能分类修改增加</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）公共安全支出</w:t>
      </w:r>
      <w:r>
        <w:rPr>
          <w:rFonts w:ascii="方正仿宋_GBK" w:hAnsi="方正仿宋_GBK" w:eastAsia="方正仿宋_GBK" w:cs="方正仿宋_GBK"/>
          <w:color w:val="auto"/>
          <w:sz w:val="32"/>
          <w:szCs w:val="32"/>
        </w:rPr>
        <w:t>7.07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0.12</w:t>
      </w:r>
      <w:r>
        <w:rPr>
          <w:rFonts w:ascii="方正仿宋_GBK" w:hAnsi="方正仿宋_GBK" w:eastAsia="方正仿宋_GBK" w:cs="方正仿宋_GBK"/>
          <w:color w:val="auto"/>
          <w:sz w:val="32"/>
          <w:szCs w:val="32"/>
          <w:shd w:val="clear" w:color="auto" w:fill="FFFFFF"/>
        </w:rPr>
        <w:t>%，较年初预算数减少6.32万元，下降47.2%，主要原因是</w:t>
      </w:r>
      <w:r>
        <w:rPr>
          <w:rFonts w:hint="eastAsia" w:ascii="方正仿宋_GBK" w:hAnsi="方正仿宋_GBK" w:eastAsia="方正仿宋_GBK" w:cs="方正仿宋_GBK"/>
          <w:color w:val="auto"/>
          <w:sz w:val="32"/>
          <w:szCs w:val="32"/>
          <w:shd w:val="clear" w:color="auto" w:fill="FFFFFF"/>
          <w:lang w:val="en-US" w:eastAsia="zh-CN"/>
        </w:rPr>
        <w:t>武装工作专项经费项目功能分类修改减少</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）教育支出</w:t>
      </w:r>
      <w:r>
        <w:rPr>
          <w:rFonts w:ascii="方正仿宋_GBK" w:hAnsi="方正仿宋_GBK" w:eastAsia="方正仿宋_GBK" w:cs="方正仿宋_GBK"/>
          <w:color w:val="auto"/>
          <w:sz w:val="32"/>
          <w:szCs w:val="32"/>
        </w:rPr>
        <w:t>26.55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0.45</w:t>
      </w:r>
      <w:r>
        <w:rPr>
          <w:rFonts w:ascii="方正仿宋_GBK" w:hAnsi="方正仿宋_GBK" w:eastAsia="方正仿宋_GBK" w:cs="方正仿宋_GBK"/>
          <w:color w:val="auto"/>
          <w:sz w:val="32"/>
          <w:szCs w:val="32"/>
          <w:shd w:val="clear" w:color="auto" w:fill="FFFFFF"/>
        </w:rPr>
        <w:t>%，较年初预算数增加26.55万元，增长100.0%，主要原因是</w:t>
      </w:r>
      <w:r>
        <w:rPr>
          <w:rFonts w:hint="eastAsia" w:ascii="方正仿宋_GBK" w:hAnsi="方正仿宋_GBK" w:eastAsia="方正仿宋_GBK" w:cs="方正仿宋_GBK"/>
          <w:color w:val="auto"/>
          <w:sz w:val="32"/>
          <w:szCs w:val="32"/>
          <w:shd w:val="clear" w:color="auto" w:fill="FFFFFF"/>
          <w:lang w:val="en-US" w:eastAsia="zh-CN"/>
        </w:rPr>
        <w:t>年中追加</w:t>
      </w:r>
      <w:r>
        <w:rPr>
          <w:rFonts w:hint="eastAsia" w:ascii="方正仿宋_GBK" w:hAnsi="方正仿宋_GBK" w:eastAsia="方正仿宋_GBK" w:cs="方正仿宋_GBK"/>
          <w:color w:val="auto"/>
          <w:sz w:val="32"/>
          <w:szCs w:val="32"/>
          <w:shd w:val="clear" w:color="auto" w:fill="FFFFFF"/>
        </w:rPr>
        <w:t>2024年社区教育经费</w:t>
      </w:r>
      <w:r>
        <w:rPr>
          <w:rFonts w:hint="eastAsia" w:ascii="方正仿宋_GBK" w:hAnsi="方正仿宋_GBK" w:eastAsia="方正仿宋_GBK" w:cs="方正仿宋_GBK"/>
          <w:color w:val="auto"/>
          <w:sz w:val="32"/>
          <w:szCs w:val="32"/>
          <w:shd w:val="clear" w:color="auto" w:fill="FFFFFF"/>
          <w:lang w:val="en-US" w:eastAsia="zh-CN"/>
        </w:rPr>
        <w:t>项目。</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）科学技术支出</w:t>
      </w:r>
      <w:r>
        <w:rPr>
          <w:rFonts w:ascii="方正仿宋_GBK" w:hAnsi="方正仿宋_GBK" w:eastAsia="方正仿宋_GBK" w:cs="方正仿宋_GBK"/>
          <w:color w:val="auto"/>
          <w:sz w:val="32"/>
          <w:szCs w:val="32"/>
        </w:rPr>
        <w:t>6.06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0.10</w:t>
      </w:r>
      <w:r>
        <w:rPr>
          <w:rFonts w:ascii="方正仿宋_GBK" w:hAnsi="方正仿宋_GBK" w:eastAsia="方正仿宋_GBK" w:cs="方正仿宋_GBK"/>
          <w:color w:val="auto"/>
          <w:sz w:val="32"/>
          <w:szCs w:val="32"/>
          <w:shd w:val="clear" w:color="auto" w:fill="FFFFFF"/>
        </w:rPr>
        <w:t>%，较年初预算数增加4.95万元，增长446.0%，主要原因是</w:t>
      </w:r>
      <w:r>
        <w:rPr>
          <w:rFonts w:hint="eastAsia" w:ascii="方正仿宋_GBK" w:hAnsi="方正仿宋_GBK" w:eastAsia="方正仿宋_GBK" w:cs="方正仿宋_GBK"/>
          <w:color w:val="auto"/>
          <w:sz w:val="32"/>
          <w:szCs w:val="32"/>
          <w:shd w:val="clear" w:color="auto" w:fill="FFFFFF"/>
          <w:lang w:val="en-US" w:eastAsia="zh-CN"/>
        </w:rPr>
        <w:t>年中追加</w:t>
      </w:r>
      <w:r>
        <w:rPr>
          <w:rFonts w:hint="eastAsia" w:ascii="方正仿宋_GBK" w:hAnsi="方正仿宋_GBK" w:eastAsia="方正仿宋_GBK" w:cs="方正仿宋_GBK"/>
          <w:color w:val="auto"/>
          <w:sz w:val="32"/>
          <w:szCs w:val="32"/>
          <w:shd w:val="clear" w:color="auto" w:fill="FFFFFF"/>
        </w:rPr>
        <w:t>渝财预【2023】33号“满天星”行动计划第一评价期奖励资金</w:t>
      </w:r>
      <w:r>
        <w:rPr>
          <w:rFonts w:hint="eastAsia" w:ascii="方正仿宋_GBK" w:hAnsi="方正仿宋_GBK" w:eastAsia="方正仿宋_GBK" w:cs="方正仿宋_GBK"/>
          <w:color w:val="auto"/>
          <w:sz w:val="32"/>
          <w:szCs w:val="32"/>
          <w:shd w:val="clear" w:color="auto" w:fill="FFFFFF"/>
          <w:lang w:val="en-US" w:eastAsia="zh-CN"/>
        </w:rPr>
        <w:t>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65.50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1.10</w:t>
      </w:r>
      <w:r>
        <w:rPr>
          <w:rFonts w:ascii="方正仿宋_GBK" w:hAnsi="方正仿宋_GBK" w:eastAsia="方正仿宋_GBK" w:cs="方正仿宋_GBK"/>
          <w:color w:val="auto"/>
          <w:sz w:val="32"/>
          <w:szCs w:val="32"/>
          <w:shd w:val="clear" w:color="auto" w:fill="FFFFFF"/>
        </w:rPr>
        <w:t>%，较年初预算数增加24.37万元，增长59.3%，主要原因是</w:t>
      </w:r>
      <w:r>
        <w:rPr>
          <w:rFonts w:hint="eastAsia" w:ascii="方正仿宋_GBK" w:hAnsi="方正仿宋_GBK" w:eastAsia="方正仿宋_GBK" w:cs="方正仿宋_GBK"/>
          <w:color w:val="auto"/>
          <w:sz w:val="32"/>
          <w:szCs w:val="32"/>
          <w:shd w:val="clear" w:color="auto" w:fill="FFFFFF"/>
          <w:lang w:val="en-US" w:eastAsia="zh-CN"/>
        </w:rPr>
        <w:t>年中追加</w:t>
      </w:r>
      <w:r>
        <w:rPr>
          <w:rFonts w:hint="eastAsia" w:ascii="方正仿宋_GBK" w:hAnsi="方正仿宋_GBK" w:eastAsia="方正仿宋_GBK" w:cs="方正仿宋_GBK"/>
          <w:color w:val="auto"/>
          <w:sz w:val="32"/>
          <w:szCs w:val="32"/>
          <w:shd w:val="clear" w:color="auto" w:fill="FFFFFF"/>
        </w:rPr>
        <w:t>黄桷坪街道社区文化服务中心内部软装及文化氛围营造项目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2194.48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37.02</w:t>
      </w:r>
      <w:r>
        <w:rPr>
          <w:rFonts w:ascii="方正仿宋_GBK" w:hAnsi="方正仿宋_GBK" w:eastAsia="方正仿宋_GBK" w:cs="方正仿宋_GBK"/>
          <w:color w:val="auto"/>
          <w:sz w:val="32"/>
          <w:szCs w:val="32"/>
          <w:shd w:val="clear" w:color="auto" w:fill="FFFFFF"/>
        </w:rPr>
        <w:t>%，较年初预算数减少185.05万元，下降7.8%，主要原因是</w:t>
      </w:r>
      <w:r>
        <w:rPr>
          <w:rFonts w:hint="eastAsia" w:ascii="方正仿宋_GBK" w:hAnsi="方正仿宋_GBK" w:eastAsia="方正仿宋_GBK" w:cs="方正仿宋_GBK"/>
          <w:color w:val="auto"/>
          <w:sz w:val="32"/>
          <w:szCs w:val="32"/>
          <w:shd w:val="clear" w:color="auto" w:fill="FFFFFF"/>
          <w:lang w:val="en-US" w:eastAsia="zh-CN"/>
        </w:rPr>
        <w:t>社区服务群众专项经费、优抚救济专项经费、优抚对象生活补助第一批等项目经费剩余</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173.75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2.93</w:t>
      </w:r>
      <w:r>
        <w:rPr>
          <w:rFonts w:ascii="方正仿宋_GBK" w:hAnsi="方正仿宋_GBK" w:eastAsia="方正仿宋_GBK" w:cs="方正仿宋_GBK"/>
          <w:color w:val="auto"/>
          <w:sz w:val="32"/>
          <w:szCs w:val="32"/>
          <w:shd w:val="clear" w:color="auto" w:fill="FFFFFF"/>
        </w:rPr>
        <w:t>%，较年初预算数增加12.46万元，增长7.7%，主要原因是</w:t>
      </w:r>
      <w:r>
        <w:rPr>
          <w:rFonts w:hint="eastAsia" w:ascii="方正仿宋_GBK" w:hAnsi="方正仿宋_GBK" w:eastAsia="方正仿宋_GBK" w:cs="方正仿宋_GBK"/>
          <w:color w:val="auto"/>
          <w:sz w:val="32"/>
          <w:szCs w:val="32"/>
          <w:shd w:val="clear" w:color="auto" w:fill="FFFFFF"/>
          <w:lang w:val="en-US" w:eastAsia="zh-CN"/>
        </w:rPr>
        <w:t>年中追加国卫专项经费项目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）节能环保支出</w:t>
      </w:r>
      <w:r>
        <w:rPr>
          <w:rFonts w:ascii="方正仿宋_GBK" w:hAnsi="方正仿宋_GBK" w:eastAsia="方正仿宋_GBK" w:cs="方正仿宋_GBK"/>
          <w:color w:val="auto"/>
          <w:sz w:val="32"/>
          <w:szCs w:val="32"/>
        </w:rPr>
        <w:t>1002.26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16.91</w:t>
      </w:r>
      <w:r>
        <w:rPr>
          <w:rFonts w:ascii="方正仿宋_GBK" w:hAnsi="方正仿宋_GBK" w:eastAsia="方正仿宋_GBK" w:cs="方正仿宋_GBK"/>
          <w:color w:val="auto"/>
          <w:sz w:val="32"/>
          <w:szCs w:val="32"/>
          <w:shd w:val="clear" w:color="auto" w:fill="FFFFFF"/>
        </w:rPr>
        <w:t>%，较年初预算数减少128.87万元，下降11.4%，主要原因是</w:t>
      </w:r>
      <w:r>
        <w:rPr>
          <w:rFonts w:hint="eastAsia" w:ascii="方正仿宋_GBK" w:hAnsi="方正仿宋_GBK" w:eastAsia="方正仿宋_GBK" w:cs="方正仿宋_GBK"/>
          <w:color w:val="auto"/>
          <w:sz w:val="32"/>
          <w:szCs w:val="32"/>
          <w:shd w:val="clear" w:color="auto" w:fill="FFFFFF"/>
          <w:lang w:val="en-US" w:eastAsia="zh-CN"/>
        </w:rPr>
        <w:t>清扫保洁经费剩余，年底收回。</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）城乡社区支出</w:t>
      </w:r>
      <w:r>
        <w:rPr>
          <w:rFonts w:ascii="方正仿宋_GBK" w:hAnsi="方正仿宋_GBK" w:eastAsia="方正仿宋_GBK" w:cs="方正仿宋_GBK"/>
          <w:color w:val="auto"/>
          <w:sz w:val="32"/>
          <w:szCs w:val="32"/>
        </w:rPr>
        <w:t>267.51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4.51</w:t>
      </w:r>
      <w:r>
        <w:rPr>
          <w:rFonts w:ascii="方正仿宋_GBK" w:hAnsi="方正仿宋_GBK" w:eastAsia="方正仿宋_GBK" w:cs="方正仿宋_GBK"/>
          <w:color w:val="auto"/>
          <w:sz w:val="32"/>
          <w:szCs w:val="32"/>
          <w:shd w:val="clear" w:color="auto" w:fill="FFFFFF"/>
        </w:rPr>
        <w:t>%，较年初预算数减少37.69万元，下降12.4%，主要原因是</w:t>
      </w:r>
      <w:r>
        <w:rPr>
          <w:rFonts w:hint="eastAsia" w:ascii="方正仿宋_GBK" w:hAnsi="方正仿宋_GBK" w:eastAsia="方正仿宋_GBK" w:cs="方正仿宋_GBK"/>
          <w:color w:val="auto"/>
          <w:sz w:val="32"/>
          <w:szCs w:val="32"/>
          <w:shd w:val="clear" w:color="auto" w:fill="FFFFFF"/>
        </w:rPr>
        <w:t>绿化管护经费</w:t>
      </w:r>
      <w:r>
        <w:rPr>
          <w:rFonts w:hint="eastAsia" w:ascii="方正仿宋_GBK" w:hAnsi="方正仿宋_GBK" w:eastAsia="方正仿宋_GBK" w:cs="方正仿宋_GBK"/>
          <w:color w:val="auto"/>
          <w:sz w:val="32"/>
          <w:szCs w:val="32"/>
          <w:shd w:val="clear" w:color="auto" w:fill="FFFFFF"/>
          <w:lang w:eastAsia="zh-CN"/>
        </w:rPr>
        <w:t>、2024年三峡库区次级河流清漂作业费</w:t>
      </w:r>
      <w:r>
        <w:rPr>
          <w:rFonts w:hint="eastAsia" w:ascii="方正仿宋_GBK" w:hAnsi="方正仿宋_GBK" w:eastAsia="方正仿宋_GBK" w:cs="方正仿宋_GBK"/>
          <w:color w:val="auto"/>
          <w:sz w:val="32"/>
          <w:szCs w:val="32"/>
          <w:shd w:val="clear" w:color="auto" w:fill="FFFFFF"/>
          <w:lang w:val="en-US" w:eastAsia="zh-CN"/>
        </w:rPr>
        <w:t>等项目经费剩余，年底收回</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7.03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0.12</w:t>
      </w:r>
      <w:r>
        <w:rPr>
          <w:rFonts w:ascii="方正仿宋_GBK" w:hAnsi="方正仿宋_GBK" w:eastAsia="方正仿宋_GBK" w:cs="方正仿宋_GBK"/>
          <w:color w:val="auto"/>
          <w:sz w:val="32"/>
          <w:szCs w:val="32"/>
          <w:shd w:val="clear" w:color="auto" w:fill="FFFFFF"/>
        </w:rPr>
        <w:t>%，较年初预算数增加7.03万元，增长100.0%，主要原因是</w:t>
      </w:r>
      <w:r>
        <w:rPr>
          <w:rFonts w:hint="eastAsia" w:ascii="方正仿宋_GBK" w:hAnsi="方正仿宋_GBK" w:eastAsia="方正仿宋_GBK" w:cs="方正仿宋_GBK"/>
          <w:color w:val="auto"/>
          <w:sz w:val="32"/>
          <w:szCs w:val="32"/>
          <w:shd w:val="clear" w:color="auto" w:fill="FFFFFF"/>
          <w:lang w:val="en-US" w:eastAsia="zh-CN"/>
        </w:rPr>
        <w:t>年中追加重庆市2023三峡库区次级河流清漂作业专项经费、禁渔工作经费等项目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）交通运输支出</w:t>
      </w:r>
      <w:r>
        <w:rPr>
          <w:rFonts w:ascii="方正仿宋_GBK" w:hAnsi="方正仿宋_GBK" w:eastAsia="方正仿宋_GBK" w:cs="方正仿宋_GBK"/>
          <w:color w:val="auto"/>
          <w:sz w:val="32"/>
          <w:szCs w:val="32"/>
        </w:rPr>
        <w:t>64.78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1.09</w:t>
      </w:r>
      <w:r>
        <w:rPr>
          <w:rFonts w:ascii="方正仿宋_GBK" w:hAnsi="方正仿宋_GBK" w:eastAsia="方正仿宋_GBK" w:cs="方正仿宋_GBK"/>
          <w:color w:val="auto"/>
          <w:sz w:val="32"/>
          <w:szCs w:val="32"/>
          <w:shd w:val="clear" w:color="auto" w:fill="FFFFFF"/>
        </w:rPr>
        <w:t>%，较年初预算数增加64.78万元，增长100.0%，主要原因是</w:t>
      </w:r>
      <w:r>
        <w:rPr>
          <w:rFonts w:hint="eastAsia" w:ascii="方正仿宋_GBK" w:hAnsi="方正仿宋_GBK" w:eastAsia="方正仿宋_GBK" w:cs="方正仿宋_GBK"/>
          <w:color w:val="auto"/>
          <w:sz w:val="32"/>
          <w:szCs w:val="32"/>
          <w:shd w:val="clear" w:color="auto" w:fill="FFFFFF"/>
          <w:lang w:val="en-US" w:eastAsia="zh-CN"/>
        </w:rPr>
        <w:t>年中追加公路养护费项目</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）金融支出</w:t>
      </w:r>
      <w:r>
        <w:rPr>
          <w:rFonts w:ascii="方正仿宋_GBK" w:hAnsi="方正仿宋_GBK" w:eastAsia="方正仿宋_GBK" w:cs="方正仿宋_GBK"/>
          <w:color w:val="auto"/>
          <w:sz w:val="32"/>
          <w:szCs w:val="32"/>
        </w:rPr>
        <w:t>3.00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0.05</w:t>
      </w:r>
      <w:r>
        <w:rPr>
          <w:rFonts w:ascii="方正仿宋_GBK" w:hAnsi="方正仿宋_GBK" w:eastAsia="方正仿宋_GBK" w:cs="方正仿宋_GBK"/>
          <w:color w:val="auto"/>
          <w:sz w:val="32"/>
          <w:szCs w:val="32"/>
          <w:shd w:val="clear" w:color="auto" w:fill="FFFFFF"/>
        </w:rPr>
        <w:t>%，较年初预算数无增减。</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住房保障支出51.94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0.88</w:t>
      </w:r>
      <w:r>
        <w:rPr>
          <w:rFonts w:ascii="方正仿宋_GBK" w:hAnsi="方正仿宋_GBK" w:eastAsia="方正仿宋_GBK" w:cs="方正仿宋_GBK"/>
          <w:color w:val="auto"/>
          <w:sz w:val="32"/>
          <w:szCs w:val="32"/>
          <w:shd w:val="clear" w:color="auto" w:fill="FFFFFF"/>
        </w:rPr>
        <w:t>%，较年初预算数减少1.72万元，下降3.2%，主要原因是</w:t>
      </w:r>
      <w:r>
        <w:rPr>
          <w:rFonts w:hint="eastAsia" w:ascii="方正仿宋_GBK" w:hAnsi="方正仿宋_GBK" w:eastAsia="方正仿宋_GBK" w:cs="方正仿宋_GBK"/>
          <w:color w:val="auto"/>
          <w:sz w:val="32"/>
          <w:szCs w:val="32"/>
          <w:shd w:val="clear" w:color="auto" w:fill="FFFFFF"/>
          <w:lang w:val="en-US" w:eastAsia="zh-CN"/>
        </w:rPr>
        <w:t>人员调出1人，公积金指标减少</w:t>
      </w:r>
      <w:r>
        <w:rPr>
          <w:rFonts w:ascii="方正仿宋_GBK" w:hAnsi="方正仿宋_GBK" w:eastAsia="方正仿宋_GBK" w:cs="方正仿宋_GBK"/>
          <w:color w:val="auto"/>
          <w:sz w:val="32"/>
          <w:szCs w:val="32"/>
          <w:shd w:val="clear" w:color="auto" w:fill="FFFFFF"/>
        </w:rPr>
        <w:t>。</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灾害防治及应急管理支出10.00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0.17</w:t>
      </w:r>
      <w:r>
        <w:rPr>
          <w:rFonts w:ascii="方正仿宋_GBK" w:hAnsi="方正仿宋_GBK" w:eastAsia="方正仿宋_GBK" w:cs="方正仿宋_GBK"/>
          <w:color w:val="auto"/>
          <w:sz w:val="32"/>
          <w:szCs w:val="32"/>
          <w:shd w:val="clear" w:color="auto" w:fill="FFFFFF"/>
        </w:rPr>
        <w:t>%，较年初预算数无增减。</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798.84</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652.38</w:t>
      </w:r>
      <w:r>
        <w:rPr>
          <w:rFonts w:ascii="方正仿宋_GBK" w:hAnsi="方正仿宋_GBK" w:eastAsia="方正仿宋_GBK" w:cs="方正仿宋_GBK"/>
          <w:color w:val="auto"/>
          <w:sz w:val="32"/>
          <w:szCs w:val="32"/>
          <w:shd w:val="clear" w:color="auto" w:fill="FFFFFF"/>
        </w:rPr>
        <w:t>万元，与2023年度相比，减少76.64万元，下降10.5%，主要原因是</w:t>
      </w:r>
      <w:r>
        <w:rPr>
          <w:rFonts w:hint="default" w:ascii="Times New Roman" w:hAnsi="Times New Roman" w:eastAsia="方正仿宋_GBK" w:cs="Times New Roman"/>
          <w:b w:val="0"/>
          <w:bCs w:val="0"/>
          <w:color w:val="auto"/>
          <w:sz w:val="32"/>
          <w:szCs w:val="32"/>
        </w:rPr>
        <w:t>本年度减少在职人员1人</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经费减少</w:t>
      </w:r>
      <w:r>
        <w:rPr>
          <w:rFonts w:hint="default" w:ascii="Times New Roman" w:hAnsi="Times New Roman" w:eastAsia="方正仿宋_GBK" w:cs="Times New Roman"/>
          <w:b w:val="0"/>
          <w:bCs w:val="0"/>
          <w:color w:val="auto"/>
          <w:sz w:val="32"/>
          <w:szCs w:val="32"/>
        </w:rPr>
        <w:t>。</w:t>
      </w:r>
      <w:r>
        <w:rPr>
          <w:rFonts w:ascii="方正仿宋_GBK" w:hAnsi="方正仿宋_GBK"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b w:val="0"/>
          <w:bCs w:val="0"/>
          <w:color w:val="auto"/>
          <w:sz w:val="32"/>
          <w:szCs w:val="32"/>
        </w:rPr>
        <w:t>基本工资、津贴补贴、奖金、社会保障缴费、其他工资福利支出、住房公积金及购房补贴</w:t>
      </w:r>
      <w:r>
        <w:rPr>
          <w:rFonts w:hint="eastAsia" w:ascii="Times New Roman" w:hAnsi="Times New Roman" w:eastAsia="方正仿宋_GBK" w:cs="Times New Roman"/>
          <w:b w:val="0"/>
          <w:bCs w:val="0"/>
          <w:color w:val="auto"/>
          <w:sz w:val="32"/>
          <w:szCs w:val="32"/>
          <w:lang w:val="en-US"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146.46</w:t>
      </w:r>
      <w:r>
        <w:rPr>
          <w:rFonts w:ascii="方正仿宋_GBK" w:hAnsi="方正仿宋_GBK" w:eastAsia="方正仿宋_GBK" w:cs="方正仿宋_GBK"/>
          <w:color w:val="auto"/>
          <w:sz w:val="32"/>
          <w:szCs w:val="32"/>
          <w:shd w:val="clear" w:color="auto" w:fill="FFFFFF"/>
        </w:rPr>
        <w:t>万元，与2023年度相比，减少3.89万元，下降2.6%，主要原因是</w:t>
      </w:r>
      <w:r>
        <w:rPr>
          <w:rFonts w:hint="eastAsia" w:ascii="方正仿宋_GBK" w:hAnsi="方正仿宋_GBK" w:eastAsia="方正仿宋_GBK" w:cs="方正仿宋_GBK"/>
          <w:color w:val="auto"/>
          <w:sz w:val="32"/>
          <w:szCs w:val="32"/>
          <w:shd w:val="clear" w:color="auto" w:fill="FFFFFF"/>
          <w:lang w:val="en-US" w:eastAsia="zh-CN"/>
        </w:rPr>
        <w:t>公用经费、公务车运行经费等支出减少，年底收回</w:t>
      </w:r>
      <w:r>
        <w:rPr>
          <w:rFonts w:ascii="方正仿宋_GBK" w:hAnsi="方正仿宋_GBK" w:eastAsia="方正仿宋_GBK" w:cs="方正仿宋_GBK"/>
          <w:color w:val="auto"/>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rPr>
        <w:t>办公费、水费、电费、邮电费、物业管理费、工会经费、福利费等</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121.17</w:t>
      </w:r>
      <w:r>
        <w:rPr>
          <w:rFonts w:ascii="方正仿宋_GBK" w:hAnsi="方正仿宋_GBK" w:eastAsia="方正仿宋_GBK" w:cs="方正仿宋_GBK"/>
          <w:color w:val="auto"/>
          <w:sz w:val="32"/>
          <w:szCs w:val="32"/>
          <w:shd w:val="clear" w:color="auto" w:fill="FFFFFF"/>
        </w:rPr>
        <w:t>万元，与2023年度相比，减少715.52万元，下降85.5%，主要原因是</w:t>
      </w:r>
      <w:r>
        <w:rPr>
          <w:rFonts w:hint="eastAsia" w:ascii="方正仿宋_GBK" w:hAnsi="方正仿宋_GBK" w:eastAsia="方正仿宋_GBK" w:cs="方正仿宋_GBK"/>
          <w:sz w:val="32"/>
          <w:szCs w:val="32"/>
          <w:shd w:val="clear" w:color="auto" w:fill="FFFFFF"/>
          <w:lang w:val="en-US" w:eastAsia="zh-CN"/>
        </w:rPr>
        <w:t>本年度未发生2023年创文等一次性政府基金项目</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121.17</w:t>
      </w:r>
      <w:r>
        <w:rPr>
          <w:rFonts w:ascii="方正仿宋_GBK" w:hAnsi="方正仿宋_GBK" w:eastAsia="方正仿宋_GBK" w:cs="方正仿宋_GBK"/>
          <w:color w:val="auto"/>
          <w:sz w:val="32"/>
          <w:szCs w:val="32"/>
          <w:shd w:val="clear" w:color="auto" w:fill="FFFFFF"/>
        </w:rPr>
        <w:t>万元，与2023年度相比，减少715.52万元，下降85.5%，主要原因是</w:t>
      </w:r>
      <w:r>
        <w:rPr>
          <w:rFonts w:hint="eastAsia" w:ascii="方正仿宋_GBK" w:hAnsi="方正仿宋_GBK" w:eastAsia="方正仿宋_GBK" w:cs="方正仿宋_GBK"/>
          <w:sz w:val="32"/>
          <w:szCs w:val="32"/>
          <w:shd w:val="clear" w:color="auto" w:fill="FFFFFF"/>
          <w:lang w:val="en-US" w:eastAsia="zh-CN"/>
        </w:rPr>
        <w:t>本年度未发生2023年创文等一次性政府基金项目</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本单位2024年度无国有资本经营预算财政拨款支出。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eastAsia" w:ascii="楷体" w:hAnsi="楷体" w:eastAsia="楷体" w:cs="楷体"/>
          <w:b/>
          <w:bCs/>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r>
        <w:rPr>
          <w:rFonts w:hint="eastAsia" w:ascii="楷体" w:hAnsi="楷体" w:eastAsia="楷体" w:cs="楷体"/>
          <w:b/>
          <w:bCs/>
          <w:color w:val="auto"/>
          <w:sz w:val="32"/>
          <w:szCs w:val="32"/>
          <w:shd w:val="clear" w:color="auto" w:fill="FFFFFF"/>
        </w:rPr>
        <w:t xml:space="preserve"> </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4.16</w:t>
      </w:r>
      <w:r>
        <w:rPr>
          <w:rFonts w:ascii="方正仿宋_GBK" w:hAnsi="方正仿宋_GBK" w:eastAsia="方正仿宋_GBK" w:cs="方正仿宋_GBK"/>
          <w:color w:val="auto"/>
          <w:sz w:val="32"/>
          <w:szCs w:val="32"/>
          <w:shd w:val="clear" w:color="auto" w:fill="FFFFFF"/>
        </w:rPr>
        <w:t>万元，较年初预算数减少7.84万元，下降65.3%，主要原因是</w:t>
      </w:r>
      <w:r>
        <w:rPr>
          <w:rFonts w:hint="default" w:ascii="Times New Roman" w:hAnsi="Times New Roman" w:eastAsia="方正仿宋_GBK" w:cs="Times New Roman"/>
          <w:b w:val="0"/>
          <w:bCs w:val="0"/>
          <w:color w:val="auto"/>
          <w:sz w:val="32"/>
          <w:szCs w:val="32"/>
        </w:rPr>
        <w:t>按要求从严控制</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三公</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经费、严格落实公车使用规定、严格遵守开支范围和标准</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实际支出减少</w:t>
      </w:r>
      <w:r>
        <w:rPr>
          <w:rFonts w:ascii="方正仿宋_GBK" w:hAnsi="方正仿宋_GBK" w:eastAsia="方正仿宋_GBK" w:cs="方正仿宋_GBK"/>
          <w:color w:val="auto"/>
          <w:sz w:val="32"/>
          <w:szCs w:val="32"/>
          <w:shd w:val="clear" w:color="auto" w:fill="FFFFFF"/>
        </w:rPr>
        <w:t>。较上年支出数减少4.02万元，下降49.1%，主要原因是</w:t>
      </w:r>
      <w:r>
        <w:rPr>
          <w:rFonts w:hint="eastAsia" w:ascii="方正仿宋_GBK" w:hAnsi="方正仿宋_GBK" w:eastAsia="方正仿宋_GBK" w:cs="方正仿宋_GBK"/>
          <w:color w:val="auto"/>
          <w:sz w:val="32"/>
          <w:szCs w:val="32"/>
          <w:shd w:val="clear" w:color="auto" w:fill="FFFFFF"/>
          <w:lang w:val="en-US" w:eastAsia="zh-CN"/>
        </w:rPr>
        <w:t>本年度公车购油费较上年度减少</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本单位202</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年度未发生因公出国（境）费用。</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s="Times New Roman"/>
          <w:b w:val="0"/>
          <w:bCs w:val="0"/>
          <w:color w:val="auto"/>
          <w:sz w:val="32"/>
          <w:szCs w:val="32"/>
        </w:rPr>
        <w:t>本单位202</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年度未发生公务车购置费。</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公务车运行维护费</w:t>
      </w:r>
      <w:r>
        <w:rPr>
          <w:rFonts w:ascii="方正仿宋_GBK" w:hAnsi="方正仿宋_GBK" w:eastAsia="方正仿宋_GBK" w:cs="方正仿宋_GBK"/>
          <w:color w:val="auto"/>
          <w:sz w:val="32"/>
          <w:szCs w:val="32"/>
        </w:rPr>
        <w:t>4.16</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公务车保险费、维修维护费、油费等</w:t>
      </w:r>
      <w:r>
        <w:rPr>
          <w:rFonts w:ascii="方正仿宋_GBK" w:hAnsi="方正仿宋_GBK" w:eastAsia="方正仿宋_GBK" w:cs="方正仿宋_GBK"/>
          <w:color w:val="auto"/>
          <w:sz w:val="32"/>
          <w:szCs w:val="32"/>
          <w:shd w:val="clear" w:color="auto" w:fill="FFFFFF"/>
        </w:rPr>
        <w:t>。费用支出较年初预算数减少4.84万元，下降53.8%，主要原因是</w:t>
      </w:r>
      <w:r>
        <w:rPr>
          <w:rFonts w:hint="default" w:ascii="Times New Roman" w:hAnsi="Times New Roman" w:eastAsia="方正仿宋_GBK" w:cs="Times New Roman"/>
          <w:b w:val="0"/>
          <w:bCs w:val="0"/>
          <w:color w:val="auto"/>
          <w:sz w:val="32"/>
          <w:szCs w:val="32"/>
        </w:rPr>
        <w:t>严格落实公车使用规定、严格遵守开支范围和标准</w:t>
      </w:r>
      <w:r>
        <w:rPr>
          <w:rFonts w:hint="eastAsia" w:ascii="Times New Roman" w:hAnsi="Times New Roman" w:eastAsia="方正仿宋_GBK" w:cs="Times New Roman"/>
          <w:b w:val="0"/>
          <w:bCs w:val="0"/>
          <w:color w:val="auto"/>
          <w:sz w:val="32"/>
          <w:szCs w:val="32"/>
          <w:lang w:val="en-US" w:eastAsia="zh-CN"/>
        </w:rPr>
        <w:t>，费用支出减少</w:t>
      </w:r>
      <w:r>
        <w:rPr>
          <w:rFonts w:ascii="方正仿宋_GBK" w:hAnsi="方正仿宋_GBK" w:eastAsia="方正仿宋_GBK" w:cs="方正仿宋_GBK"/>
          <w:color w:val="auto"/>
          <w:sz w:val="32"/>
          <w:szCs w:val="32"/>
          <w:shd w:val="clear" w:color="auto" w:fill="FFFFFF"/>
        </w:rPr>
        <w:t>。较上年支出数减少3.80万元，下降47.7%，主要原因是</w:t>
      </w:r>
      <w:r>
        <w:rPr>
          <w:rFonts w:hint="eastAsia" w:ascii="方正仿宋_GBK" w:hAnsi="方正仿宋_GBK" w:eastAsia="方正仿宋_GBK" w:cs="方正仿宋_GBK"/>
          <w:color w:val="auto"/>
          <w:sz w:val="32"/>
          <w:szCs w:val="32"/>
          <w:shd w:val="clear" w:color="auto" w:fill="FFFFFF"/>
          <w:lang w:val="en-US" w:eastAsia="zh-CN"/>
        </w:rPr>
        <w:t>本年度公车购油费较上年度有所减少</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万元，费用支出较年初预算数减少3.00万元，下降100.0%，主要原因是</w:t>
      </w:r>
      <w:r>
        <w:rPr>
          <w:rFonts w:hint="eastAsia" w:ascii="方正仿宋_GBK" w:hAnsi="方正仿宋_GBK" w:eastAsia="方正仿宋_GBK" w:cs="方正仿宋_GBK"/>
          <w:color w:val="auto"/>
          <w:sz w:val="32"/>
          <w:szCs w:val="32"/>
          <w:shd w:val="clear" w:color="auto" w:fill="FFFFFF"/>
          <w:lang w:val="en-US" w:eastAsia="zh-CN"/>
        </w:rPr>
        <w:t>本年度公务无接待费报销</w:t>
      </w:r>
      <w:r>
        <w:rPr>
          <w:rFonts w:ascii="方正仿宋_GBK" w:hAnsi="方正仿宋_GBK" w:eastAsia="方正仿宋_GBK" w:cs="方正仿宋_GBK"/>
          <w:color w:val="auto"/>
          <w:sz w:val="32"/>
          <w:szCs w:val="32"/>
          <w:shd w:val="clear" w:color="auto" w:fill="FFFFFF"/>
        </w:rPr>
        <w:t>。较上年支出数减少0.23万元，下降100.0%，主要原因是</w:t>
      </w:r>
      <w:r>
        <w:rPr>
          <w:rFonts w:hint="eastAsia" w:ascii="方正仿宋_GBK" w:hAnsi="方正仿宋_GBK" w:eastAsia="方正仿宋_GBK" w:cs="方正仿宋_GBK"/>
          <w:color w:val="auto"/>
          <w:sz w:val="32"/>
          <w:szCs w:val="32"/>
          <w:shd w:val="clear" w:color="auto" w:fill="FFFFFF"/>
          <w:lang w:val="en-US" w:eastAsia="zh-CN"/>
        </w:rPr>
        <w:t>本年度无接待费报销</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4</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本部门人均接待费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1.04</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val="0"/>
          <w:bCs w:val="0"/>
          <w:color w:val="auto"/>
          <w:sz w:val="32"/>
          <w:szCs w:val="32"/>
          <w:shd w:val="clear" w:color="auto" w:fill="FFFFFF"/>
        </w:rPr>
        <w:t>本年度</w:t>
      </w:r>
      <w:r>
        <w:rPr>
          <w:rFonts w:hint="default" w:ascii="方正仿宋_GBK" w:hAnsi="方正仿宋_GBK" w:eastAsia="方正仿宋_GBK" w:cs="方正仿宋_GBK"/>
          <w:b w:val="0"/>
          <w:bCs w:val="0"/>
          <w:color w:val="auto"/>
          <w:sz w:val="32"/>
          <w:szCs w:val="32"/>
        </w:rPr>
        <w:t>未发生会议费、培训费</w:t>
      </w:r>
      <w:r>
        <w:rPr>
          <w:rFonts w:hint="eastAsia" w:ascii="方正仿宋_GBK" w:hAnsi="方正仿宋_GBK" w:eastAsia="方正仿宋_GBK" w:cs="方正仿宋_GBK"/>
          <w:b w:val="0"/>
          <w:bCs w:val="0"/>
          <w:color w:val="auto"/>
          <w:sz w:val="32"/>
          <w:szCs w:val="32"/>
          <w:lang w:eastAsia="zh-CN"/>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（二）机关运行经费情况说明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highlight w:val="yellow"/>
          <w:lang w:val="en-US" w:eastAsia="zh-CN" w:bidi="ar-SA"/>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度本部门机关运行经费支出</w:t>
      </w:r>
      <w:r>
        <w:rPr>
          <w:rFonts w:ascii="方正仿宋_GBK" w:hAnsi="方正仿宋_GBK" w:eastAsia="方正仿宋_GBK" w:cs="方正仿宋_GBK"/>
          <w:color w:val="auto"/>
          <w:sz w:val="32"/>
          <w:szCs w:val="32"/>
        </w:rPr>
        <w:t>146.46</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val="en-US" w:eastAsia="zh-CN"/>
        </w:rPr>
        <w:t>办公费、电费、邮电费、公务用车运行维护费、其他商品和服务支出等</w:t>
      </w:r>
      <w:r>
        <w:rPr>
          <w:rFonts w:ascii="方正仿宋_GBK" w:hAnsi="方正仿宋_GBK" w:eastAsia="方正仿宋_GBK" w:cs="方正仿宋_GBK"/>
          <w:color w:val="auto"/>
          <w:sz w:val="32"/>
          <w:szCs w:val="32"/>
          <w:shd w:val="clear" w:color="auto" w:fill="FFFFFF"/>
        </w:rPr>
        <w:t>。机关运行经费较上年支出数减少3.89万元，下降2.6%，主要原因是</w:t>
      </w:r>
      <w:r>
        <w:rPr>
          <w:rFonts w:hint="eastAsia" w:ascii="方正仿宋_GBK" w:hAnsi="方正仿宋_GBK" w:eastAsia="方正仿宋_GBK" w:cs="方正仿宋_GBK"/>
          <w:color w:val="auto"/>
          <w:sz w:val="32"/>
          <w:szCs w:val="32"/>
          <w:shd w:val="clear" w:color="auto" w:fill="FFFFFF"/>
          <w:lang w:val="en-US" w:eastAsia="zh-CN"/>
        </w:rPr>
        <w:t>在职人员较上年度减少，经费支出减少</w:t>
      </w:r>
      <w:bookmarkStart w:id="0" w:name="_GoBack"/>
      <w:bookmarkEnd w:id="0"/>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（三）国有资产占用情况说明</w:t>
      </w:r>
    </w:p>
    <w:p>
      <w:pPr>
        <w:keepNext w:val="0"/>
        <w:keepLines w:val="0"/>
        <w:pageBreakBefore w:val="0"/>
        <w:widowControl w:val="0"/>
        <w:kinsoku/>
        <w:wordWrap/>
        <w:overflowPunct/>
        <w:topLinePunct w:val="0"/>
        <w:autoSpaceDN/>
        <w:bidi w:val="0"/>
        <w:adjustRightInd/>
        <w:spacing w:beforeAutospacing="0" w:afterAutospacing="0" w:line="594" w:lineRule="exact"/>
        <w:jc w:val="left"/>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12月31日，本部门共有车辆</w:t>
      </w:r>
      <w:r>
        <w:rPr>
          <w:rFonts w:ascii="方正仿宋_GBK" w:hAnsi="方正仿宋_GBK" w:eastAsia="方正仿宋_GBK" w:cs="方正仿宋_GBK"/>
          <w:color w:val="auto"/>
          <w:sz w:val="32"/>
          <w:szCs w:val="32"/>
        </w:rPr>
        <w:t>4</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3</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（四）政府采购支出情况说明</w:t>
      </w:r>
    </w:p>
    <w:p>
      <w:pPr>
        <w:keepNext w:val="0"/>
        <w:keepLines w:val="0"/>
        <w:pageBreakBefore w:val="0"/>
        <w:widowControl w:val="0"/>
        <w:kinsoku/>
        <w:wordWrap/>
        <w:overflowPunct/>
        <w:topLinePunct w:val="0"/>
        <w:autoSpaceDN/>
        <w:bidi w:val="0"/>
        <w:adjustRightInd/>
        <w:spacing w:beforeAutospacing="0" w:afterAutospacing="0" w:line="594" w:lineRule="exact"/>
        <w:jc w:val="left"/>
        <w:textAlignment w:val="auto"/>
        <w:rPr>
          <w:rFonts w:hint="eastAsia" w:eastAsia="方正仿宋_GBK" w:cs="宋体"/>
          <w:color w:val="auto"/>
          <w:kern w:val="0"/>
          <w:szCs w:val="32"/>
          <w:lang w:val="en-US"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度本部门政府采购支出总额</w:t>
      </w:r>
      <w:r>
        <w:rPr>
          <w:rFonts w:ascii="方正仿宋_GBK" w:hAnsi="方正仿宋_GBK" w:eastAsia="方正仿宋_GBK" w:cs="方正仿宋_GBK"/>
          <w:color w:val="auto"/>
          <w:sz w:val="32"/>
          <w:szCs w:val="32"/>
        </w:rPr>
        <w:t>3436.68</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6.77</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3429.92</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3436.68万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3369.18</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98.04</w:t>
      </w:r>
      <w:r>
        <w:rPr>
          <w:rFonts w:ascii="方正仿宋_GBK" w:hAnsi="方正仿宋_GBK" w:eastAsia="方正仿宋_GBK" w:cs="方正仿宋_GBK"/>
          <w:color w:val="auto"/>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val="en-US" w:eastAsia="zh-CN"/>
        </w:rPr>
        <w:t>清扫保洁服务。</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黑体" w:hAnsi="黑体" w:eastAsia="黑体" w:cs="黑体"/>
          <w:color w:val="auto"/>
          <w:sz w:val="32"/>
          <w:szCs w:val="32"/>
          <w:shd w:val="clear" w:color="auto" w:fill="FFFFFF"/>
          <w:lang w:val="en-US" w:eastAsia="zh-CN" w:bidi="ar-SA"/>
        </w:rPr>
      </w:pPr>
      <w:r>
        <w:rPr>
          <w:rStyle w:val="8"/>
          <w:rFonts w:hint="eastAsia" w:ascii="黑体" w:hAnsi="黑体" w:eastAsia="黑体" w:cs="黑体"/>
          <w:color w:val="auto"/>
          <w:sz w:val="32"/>
          <w:szCs w:val="32"/>
          <w:shd w:val="clear" w:color="auto" w:fill="FFFFFF"/>
          <w:lang w:val="en-US" w:eastAsia="zh-CN" w:bidi="ar-SA"/>
        </w:rPr>
        <w:t>五、2024年度预算绩效管理情况说明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（一）预算绩效管理工作开展情况</w:t>
      </w:r>
    </w:p>
    <w:p>
      <w:pPr>
        <w:keepNext w:val="0"/>
        <w:keepLines w:val="0"/>
        <w:pageBreakBefore w:val="0"/>
        <w:tabs>
          <w:tab w:val="center" w:pos="4153"/>
          <w:tab w:val="left" w:pos="7275"/>
        </w:tabs>
        <w:kinsoku/>
        <w:wordWrap/>
        <w:overflowPunct/>
        <w:topLinePunct w:val="0"/>
        <w:autoSpaceDN/>
        <w:bidi w:val="0"/>
        <w:adjustRightInd/>
        <w:spacing w:line="594" w:lineRule="exact"/>
        <w:ind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根据预算绩效管理要求，我单位组织部门本级及所属单位对</w:t>
      </w:r>
      <w:r>
        <w:rPr>
          <w:rFonts w:hint="eastAsia" w:ascii="方正仿宋_GBK" w:hAnsi="方正仿宋_GBK" w:eastAsia="方正仿宋_GBK" w:cs="方正仿宋_GBK"/>
          <w:color w:val="auto"/>
          <w:sz w:val="32"/>
          <w:szCs w:val="32"/>
          <w:highlight w:val="none"/>
          <w:shd w:val="clear" w:color="auto" w:fill="auto"/>
          <w:lang w:val="en-US" w:eastAsia="zh-CN" w:bidi="ar-SA"/>
        </w:rPr>
        <w:t>86个二级项目</w:t>
      </w:r>
      <w:r>
        <w:rPr>
          <w:rFonts w:hint="eastAsia" w:ascii="方正仿宋_GBK" w:hAnsi="方正仿宋_GBK" w:eastAsia="方正仿宋_GBK" w:cs="方正仿宋_GBK"/>
          <w:color w:val="auto"/>
          <w:sz w:val="32"/>
          <w:szCs w:val="32"/>
          <w:lang w:val="en-US" w:eastAsia="zh-CN" w:bidi="ar-SA"/>
        </w:rPr>
        <w:t>开展了绩效自评，涉及财政拨款项目支出5250.86万元。</w:t>
      </w:r>
    </w:p>
    <w:p>
      <w:pPr>
        <w:tabs>
          <w:tab w:val="center" w:pos="4153"/>
          <w:tab w:val="left" w:pos="7275"/>
        </w:tabs>
        <w:spacing w:line="596" w:lineRule="exact"/>
        <w:jc w:val="center"/>
        <w:rPr>
          <w:rFonts w:cs="宋体"/>
          <w:color w:val="auto"/>
          <w:kern w:val="0"/>
          <w:szCs w:val="32"/>
        </w:rPr>
      </w:pPr>
      <w:r>
        <w:rPr>
          <w:rFonts w:hint="eastAsia" w:eastAsia="方正小标宋_GBK" w:cs="方正小标宋_GBK"/>
          <w:color w:val="auto"/>
          <w:kern w:val="0"/>
          <w:sz w:val="36"/>
          <w:szCs w:val="36"/>
          <w:lang w:val="en-US" w:eastAsia="zh-CN" w:bidi="ar"/>
        </w:rPr>
        <w:t>黄桷坪街道</w:t>
      </w:r>
      <w:r>
        <w:rPr>
          <w:rFonts w:hint="eastAsia" w:eastAsia="方正小标宋_GBK" w:cs="方正小标宋_GBK"/>
          <w:color w:val="auto"/>
          <w:kern w:val="0"/>
          <w:sz w:val="36"/>
          <w:szCs w:val="36"/>
          <w:lang w:bidi="ar"/>
        </w:rPr>
        <w:t>2024年度项目支出绩效自评表</w:t>
      </w:r>
    </w:p>
    <w:tbl>
      <w:tblPr>
        <w:tblStyle w:val="6"/>
        <w:tblW w:w="8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50"/>
        <w:gridCol w:w="1215"/>
        <w:gridCol w:w="690"/>
        <w:gridCol w:w="705"/>
        <w:gridCol w:w="765"/>
        <w:gridCol w:w="735"/>
        <w:gridCol w:w="810"/>
        <w:gridCol w:w="750"/>
        <w:gridCol w:w="55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jc w:val="center"/>
        </w:trPr>
        <w:tc>
          <w:tcPr>
            <w:tcW w:w="600" w:type="dxa"/>
            <w:tcBorders>
              <w:top w:val="single" w:color="auto" w:sz="4" w:space="0"/>
            </w:tcBorders>
            <w:noWrap w:val="0"/>
            <w:vAlign w:val="center"/>
          </w:tcPr>
          <w:p>
            <w:pPr>
              <w:widowControl/>
              <w:jc w:val="center"/>
              <w:textAlignment w:val="center"/>
              <w:rPr>
                <w:rFonts w:eastAsia="方正黑体_GBK" w:cs="方正黑体_GBK"/>
                <w:color w:val="auto"/>
                <w:sz w:val="22"/>
              </w:rPr>
            </w:pPr>
            <w:r>
              <w:rPr>
                <w:rFonts w:hint="eastAsia" w:eastAsia="方正黑体_GBK" w:cs="方正黑体_GBK"/>
                <w:color w:val="auto"/>
                <w:kern w:val="0"/>
                <w:sz w:val="22"/>
                <w:lang w:bidi="ar"/>
              </w:rPr>
              <w:t>序号</w:t>
            </w:r>
          </w:p>
        </w:tc>
        <w:tc>
          <w:tcPr>
            <w:tcW w:w="750" w:type="dxa"/>
            <w:tcBorders>
              <w:top w:val="single" w:color="auto" w:sz="4" w:space="0"/>
            </w:tcBorders>
            <w:noWrap w:val="0"/>
            <w:vAlign w:val="center"/>
          </w:tcPr>
          <w:p>
            <w:pPr>
              <w:widowControl/>
              <w:jc w:val="center"/>
              <w:textAlignment w:val="center"/>
              <w:rPr>
                <w:rFonts w:eastAsia="方正黑体_GBK" w:cs="方正黑体_GBK"/>
                <w:color w:val="auto"/>
                <w:sz w:val="22"/>
              </w:rPr>
            </w:pPr>
            <w:r>
              <w:rPr>
                <w:rFonts w:hint="eastAsia" w:eastAsia="方正黑体_GBK" w:cs="方正黑体_GBK"/>
                <w:color w:val="auto"/>
                <w:kern w:val="0"/>
                <w:sz w:val="22"/>
                <w:lang w:bidi="ar"/>
              </w:rPr>
              <w:t>项目名称</w:t>
            </w:r>
          </w:p>
        </w:tc>
        <w:tc>
          <w:tcPr>
            <w:tcW w:w="1215" w:type="dxa"/>
            <w:tcBorders>
              <w:top w:val="single" w:color="auto" w:sz="4" w:space="0"/>
            </w:tcBorders>
            <w:noWrap w:val="0"/>
            <w:vAlign w:val="center"/>
          </w:tcPr>
          <w:p>
            <w:pPr>
              <w:widowControl/>
              <w:jc w:val="center"/>
              <w:textAlignment w:val="center"/>
              <w:rPr>
                <w:rFonts w:eastAsia="方正黑体_GBK" w:cs="方正黑体_GBK"/>
                <w:color w:val="auto"/>
                <w:sz w:val="22"/>
              </w:rPr>
            </w:pPr>
            <w:r>
              <w:rPr>
                <w:rFonts w:hint="eastAsia" w:eastAsia="方正黑体_GBK" w:cs="方正黑体_GBK"/>
                <w:color w:val="auto"/>
                <w:kern w:val="0"/>
                <w:sz w:val="22"/>
                <w:lang w:bidi="ar"/>
              </w:rPr>
              <w:t>指标名称</w:t>
            </w:r>
          </w:p>
        </w:tc>
        <w:tc>
          <w:tcPr>
            <w:tcW w:w="690" w:type="dxa"/>
            <w:tcBorders>
              <w:top w:val="single" w:color="auto" w:sz="4" w:space="0"/>
            </w:tcBorders>
            <w:noWrap w:val="0"/>
            <w:vAlign w:val="center"/>
          </w:tcPr>
          <w:p>
            <w:pPr>
              <w:widowControl/>
              <w:jc w:val="center"/>
              <w:textAlignment w:val="center"/>
              <w:rPr>
                <w:rFonts w:eastAsia="方正黑体_GBK" w:cs="方正黑体_GBK"/>
                <w:color w:val="auto"/>
                <w:sz w:val="22"/>
              </w:rPr>
            </w:pPr>
            <w:r>
              <w:rPr>
                <w:rFonts w:hint="eastAsia" w:eastAsia="方正黑体_GBK" w:cs="方正黑体_GBK"/>
                <w:color w:val="auto"/>
                <w:kern w:val="0"/>
                <w:sz w:val="22"/>
                <w:lang w:bidi="ar"/>
              </w:rPr>
              <w:t>指标性质</w:t>
            </w:r>
          </w:p>
        </w:tc>
        <w:tc>
          <w:tcPr>
            <w:tcW w:w="705" w:type="dxa"/>
            <w:tcBorders>
              <w:top w:val="single" w:color="auto" w:sz="4" w:space="0"/>
            </w:tcBorders>
            <w:noWrap w:val="0"/>
            <w:vAlign w:val="center"/>
          </w:tcPr>
          <w:p>
            <w:pPr>
              <w:widowControl/>
              <w:jc w:val="center"/>
              <w:textAlignment w:val="center"/>
              <w:rPr>
                <w:rFonts w:eastAsia="方正黑体_GBK" w:cs="方正黑体_GBK"/>
                <w:color w:val="auto"/>
                <w:sz w:val="22"/>
              </w:rPr>
            </w:pPr>
            <w:r>
              <w:rPr>
                <w:rFonts w:hint="eastAsia" w:eastAsia="方正黑体_GBK" w:cs="方正黑体_GBK"/>
                <w:color w:val="auto"/>
                <w:kern w:val="0"/>
                <w:sz w:val="22"/>
                <w:lang w:bidi="ar"/>
              </w:rPr>
              <w:t>指标值</w:t>
            </w:r>
          </w:p>
        </w:tc>
        <w:tc>
          <w:tcPr>
            <w:tcW w:w="765" w:type="dxa"/>
            <w:tcBorders>
              <w:top w:val="single" w:color="auto" w:sz="4" w:space="0"/>
            </w:tcBorders>
            <w:noWrap w:val="0"/>
            <w:vAlign w:val="center"/>
          </w:tcPr>
          <w:p>
            <w:pPr>
              <w:widowControl/>
              <w:jc w:val="center"/>
              <w:textAlignment w:val="center"/>
              <w:rPr>
                <w:rFonts w:eastAsia="方正黑体_GBK" w:cs="方正黑体_GBK"/>
                <w:color w:val="auto"/>
                <w:sz w:val="22"/>
              </w:rPr>
            </w:pPr>
            <w:r>
              <w:rPr>
                <w:rFonts w:hint="eastAsia" w:eastAsia="方正黑体_GBK" w:cs="方正黑体_GBK"/>
                <w:color w:val="auto"/>
                <w:kern w:val="0"/>
                <w:sz w:val="22"/>
                <w:lang w:bidi="ar"/>
              </w:rPr>
              <w:t>计量单位</w:t>
            </w:r>
          </w:p>
        </w:tc>
        <w:tc>
          <w:tcPr>
            <w:tcW w:w="735" w:type="dxa"/>
            <w:tcBorders>
              <w:top w:val="single" w:color="auto" w:sz="4" w:space="0"/>
            </w:tcBorders>
            <w:noWrap w:val="0"/>
            <w:vAlign w:val="center"/>
          </w:tcPr>
          <w:p>
            <w:pPr>
              <w:widowControl/>
              <w:jc w:val="center"/>
              <w:textAlignment w:val="center"/>
              <w:rPr>
                <w:rFonts w:eastAsia="方正黑体_GBK" w:cs="方正黑体_GBK"/>
                <w:color w:val="auto"/>
                <w:sz w:val="22"/>
              </w:rPr>
            </w:pPr>
            <w:r>
              <w:rPr>
                <w:rFonts w:hint="eastAsia" w:eastAsia="方正黑体_GBK" w:cs="方正黑体_GBK"/>
                <w:color w:val="auto"/>
                <w:kern w:val="0"/>
                <w:sz w:val="22"/>
                <w:lang w:bidi="ar"/>
              </w:rPr>
              <w:t>指标权重</w:t>
            </w:r>
          </w:p>
        </w:tc>
        <w:tc>
          <w:tcPr>
            <w:tcW w:w="810" w:type="dxa"/>
            <w:tcBorders>
              <w:top w:val="single" w:color="auto" w:sz="4" w:space="0"/>
            </w:tcBorders>
            <w:noWrap w:val="0"/>
            <w:vAlign w:val="center"/>
          </w:tcPr>
          <w:p>
            <w:pPr>
              <w:widowControl/>
              <w:jc w:val="center"/>
              <w:textAlignment w:val="center"/>
              <w:rPr>
                <w:rFonts w:eastAsia="方正黑体_GBK" w:cs="方正黑体_GBK"/>
                <w:color w:val="auto"/>
                <w:sz w:val="22"/>
              </w:rPr>
            </w:pPr>
            <w:r>
              <w:rPr>
                <w:rFonts w:hint="eastAsia" w:eastAsia="方正黑体_GBK" w:cs="方正黑体_GBK"/>
                <w:color w:val="auto"/>
                <w:kern w:val="0"/>
                <w:sz w:val="22"/>
                <w:lang w:bidi="ar"/>
              </w:rPr>
              <w:t>全年完成值</w:t>
            </w:r>
          </w:p>
        </w:tc>
        <w:tc>
          <w:tcPr>
            <w:tcW w:w="750" w:type="dxa"/>
            <w:tcBorders>
              <w:top w:val="single" w:color="auto" w:sz="4" w:space="0"/>
            </w:tcBorders>
            <w:noWrap w:val="0"/>
            <w:vAlign w:val="center"/>
          </w:tcPr>
          <w:p>
            <w:pPr>
              <w:widowControl/>
              <w:jc w:val="center"/>
              <w:textAlignment w:val="center"/>
              <w:rPr>
                <w:rFonts w:eastAsia="方正黑体_GBK" w:cs="方正黑体_GBK"/>
                <w:color w:val="auto"/>
                <w:sz w:val="22"/>
              </w:rPr>
            </w:pPr>
            <w:r>
              <w:rPr>
                <w:rFonts w:hint="eastAsia" w:eastAsia="方正黑体_GBK" w:cs="方正黑体_GBK"/>
                <w:color w:val="auto"/>
                <w:kern w:val="0"/>
                <w:sz w:val="22"/>
                <w:lang w:bidi="ar"/>
              </w:rPr>
              <w:t>指标得分</w:t>
            </w:r>
          </w:p>
        </w:tc>
        <w:tc>
          <w:tcPr>
            <w:tcW w:w="555" w:type="dxa"/>
            <w:tcBorders>
              <w:top w:val="single" w:color="auto" w:sz="4" w:space="0"/>
            </w:tcBorders>
            <w:noWrap w:val="0"/>
            <w:vAlign w:val="center"/>
          </w:tcPr>
          <w:p>
            <w:pPr>
              <w:widowControl/>
              <w:jc w:val="center"/>
              <w:textAlignment w:val="center"/>
              <w:rPr>
                <w:rFonts w:eastAsia="方正黑体_GBK" w:cs="方正黑体_GBK"/>
                <w:color w:val="auto"/>
                <w:sz w:val="22"/>
              </w:rPr>
            </w:pPr>
            <w:r>
              <w:rPr>
                <w:rFonts w:hint="eastAsia" w:eastAsia="方正黑体_GBK" w:cs="方正黑体_GBK"/>
                <w:color w:val="auto"/>
                <w:kern w:val="0"/>
                <w:sz w:val="22"/>
                <w:lang w:bidi="ar"/>
              </w:rPr>
              <w:t>说明</w:t>
            </w:r>
          </w:p>
        </w:tc>
        <w:tc>
          <w:tcPr>
            <w:tcW w:w="780" w:type="dxa"/>
            <w:tcBorders>
              <w:top w:val="single" w:color="auto" w:sz="4" w:space="0"/>
            </w:tcBorders>
            <w:noWrap w:val="0"/>
            <w:vAlign w:val="center"/>
          </w:tcPr>
          <w:p>
            <w:pPr>
              <w:widowControl/>
              <w:jc w:val="center"/>
              <w:textAlignment w:val="center"/>
              <w:rPr>
                <w:rFonts w:eastAsia="方正黑体_GBK" w:cs="方正黑体_GBK"/>
                <w:color w:val="auto"/>
                <w:sz w:val="22"/>
              </w:rPr>
            </w:pPr>
            <w:r>
              <w:rPr>
                <w:rFonts w:hint="eastAsia" w:eastAsia="方正黑体_GBK" w:cs="方正黑体_GBK"/>
                <w:color w:val="auto"/>
                <w:kern w:val="0"/>
                <w:sz w:val="22"/>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restart"/>
            <w:noWrap/>
            <w:vAlign w:val="center"/>
          </w:tcPr>
          <w:p>
            <w:pPr>
              <w:jc w:val="center"/>
              <w:textAlignment w:val="center"/>
              <w:rPr>
                <w:color w:val="auto"/>
                <w:sz w:val="22"/>
              </w:rPr>
            </w:pPr>
            <w:r>
              <w:rPr>
                <w:color w:val="auto"/>
                <w:kern w:val="0"/>
                <w:sz w:val="22"/>
                <w:lang w:bidi="ar"/>
              </w:rPr>
              <w:t>1</w:t>
            </w:r>
          </w:p>
        </w:tc>
        <w:tc>
          <w:tcPr>
            <w:tcW w:w="750" w:type="dxa"/>
            <w:vMerge w:val="restart"/>
            <w:noWrap/>
            <w:vAlign w:val="center"/>
          </w:tcPr>
          <w:p>
            <w:pPr>
              <w:jc w:val="center"/>
              <w:rPr>
                <w:rFonts w:cs="宋体"/>
                <w:color w:val="auto"/>
                <w:sz w:val="22"/>
              </w:rPr>
            </w:pPr>
            <w:r>
              <w:rPr>
                <w:rFonts w:ascii="宋体" w:hAnsi="宋体" w:eastAsia="宋体" w:cs="宋体"/>
                <w:color w:val="auto"/>
                <w:sz w:val="24"/>
                <w:szCs w:val="24"/>
              </w:rPr>
              <w:t>区第五次全国经济普查“两员”劳动报酬及数据质量工作经费</w:t>
            </w:r>
          </w:p>
        </w:tc>
        <w:tc>
          <w:tcPr>
            <w:tcW w:w="1215" w:type="dxa"/>
            <w:noWrap/>
            <w:vAlign w:val="center"/>
          </w:tcPr>
          <w:p>
            <w:pPr>
              <w:jc w:val="center"/>
              <w:rPr>
                <w:rFonts w:cs="宋体"/>
                <w:color w:val="auto"/>
                <w:sz w:val="22"/>
              </w:rPr>
            </w:pPr>
            <w:r>
              <w:rPr>
                <w:rFonts w:ascii="宋体" w:hAnsi="宋体" w:eastAsia="宋体" w:cs="宋体"/>
                <w:color w:val="auto"/>
                <w:sz w:val="24"/>
                <w:szCs w:val="24"/>
              </w:rPr>
              <w:t>单位数量</w:t>
            </w:r>
          </w:p>
        </w:tc>
        <w:tc>
          <w:tcPr>
            <w:tcW w:w="69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w:t>
            </w:r>
          </w:p>
        </w:tc>
        <w:tc>
          <w:tcPr>
            <w:tcW w:w="70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2393</w:t>
            </w:r>
          </w:p>
        </w:tc>
        <w:tc>
          <w:tcPr>
            <w:tcW w:w="76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户</w:t>
            </w:r>
          </w:p>
        </w:tc>
        <w:tc>
          <w:tcPr>
            <w:tcW w:w="73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20</w:t>
            </w:r>
          </w:p>
        </w:tc>
        <w:tc>
          <w:tcPr>
            <w:tcW w:w="81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2393</w:t>
            </w:r>
          </w:p>
        </w:tc>
        <w:tc>
          <w:tcPr>
            <w:tcW w:w="75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20</w:t>
            </w:r>
          </w:p>
        </w:tc>
        <w:tc>
          <w:tcPr>
            <w:tcW w:w="555" w:type="dxa"/>
            <w:noWrap/>
            <w:vAlign w:val="center"/>
          </w:tcPr>
          <w:p>
            <w:pPr>
              <w:rPr>
                <w:rFonts w:cs="宋体"/>
                <w:color w:val="auto"/>
                <w:sz w:val="22"/>
              </w:rPr>
            </w:pPr>
          </w:p>
        </w:tc>
        <w:tc>
          <w:tcPr>
            <w:tcW w:w="780" w:type="dxa"/>
            <w:vMerge w:val="restart"/>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continue"/>
            <w:noWrap/>
            <w:vAlign w:val="center"/>
          </w:tcPr>
          <w:p>
            <w:pPr>
              <w:jc w:val="center"/>
              <w:textAlignment w:val="center"/>
              <w:rPr>
                <w:color w:val="auto"/>
                <w:sz w:val="22"/>
              </w:rPr>
            </w:pPr>
          </w:p>
        </w:tc>
        <w:tc>
          <w:tcPr>
            <w:tcW w:w="750" w:type="dxa"/>
            <w:vMerge w:val="continue"/>
            <w:noWrap/>
            <w:vAlign w:val="center"/>
          </w:tcPr>
          <w:p>
            <w:pPr>
              <w:jc w:val="center"/>
              <w:rPr>
                <w:rFonts w:cs="宋体"/>
                <w:color w:val="auto"/>
                <w:sz w:val="22"/>
              </w:rPr>
            </w:pPr>
          </w:p>
        </w:tc>
        <w:tc>
          <w:tcPr>
            <w:tcW w:w="1215" w:type="dxa"/>
            <w:noWrap/>
            <w:vAlign w:val="center"/>
          </w:tcPr>
          <w:p>
            <w:pPr>
              <w:jc w:val="center"/>
              <w:rPr>
                <w:rFonts w:cs="宋体"/>
                <w:color w:val="auto"/>
                <w:sz w:val="22"/>
              </w:rPr>
            </w:pPr>
            <w:r>
              <w:rPr>
                <w:rFonts w:ascii="宋体" w:hAnsi="宋体" w:eastAsia="宋体" w:cs="宋体"/>
                <w:color w:val="auto"/>
                <w:sz w:val="24"/>
                <w:szCs w:val="24"/>
              </w:rPr>
              <w:t>个体数量</w:t>
            </w:r>
          </w:p>
        </w:tc>
        <w:tc>
          <w:tcPr>
            <w:tcW w:w="69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w:t>
            </w:r>
          </w:p>
        </w:tc>
        <w:tc>
          <w:tcPr>
            <w:tcW w:w="70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849</w:t>
            </w:r>
          </w:p>
        </w:tc>
        <w:tc>
          <w:tcPr>
            <w:tcW w:w="76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户</w:t>
            </w:r>
          </w:p>
        </w:tc>
        <w:tc>
          <w:tcPr>
            <w:tcW w:w="73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15</w:t>
            </w:r>
          </w:p>
        </w:tc>
        <w:tc>
          <w:tcPr>
            <w:tcW w:w="81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849</w:t>
            </w:r>
          </w:p>
        </w:tc>
        <w:tc>
          <w:tcPr>
            <w:tcW w:w="75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15</w:t>
            </w:r>
          </w:p>
        </w:tc>
        <w:tc>
          <w:tcPr>
            <w:tcW w:w="555" w:type="dxa"/>
            <w:noWrap/>
            <w:vAlign w:val="center"/>
          </w:tcPr>
          <w:p>
            <w:pPr>
              <w:rPr>
                <w:rFonts w:cs="宋体"/>
                <w:color w:val="auto"/>
                <w:sz w:val="22"/>
              </w:rPr>
            </w:pPr>
          </w:p>
        </w:tc>
        <w:tc>
          <w:tcPr>
            <w:tcW w:w="780" w:type="dxa"/>
            <w:vMerge w:val="continue"/>
            <w:noWrap/>
            <w:vAlign w:val="center"/>
          </w:tcPr>
          <w:p>
            <w:pPr>
              <w:jc w:val="center"/>
              <w:rPr>
                <w:rFonts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continue"/>
            <w:noWrap/>
            <w:vAlign w:val="center"/>
          </w:tcPr>
          <w:p>
            <w:pPr>
              <w:jc w:val="center"/>
              <w:textAlignment w:val="center"/>
              <w:rPr>
                <w:color w:val="auto"/>
                <w:sz w:val="22"/>
              </w:rPr>
            </w:pPr>
          </w:p>
        </w:tc>
        <w:tc>
          <w:tcPr>
            <w:tcW w:w="750" w:type="dxa"/>
            <w:vMerge w:val="continue"/>
            <w:noWrap/>
            <w:vAlign w:val="center"/>
          </w:tcPr>
          <w:p>
            <w:pPr>
              <w:jc w:val="center"/>
              <w:rPr>
                <w:rFonts w:cs="宋体"/>
                <w:color w:val="auto"/>
                <w:sz w:val="22"/>
              </w:rPr>
            </w:pPr>
          </w:p>
        </w:tc>
        <w:tc>
          <w:tcPr>
            <w:tcW w:w="1215" w:type="dxa"/>
            <w:noWrap/>
            <w:vAlign w:val="center"/>
          </w:tcPr>
          <w:p>
            <w:pPr>
              <w:jc w:val="center"/>
              <w:rPr>
                <w:rFonts w:cs="宋体"/>
                <w:color w:val="auto"/>
                <w:sz w:val="22"/>
              </w:rPr>
            </w:pPr>
            <w:r>
              <w:rPr>
                <w:rFonts w:ascii="宋体" w:hAnsi="宋体" w:eastAsia="宋体" w:cs="宋体"/>
                <w:color w:val="auto"/>
                <w:sz w:val="24"/>
                <w:szCs w:val="24"/>
              </w:rPr>
              <w:t>两员人数</w:t>
            </w:r>
          </w:p>
        </w:tc>
        <w:tc>
          <w:tcPr>
            <w:tcW w:w="69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w:t>
            </w:r>
          </w:p>
        </w:tc>
        <w:tc>
          <w:tcPr>
            <w:tcW w:w="70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93</w:t>
            </w:r>
          </w:p>
        </w:tc>
        <w:tc>
          <w:tcPr>
            <w:tcW w:w="76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人</w:t>
            </w:r>
          </w:p>
        </w:tc>
        <w:tc>
          <w:tcPr>
            <w:tcW w:w="73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15</w:t>
            </w:r>
          </w:p>
        </w:tc>
        <w:tc>
          <w:tcPr>
            <w:tcW w:w="81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93</w:t>
            </w:r>
          </w:p>
        </w:tc>
        <w:tc>
          <w:tcPr>
            <w:tcW w:w="75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15</w:t>
            </w:r>
          </w:p>
        </w:tc>
        <w:tc>
          <w:tcPr>
            <w:tcW w:w="555" w:type="dxa"/>
            <w:noWrap/>
            <w:vAlign w:val="center"/>
          </w:tcPr>
          <w:p>
            <w:pPr>
              <w:rPr>
                <w:rFonts w:cs="宋体"/>
                <w:color w:val="auto"/>
                <w:sz w:val="22"/>
              </w:rPr>
            </w:pPr>
          </w:p>
        </w:tc>
        <w:tc>
          <w:tcPr>
            <w:tcW w:w="780" w:type="dxa"/>
            <w:vMerge w:val="continue"/>
            <w:noWrap/>
            <w:vAlign w:val="center"/>
          </w:tcPr>
          <w:p>
            <w:pPr>
              <w:jc w:val="center"/>
              <w:rPr>
                <w:rFonts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continue"/>
            <w:noWrap/>
            <w:vAlign w:val="center"/>
          </w:tcPr>
          <w:p>
            <w:pPr>
              <w:jc w:val="center"/>
              <w:textAlignment w:val="center"/>
              <w:rPr>
                <w:color w:val="auto"/>
                <w:sz w:val="22"/>
              </w:rPr>
            </w:pPr>
          </w:p>
        </w:tc>
        <w:tc>
          <w:tcPr>
            <w:tcW w:w="750" w:type="dxa"/>
            <w:vMerge w:val="continue"/>
            <w:noWrap/>
            <w:vAlign w:val="center"/>
          </w:tcPr>
          <w:p>
            <w:pPr>
              <w:jc w:val="center"/>
              <w:rPr>
                <w:rFonts w:cs="宋体"/>
                <w:color w:val="auto"/>
                <w:sz w:val="22"/>
              </w:rPr>
            </w:pPr>
          </w:p>
        </w:tc>
        <w:tc>
          <w:tcPr>
            <w:tcW w:w="1215" w:type="dxa"/>
            <w:noWrap/>
            <w:vAlign w:val="center"/>
          </w:tcPr>
          <w:p>
            <w:pPr>
              <w:jc w:val="center"/>
              <w:rPr>
                <w:rFonts w:cs="宋体"/>
                <w:color w:val="auto"/>
                <w:sz w:val="22"/>
              </w:rPr>
            </w:pPr>
            <w:r>
              <w:rPr>
                <w:rFonts w:ascii="宋体" w:hAnsi="宋体" w:eastAsia="宋体" w:cs="宋体"/>
                <w:color w:val="auto"/>
                <w:sz w:val="24"/>
                <w:szCs w:val="24"/>
              </w:rPr>
              <w:t>单位登记覆盖率</w:t>
            </w:r>
          </w:p>
        </w:tc>
        <w:tc>
          <w:tcPr>
            <w:tcW w:w="69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w:t>
            </w:r>
          </w:p>
        </w:tc>
        <w:tc>
          <w:tcPr>
            <w:tcW w:w="70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100</w:t>
            </w:r>
          </w:p>
        </w:tc>
        <w:tc>
          <w:tcPr>
            <w:tcW w:w="76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w:t>
            </w:r>
          </w:p>
        </w:tc>
        <w:tc>
          <w:tcPr>
            <w:tcW w:w="73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10</w:t>
            </w:r>
          </w:p>
        </w:tc>
        <w:tc>
          <w:tcPr>
            <w:tcW w:w="81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100</w:t>
            </w:r>
          </w:p>
        </w:tc>
        <w:tc>
          <w:tcPr>
            <w:tcW w:w="75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10</w:t>
            </w:r>
          </w:p>
        </w:tc>
        <w:tc>
          <w:tcPr>
            <w:tcW w:w="555" w:type="dxa"/>
            <w:noWrap/>
            <w:vAlign w:val="center"/>
          </w:tcPr>
          <w:p>
            <w:pPr>
              <w:rPr>
                <w:rFonts w:cs="宋体"/>
                <w:color w:val="auto"/>
                <w:sz w:val="22"/>
              </w:rPr>
            </w:pPr>
          </w:p>
        </w:tc>
        <w:tc>
          <w:tcPr>
            <w:tcW w:w="780" w:type="dxa"/>
            <w:vMerge w:val="continue"/>
            <w:noWrap/>
            <w:vAlign w:val="center"/>
          </w:tcPr>
          <w:p>
            <w:pPr>
              <w:jc w:val="center"/>
              <w:rPr>
                <w:rFonts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continue"/>
            <w:noWrap/>
            <w:vAlign w:val="center"/>
          </w:tcPr>
          <w:p>
            <w:pPr>
              <w:jc w:val="center"/>
              <w:textAlignment w:val="center"/>
              <w:rPr>
                <w:color w:val="auto"/>
                <w:sz w:val="22"/>
              </w:rPr>
            </w:pPr>
          </w:p>
        </w:tc>
        <w:tc>
          <w:tcPr>
            <w:tcW w:w="750" w:type="dxa"/>
            <w:vMerge w:val="continue"/>
            <w:noWrap/>
            <w:vAlign w:val="center"/>
          </w:tcPr>
          <w:p>
            <w:pPr>
              <w:jc w:val="center"/>
              <w:rPr>
                <w:rFonts w:cs="宋体"/>
                <w:color w:val="auto"/>
                <w:sz w:val="22"/>
              </w:rPr>
            </w:pPr>
          </w:p>
        </w:tc>
        <w:tc>
          <w:tcPr>
            <w:tcW w:w="1215" w:type="dxa"/>
            <w:noWrap/>
            <w:vAlign w:val="center"/>
          </w:tcPr>
          <w:p>
            <w:pPr>
              <w:jc w:val="center"/>
              <w:rPr>
                <w:rFonts w:cs="宋体"/>
                <w:color w:val="auto"/>
                <w:sz w:val="22"/>
              </w:rPr>
            </w:pPr>
            <w:r>
              <w:rPr>
                <w:rFonts w:ascii="宋体" w:hAnsi="宋体" w:eastAsia="宋体" w:cs="宋体"/>
                <w:color w:val="auto"/>
                <w:sz w:val="24"/>
                <w:szCs w:val="24"/>
              </w:rPr>
              <w:t>掌握各类基本单位个数和结构</w:t>
            </w:r>
          </w:p>
        </w:tc>
        <w:tc>
          <w:tcPr>
            <w:tcW w:w="690" w:type="dxa"/>
            <w:noWrap/>
            <w:vAlign w:val="center"/>
          </w:tcPr>
          <w:p>
            <w:pPr>
              <w:jc w:val="center"/>
              <w:rPr>
                <w:rFonts w:cs="宋体"/>
                <w:color w:val="auto"/>
                <w:sz w:val="22"/>
              </w:rPr>
            </w:pPr>
          </w:p>
        </w:tc>
        <w:tc>
          <w:tcPr>
            <w:tcW w:w="70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定性</w:t>
            </w:r>
          </w:p>
        </w:tc>
        <w:tc>
          <w:tcPr>
            <w:tcW w:w="765" w:type="dxa"/>
            <w:noWrap/>
            <w:vAlign w:val="center"/>
          </w:tcPr>
          <w:p>
            <w:pPr>
              <w:jc w:val="center"/>
              <w:rPr>
                <w:rFonts w:cs="宋体"/>
                <w:color w:val="auto"/>
                <w:sz w:val="22"/>
              </w:rPr>
            </w:pPr>
          </w:p>
        </w:tc>
        <w:tc>
          <w:tcPr>
            <w:tcW w:w="73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10</w:t>
            </w:r>
          </w:p>
        </w:tc>
        <w:tc>
          <w:tcPr>
            <w:tcW w:w="81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全部完成</w:t>
            </w:r>
          </w:p>
        </w:tc>
        <w:tc>
          <w:tcPr>
            <w:tcW w:w="75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10</w:t>
            </w:r>
          </w:p>
        </w:tc>
        <w:tc>
          <w:tcPr>
            <w:tcW w:w="555" w:type="dxa"/>
            <w:noWrap/>
            <w:vAlign w:val="center"/>
          </w:tcPr>
          <w:p>
            <w:pPr>
              <w:rPr>
                <w:rFonts w:cs="宋体"/>
                <w:color w:val="auto"/>
                <w:sz w:val="22"/>
              </w:rPr>
            </w:pPr>
          </w:p>
        </w:tc>
        <w:tc>
          <w:tcPr>
            <w:tcW w:w="780" w:type="dxa"/>
            <w:vMerge w:val="continue"/>
            <w:noWrap/>
            <w:vAlign w:val="center"/>
          </w:tcPr>
          <w:p>
            <w:pPr>
              <w:jc w:val="center"/>
              <w:rPr>
                <w:rFonts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continue"/>
            <w:noWrap/>
            <w:vAlign w:val="center"/>
          </w:tcPr>
          <w:p>
            <w:pPr>
              <w:jc w:val="center"/>
              <w:textAlignment w:val="center"/>
              <w:rPr>
                <w:color w:val="auto"/>
                <w:sz w:val="22"/>
              </w:rPr>
            </w:pPr>
          </w:p>
        </w:tc>
        <w:tc>
          <w:tcPr>
            <w:tcW w:w="750" w:type="dxa"/>
            <w:vMerge w:val="continue"/>
            <w:noWrap/>
            <w:vAlign w:val="center"/>
          </w:tcPr>
          <w:p>
            <w:pPr>
              <w:jc w:val="center"/>
              <w:rPr>
                <w:rFonts w:cs="宋体"/>
                <w:color w:val="auto"/>
                <w:sz w:val="22"/>
              </w:rPr>
            </w:pPr>
          </w:p>
        </w:tc>
        <w:tc>
          <w:tcPr>
            <w:tcW w:w="1215" w:type="dxa"/>
            <w:noWrap/>
            <w:vAlign w:val="center"/>
          </w:tcPr>
          <w:p>
            <w:pPr>
              <w:jc w:val="center"/>
              <w:rPr>
                <w:rFonts w:cs="宋体"/>
                <w:color w:val="auto"/>
                <w:sz w:val="22"/>
              </w:rPr>
            </w:pPr>
            <w:r>
              <w:rPr>
                <w:rFonts w:ascii="宋体" w:hAnsi="宋体" w:eastAsia="宋体" w:cs="宋体"/>
                <w:color w:val="auto"/>
                <w:sz w:val="24"/>
                <w:szCs w:val="24"/>
              </w:rPr>
              <w:t>持续保证第五次经济普查顺利完成</w:t>
            </w:r>
          </w:p>
        </w:tc>
        <w:tc>
          <w:tcPr>
            <w:tcW w:w="690" w:type="dxa"/>
            <w:noWrap/>
            <w:vAlign w:val="center"/>
          </w:tcPr>
          <w:p>
            <w:pPr>
              <w:jc w:val="center"/>
              <w:rPr>
                <w:rFonts w:cs="宋体"/>
                <w:color w:val="auto"/>
                <w:sz w:val="22"/>
              </w:rPr>
            </w:pPr>
          </w:p>
        </w:tc>
        <w:tc>
          <w:tcPr>
            <w:tcW w:w="70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定性</w:t>
            </w:r>
          </w:p>
        </w:tc>
        <w:tc>
          <w:tcPr>
            <w:tcW w:w="765" w:type="dxa"/>
            <w:noWrap/>
            <w:vAlign w:val="center"/>
          </w:tcPr>
          <w:p>
            <w:pPr>
              <w:jc w:val="center"/>
              <w:rPr>
                <w:rFonts w:cs="宋体"/>
                <w:color w:val="auto"/>
                <w:sz w:val="22"/>
              </w:rPr>
            </w:pPr>
          </w:p>
        </w:tc>
        <w:tc>
          <w:tcPr>
            <w:tcW w:w="73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10</w:t>
            </w:r>
          </w:p>
        </w:tc>
        <w:tc>
          <w:tcPr>
            <w:tcW w:w="81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全部完成</w:t>
            </w:r>
          </w:p>
        </w:tc>
        <w:tc>
          <w:tcPr>
            <w:tcW w:w="75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10</w:t>
            </w:r>
          </w:p>
        </w:tc>
        <w:tc>
          <w:tcPr>
            <w:tcW w:w="555" w:type="dxa"/>
            <w:noWrap/>
            <w:vAlign w:val="center"/>
          </w:tcPr>
          <w:p>
            <w:pPr>
              <w:rPr>
                <w:rFonts w:cs="宋体"/>
                <w:color w:val="auto"/>
                <w:sz w:val="22"/>
              </w:rPr>
            </w:pPr>
          </w:p>
        </w:tc>
        <w:tc>
          <w:tcPr>
            <w:tcW w:w="780" w:type="dxa"/>
            <w:vMerge w:val="continue"/>
            <w:noWrap/>
            <w:vAlign w:val="center"/>
          </w:tcPr>
          <w:p>
            <w:pPr>
              <w:jc w:val="center"/>
              <w:rPr>
                <w:rFonts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00" w:type="dxa"/>
            <w:vMerge w:val="continue"/>
            <w:noWrap/>
            <w:vAlign w:val="center"/>
          </w:tcPr>
          <w:p>
            <w:pPr>
              <w:jc w:val="center"/>
              <w:textAlignment w:val="center"/>
              <w:rPr>
                <w:color w:val="auto"/>
                <w:sz w:val="22"/>
              </w:rPr>
            </w:pPr>
          </w:p>
        </w:tc>
        <w:tc>
          <w:tcPr>
            <w:tcW w:w="750" w:type="dxa"/>
            <w:vMerge w:val="continue"/>
            <w:noWrap/>
            <w:vAlign w:val="center"/>
          </w:tcPr>
          <w:p>
            <w:pPr>
              <w:jc w:val="center"/>
              <w:rPr>
                <w:rFonts w:cs="宋体"/>
                <w:color w:val="auto"/>
                <w:sz w:val="22"/>
              </w:rPr>
            </w:pPr>
          </w:p>
        </w:tc>
        <w:tc>
          <w:tcPr>
            <w:tcW w:w="1215" w:type="dxa"/>
            <w:noWrap/>
            <w:vAlign w:val="center"/>
          </w:tcPr>
          <w:p>
            <w:pPr>
              <w:jc w:val="center"/>
              <w:rPr>
                <w:rFonts w:cs="宋体"/>
                <w:color w:val="auto"/>
                <w:sz w:val="22"/>
              </w:rPr>
            </w:pPr>
            <w:r>
              <w:rPr>
                <w:rFonts w:ascii="宋体" w:hAnsi="宋体" w:eastAsia="宋体" w:cs="宋体"/>
                <w:color w:val="auto"/>
                <w:sz w:val="24"/>
                <w:szCs w:val="24"/>
              </w:rPr>
              <w:t>登记对象满意度</w:t>
            </w:r>
          </w:p>
        </w:tc>
        <w:tc>
          <w:tcPr>
            <w:tcW w:w="690" w:type="dxa"/>
            <w:noWrap/>
            <w:vAlign w:val="center"/>
          </w:tcPr>
          <w:p>
            <w:pPr>
              <w:jc w:val="center"/>
              <w:rPr>
                <w:rFonts w:cs="宋体"/>
                <w:color w:val="auto"/>
                <w:sz w:val="22"/>
              </w:rPr>
            </w:pPr>
            <w:r>
              <w:rPr>
                <w:rFonts w:hint="default" w:ascii="Arial" w:hAnsi="Arial" w:cs="Arial"/>
                <w:color w:val="auto"/>
                <w:sz w:val="22"/>
              </w:rPr>
              <w:t>≥</w:t>
            </w:r>
          </w:p>
        </w:tc>
        <w:tc>
          <w:tcPr>
            <w:tcW w:w="70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95</w:t>
            </w:r>
          </w:p>
        </w:tc>
        <w:tc>
          <w:tcPr>
            <w:tcW w:w="76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w:t>
            </w:r>
          </w:p>
        </w:tc>
        <w:tc>
          <w:tcPr>
            <w:tcW w:w="735"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10</w:t>
            </w:r>
          </w:p>
        </w:tc>
        <w:tc>
          <w:tcPr>
            <w:tcW w:w="81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96</w:t>
            </w:r>
          </w:p>
        </w:tc>
        <w:tc>
          <w:tcPr>
            <w:tcW w:w="750" w:type="dxa"/>
            <w:noWrap/>
            <w:vAlign w:val="center"/>
          </w:tcPr>
          <w:p>
            <w:pPr>
              <w:jc w:val="center"/>
              <w:rPr>
                <w:rFonts w:hint="eastAsia" w:eastAsia="宋体" w:cs="宋体"/>
                <w:color w:val="auto"/>
                <w:sz w:val="22"/>
                <w:lang w:val="en-US" w:eastAsia="zh-CN"/>
              </w:rPr>
            </w:pPr>
            <w:r>
              <w:rPr>
                <w:rFonts w:hint="eastAsia" w:cs="宋体"/>
                <w:color w:val="auto"/>
                <w:sz w:val="22"/>
                <w:lang w:val="en-US" w:eastAsia="zh-CN"/>
              </w:rPr>
              <w:t>10</w:t>
            </w:r>
          </w:p>
        </w:tc>
        <w:tc>
          <w:tcPr>
            <w:tcW w:w="555" w:type="dxa"/>
            <w:noWrap/>
            <w:vAlign w:val="center"/>
          </w:tcPr>
          <w:p>
            <w:pPr>
              <w:rPr>
                <w:rFonts w:cs="宋体"/>
                <w:color w:val="auto"/>
                <w:sz w:val="22"/>
              </w:rPr>
            </w:pPr>
          </w:p>
        </w:tc>
        <w:tc>
          <w:tcPr>
            <w:tcW w:w="780" w:type="dxa"/>
            <w:vMerge w:val="continue"/>
            <w:noWrap/>
            <w:vAlign w:val="center"/>
          </w:tcPr>
          <w:p>
            <w:pPr>
              <w:jc w:val="center"/>
              <w:rPr>
                <w:rFonts w:cs="宋体"/>
                <w:color w:val="auto"/>
                <w:sz w:val="22"/>
              </w:rPr>
            </w:pPr>
          </w:p>
        </w:tc>
      </w:tr>
    </w:tbl>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（二）单位重点绩效评价情况</w:t>
      </w:r>
    </w:p>
    <w:p>
      <w:pPr>
        <w:tabs>
          <w:tab w:val="center" w:pos="4153"/>
          <w:tab w:val="left" w:pos="7275"/>
        </w:tabs>
        <w:spacing w:line="600" w:lineRule="exact"/>
        <w:ind w:firstLine="640" w:firstLineChars="200"/>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我单位未开展重点绩效评价。</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（三）财政绩效评价情况</w:t>
      </w:r>
    </w:p>
    <w:p>
      <w:pPr>
        <w:tabs>
          <w:tab w:val="center" w:pos="4153"/>
          <w:tab w:val="left" w:pos="7275"/>
        </w:tabs>
        <w:spacing w:line="600" w:lineRule="exact"/>
        <w:ind w:firstLine="640" w:firstLineChars="200"/>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b w:val="0"/>
          <w:bCs w:val="0"/>
          <w:color w:val="auto"/>
          <w:sz w:val="32"/>
          <w:szCs w:val="32"/>
          <w:shd w:val="clear" w:color="auto" w:fill="FFFFFF"/>
          <w:lang w:val="en-US" w:eastAsia="zh-CN" w:bidi="ar-SA"/>
        </w:rPr>
        <w:t>财政局未委托第三方对我单位开展绩效评价</w:t>
      </w:r>
      <w:r>
        <w:rPr>
          <w:rFonts w:hint="eastAsia" w:ascii="方正仿宋_GBK" w:hAnsi="方正仿宋_GBK" w:eastAsia="方正仿宋_GBK" w:cs="方正仿宋_GBK"/>
          <w:color w:val="auto"/>
          <w:kern w:val="0"/>
          <w:sz w:val="32"/>
          <w:szCs w:val="32"/>
          <w:shd w:val="clear" w:fill="FFFFFF"/>
          <w:lang w:val="en-US" w:eastAsia="zh-CN" w:bidi="ar-SA"/>
        </w:rPr>
        <w:t>。</w:t>
      </w:r>
    </w:p>
    <w:p>
      <w:pPr>
        <w:spacing w:line="600" w:lineRule="exact"/>
        <w:ind w:firstLine="630"/>
        <w:jc w:val="left"/>
        <w:rPr>
          <w:rStyle w:val="11"/>
          <w:rFonts w:hint="eastAsia" w:ascii="方正仿宋_GBK" w:hAnsi="方正仿宋_GBK" w:eastAsia="方正仿宋_GBK" w:cs="方正仿宋_GBK"/>
          <w:color w:val="auto"/>
          <w:sz w:val="32"/>
          <w:szCs w:val="32"/>
          <w:shd w:val="clear" w:fill="FFFFFF"/>
          <w:lang w:val="en-US" w:eastAsia="zh-CN" w:bidi="ar-SA"/>
        </w:rPr>
      </w:pPr>
      <w:r>
        <w:rPr>
          <w:rStyle w:val="11"/>
          <w:rFonts w:hint="eastAsia" w:ascii="方正仿宋_GBK" w:hAnsi="方正仿宋_GBK" w:eastAsia="方正仿宋_GBK" w:cs="方正仿宋_GBK"/>
          <w:color w:val="auto"/>
          <w:sz w:val="32"/>
          <w:szCs w:val="32"/>
          <w:shd w:val="clear"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shd w:val="clear" w:fill="FFFFFF"/>
        </w:rPr>
        <w:t>指单位取得的除“财政拨款收入</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rPr>
        <w:t>事业收入</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shd w:val="clear" w:fill="FFFFFF"/>
        </w:rPr>
        <w:t>指单位在当年的“财政拨款收入</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rPr>
        <w:t>事业收入</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rPr>
        <w:t>经营收入</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rPr>
        <w:t>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黑体_GBK" w:hAnsi="方正黑体_GBK" w:eastAsia="方正黑体_GBK" w:cs="方正黑体_GBK"/>
          <w:b w:val="0"/>
          <w:bCs/>
          <w:color w:val="auto"/>
          <w:kern w:val="0"/>
          <w:sz w:val="32"/>
          <w:szCs w:val="32"/>
        </w:rPr>
      </w:pPr>
      <w:r>
        <w:rPr>
          <w:rStyle w:val="8"/>
          <w:rFonts w:hint="eastAsia" w:ascii="方正黑体_GBK" w:hAnsi="方正黑体_GBK" w:eastAsia="方正黑体_GBK" w:cs="方正黑体_GBK"/>
          <w:b w:val="0"/>
          <w:bCs/>
          <w:color w:val="auto"/>
          <w:sz w:val="32"/>
          <w:szCs w:val="32"/>
          <w:shd w:val="clear" w:color="auto" w:fill="FFFFFF"/>
          <w:lang w:val="en-US" w:eastAsia="zh-CN" w:bidi="ar-SA"/>
        </w:rPr>
        <w:t>七、决算公开联系方式及信息反馈渠道</w:t>
      </w:r>
    </w:p>
    <w:p>
      <w:pPr>
        <w:adjustRightInd w:val="0"/>
        <w:snapToGrid w:val="0"/>
        <w:spacing w:line="600" w:lineRule="exact"/>
        <w:ind w:firstLine="640" w:firstLineChars="200"/>
        <w:jc w:val="left"/>
        <w:rPr>
          <w:rStyle w:val="8"/>
          <w:rFonts w:hint="default" w:ascii="Times New Roman" w:hAnsi="Times New Roman" w:eastAsia="黑体" w:cs="Times New Roman"/>
          <w:color w:val="auto"/>
          <w:sz w:val="32"/>
          <w:szCs w:val="32"/>
          <w:highlight w:val="yellow"/>
          <w:shd w:val="clear" w:color="auto"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023-86182888</w:t>
      </w:r>
    </w:p>
    <w:p>
      <w:pPr>
        <w:adjustRightInd w:val="0"/>
        <w:snapToGrid w:val="0"/>
        <w:spacing w:line="600" w:lineRule="exact"/>
        <w:ind w:firstLine="640" w:firstLineChars="200"/>
        <w:jc w:val="left"/>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附件：1.收入支出决算总表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2.收入决算表</w:t>
      </w:r>
    </w:p>
    <w:p>
      <w:pPr>
        <w:adjustRightInd w:val="0"/>
        <w:snapToGrid w:val="0"/>
        <w:spacing w:line="600" w:lineRule="exact"/>
        <w:ind w:firstLine="1600" w:firstLineChars="500"/>
        <w:jc w:val="left"/>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3.支出决算表</w:t>
      </w:r>
    </w:p>
    <w:p>
      <w:pPr>
        <w:adjustRightInd w:val="0"/>
        <w:snapToGrid w:val="0"/>
        <w:spacing w:line="600" w:lineRule="exact"/>
        <w:ind w:firstLine="1600" w:firstLineChars="500"/>
        <w:jc w:val="left"/>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4.财政拨款收入支出决算总表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5.一般公共预算财政拨款支出决算表</w:t>
      </w:r>
    </w:p>
    <w:p>
      <w:pPr>
        <w:adjustRightInd w:val="0"/>
        <w:snapToGrid w:val="0"/>
        <w:spacing w:line="600" w:lineRule="exact"/>
        <w:ind w:firstLine="1600" w:firstLineChars="500"/>
        <w:jc w:val="left"/>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6.一般公共预算财政拨款基本支出决算表</w:t>
      </w:r>
    </w:p>
    <w:p>
      <w:pPr>
        <w:adjustRightInd w:val="0"/>
        <w:snapToGrid w:val="0"/>
        <w:spacing w:line="600" w:lineRule="exact"/>
        <w:jc w:val="left"/>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 xml:space="preserve">          7.政府性基金预算财政拨款收入支出决算表</w:t>
      </w:r>
    </w:p>
    <w:p>
      <w:pPr>
        <w:adjustRightInd w:val="0"/>
        <w:snapToGrid w:val="0"/>
        <w:spacing w:line="600" w:lineRule="exact"/>
        <w:ind w:firstLine="1600" w:firstLineChars="500"/>
        <w:jc w:val="left"/>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8.国有资本经营预算财政拨款支出决算表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9.机构运行信息表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p>
    <w:p>
      <w:pPr>
        <w:pStyle w:val="9"/>
        <w:autoSpaceDE w:val="0"/>
        <w:spacing w:line="596" w:lineRule="exact"/>
        <w:ind w:firstLine="640"/>
        <w:jc w:val="both"/>
        <w:rPr>
          <w:rStyle w:val="8"/>
          <w:rFonts w:ascii="方正仿宋_GBK" w:hAnsi="方正仿宋_GBK" w:eastAsia="方正仿宋_GBK" w:cs="方正仿宋_GBK"/>
          <w:color w:val="auto"/>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6"/>
        <w:tblW w:w="14737" w:type="dxa"/>
        <w:jc w:val="center"/>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jc w:val="center"/>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jc w:val="center"/>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jc w:val="center"/>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rPr>
            </w:pPr>
            <w:r>
              <w:rPr>
                <w:rFonts w:hint="eastAsia" w:cs="宋体"/>
                <w:color w:val="auto"/>
                <w:sz w:val="20"/>
                <w:szCs w:val="20"/>
                <w:lang w:eastAsia="zh-CN"/>
              </w:rPr>
              <w:t>部门</w:t>
            </w:r>
            <w:r>
              <w:rPr>
                <w:rFonts w:cs="宋体"/>
                <w:color w:val="auto"/>
                <w:sz w:val="20"/>
                <w:szCs w:val="20"/>
              </w:rPr>
              <w:t>：</w:t>
            </w:r>
            <w:r>
              <w:rPr>
                <w:color w:val="auto"/>
                <w:sz w:val="20"/>
                <w:u w:color="auto"/>
              </w:rPr>
              <w:t>重庆市九龙坡区人民政府黄桷坪街道办事处（本级）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jc w:val="center"/>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5,928.53</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2,046.25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121.17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26.55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65.50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2,194.48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173.75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1,002.26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276.37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18.11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64.78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51.94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101.23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6,049.70</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6,049.70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6,049.70</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6,049.70</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6"/>
        <w:tblW w:w="15503" w:type="dxa"/>
        <w:jc w:val="center"/>
        <w:tblInd w:w="0" w:type="dxa"/>
        <w:tblLayout w:type="fixed"/>
        <w:tblCellMar>
          <w:top w:w="0" w:type="dxa"/>
          <w:left w:w="0" w:type="dxa"/>
          <w:bottom w:w="0" w:type="dxa"/>
          <w:right w:w="0" w:type="dxa"/>
        </w:tblCellMar>
      </w:tblPr>
      <w:tblGrid>
        <w:gridCol w:w="1363"/>
        <w:gridCol w:w="2972"/>
        <w:gridCol w:w="1378"/>
        <w:gridCol w:w="1431"/>
        <w:gridCol w:w="1466"/>
        <w:gridCol w:w="1357"/>
        <w:gridCol w:w="1383"/>
        <w:gridCol w:w="1256"/>
        <w:gridCol w:w="1256"/>
        <w:gridCol w:w="1641"/>
      </w:tblGrid>
      <w:tr>
        <w:tblPrEx>
          <w:tblLayout w:type="fixed"/>
          <w:tblCellMar>
            <w:top w:w="0" w:type="dxa"/>
            <w:left w:w="0" w:type="dxa"/>
            <w:bottom w:w="0" w:type="dxa"/>
            <w:right w:w="0" w:type="dxa"/>
          </w:tblCellMar>
        </w:tblPrEx>
        <w:trPr>
          <w:trHeight w:val="641" w:hRule="atLeast"/>
          <w:jc w:val="center"/>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jc w:val="center"/>
        </w:trPr>
        <w:tc>
          <w:tcPr>
            <w:tcW w:w="5713"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重庆市九龙坡区人民政府黄桷坪街道办事处（本级）</w:t>
            </w:r>
          </w:p>
        </w:tc>
        <w:tc>
          <w:tcPr>
            <w:tcW w:w="14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jc w:val="center"/>
        </w:trPr>
        <w:tc>
          <w:tcPr>
            <w:tcW w:w="571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jc w:val="center"/>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jc w:val="center"/>
        </w:trPr>
        <w:tc>
          <w:tcPr>
            <w:tcW w:w="136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7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jc w:val="center"/>
        </w:trPr>
        <w:tc>
          <w:tcPr>
            <w:tcW w:w="136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97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jc w:val="center"/>
        </w:trPr>
        <w:tc>
          <w:tcPr>
            <w:tcW w:w="136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97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jc w:val="center"/>
        </w:trPr>
        <w:tc>
          <w:tcPr>
            <w:tcW w:w="136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97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jc w:val="center"/>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6,049.70</w:t>
            </w:r>
            <w:r>
              <w:rPr>
                <w:rFonts w:ascii="Times New Roman" w:hAnsi="Times New Roman"/>
                <w:b/>
                <w:color w:val="auto"/>
                <w:sz w:val="20"/>
                <w:u w:color="auto"/>
              </w:rPr>
              <w:t xml:space="preserve"> </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6,049.70</w:t>
            </w:r>
            <w:r>
              <w:rPr>
                <w:rFonts w:ascii="Times New Roman" w:hAnsi="Times New Roman"/>
                <w:b/>
                <w:color w:val="auto"/>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2,046.25</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2,046.25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人大事务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17.74</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17.74</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2010108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代表工作</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其他人大事务支出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10.04</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10.04</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政协事务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10.20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10.20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2010205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委员视察</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3.54</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3.54</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2010206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参政议政</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6.66</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1,920.25</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1,920.25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535.86</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535.86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其他政府办公厅（室）及相关机构事务支出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1,344.38</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1,344.38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统计信息事务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27.80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27.80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2010507</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专项普查活动</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27.80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27.80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20123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民族事务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0.95</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2012399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其他民族事务支出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20129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群众团体事务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2012999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其他群众团体事务支出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组织事务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12.94</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12.94</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2013299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其他组织事务支出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12.94</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12.94</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宣传事务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2013399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其他宣传事务支出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其他共产党事务支出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46.83</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46.83</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2013699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其他共产党事务支出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46.83</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46.83</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市场监督管理事务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0.96</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0.96</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2013899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其他市场监督管理事务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0.96</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社会工作事务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2013999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其他社会工作事务支出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国防支出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2.35</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2.35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20306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国防动员</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2.35</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2.35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2030601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兵役征集</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公共安全支出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7.07</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7.07</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20402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5.03</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5.03</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2040299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其他公安支出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5.03</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5.03</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20406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司法</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2.04</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2.04</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2040610</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社区矫正</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教育支出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26.55</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26.55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成人教育</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26.55</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26.55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2050499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其他成人教育支出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26.55</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26.55</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科学技术支出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6.06</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6.06</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20604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技术研究与开发</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5.09</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5.09</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2060499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其他技术研究与开发支出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5.09</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5.09</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20607</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科学技术普及</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0.97</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0.97</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2060702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科普活动</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0.97</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0.97</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65.50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65.50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65.50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65.50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62.47</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62.47</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2070111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文化创作与保护</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其他文化和旅游支出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2,194.48</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2,194.48</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39.12</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39.12</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其他人力资源和社会保障管理事务支出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39.12</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39.12</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民政管理事务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1,293.59</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1,293.59</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2080208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基层政权建设和社区治理</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1,293.59</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1,293.59</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170.75</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170.75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56.34</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56.34</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28.35</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28.35</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86.06</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86.06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抚恤</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364.47</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364.47</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死亡抚恤</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51.23</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51.23</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伤残抚恤</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64.54</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64.54</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在乡复员、退伍军人生活补助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义务兵优待</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119.73</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119.73</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农村籍退役士兵老年生活补助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3.46</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其他优抚支出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108.32</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108.32</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退役安置</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168.25</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168.25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2080902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军队移交政府的离退休人员安置</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166.68</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166.68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2080903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军队移交政府离退休干部管理机构</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2080999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其他退役安置支出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0.13</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0.13</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20810</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社会福利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137.80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137.80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2081002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老年福利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127.78</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127.78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2081099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其他社会福利支出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10.02</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10.02</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残疾人事业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13.03</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13.03</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其他残疾人事业支出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13.03</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13.03</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退役军人管理事务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4.83</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4.83</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2082899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其他退役军人事务管理支出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其他社会保障和就业支出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2.64</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2.64</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2089999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其他社会保障和就业支出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2.64</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2.64</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173.75</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173.75</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公共卫生</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13.38</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13.38</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2100499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其他公共卫生支出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13.38</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13.38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21007</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计划生育事务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119.60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119.60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2100799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其他计划生育事务支出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119.60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119.60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40.77</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40.77</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27.51</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27.51</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公务员医疗补助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8.24</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8.24</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5.02</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5.02</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1,002.26</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1,002.26</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环境监测与监察</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2110299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其他环境监测与监察支出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污染防治</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996.26</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996.26</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大气</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固体废弃物与化学品</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990.26</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990.26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276.37</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276.37</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127.11</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127.11</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其他城乡社区管理事务支出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127.11</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127.11</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城乡社区环境卫生</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140.40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140.40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2120501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城乡社区环境卫生</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140.40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140.40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国有土地使用权出让收入安排的支出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8.86</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8.86</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2120899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其他国有土地使用权出让收入安排的支出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8.86</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8.86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18.11</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18.11</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2130135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农业生态资源保护</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水利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2130314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防汛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0.06</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其他水利支出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2.47</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2.47</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21367</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三峡水库库区基金支出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11.08</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11.08</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2136799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其他三峡水库库区基金支出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11.08</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交通运输支出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64.78</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64.78</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公路水路运输</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64.78</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64.78</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2140104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公路建设</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2140106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公路养护</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44.78</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44.78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217</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金融支出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21702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金融部门监管支出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2170299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金融部门其他监管支出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51.94</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51.94</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保障性安居工程支出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0.48</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0.48</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其他保障性安居工程支出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0.48</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0.48</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51.46</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51.46</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44.16</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44.16</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购房补贴</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7.30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7.30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灾害防治及应急管理支出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应急管理事务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2240106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安全监管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22960</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彩票公益金安排的支出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2296002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用于社会福利的彩票公益金支出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94.23</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94.23</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atLeast"/>
          <w:jc w:val="center"/>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2296003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用于体育事业的彩票公益金支出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6"/>
        <w:tblW w:w="15322" w:type="dxa"/>
        <w:tblInd w:w="0" w:type="dxa"/>
        <w:tblLayout w:type="fixed"/>
        <w:tblCellMar>
          <w:top w:w="0" w:type="dxa"/>
          <w:left w:w="0" w:type="dxa"/>
          <w:bottom w:w="0" w:type="dxa"/>
          <w:right w:w="0" w:type="dxa"/>
        </w:tblCellMar>
      </w:tblPr>
      <w:tblGrid>
        <w:gridCol w:w="1237"/>
        <w:gridCol w:w="3916"/>
        <w:gridCol w:w="1800"/>
        <w:gridCol w:w="1741"/>
        <w:gridCol w:w="1572"/>
        <w:gridCol w:w="1508"/>
        <w:gridCol w:w="1670"/>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重庆市九龙坡区人民政府黄桷坪街道办事处（本级） </w:t>
            </w:r>
          </w:p>
        </w:tc>
        <w:tc>
          <w:tcPr>
            <w:tcW w:w="17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6,049.70</w:t>
            </w:r>
            <w:r>
              <w:rPr>
                <w:rFonts w:ascii="Times New Roman" w:hAnsi="Times New Roman"/>
                <w:b/>
                <w:color w:val="auto"/>
                <w:sz w:val="20"/>
                <w:u w:color="auto"/>
              </w:rPr>
              <w:t xml:space="preserve"> </w:t>
            </w:r>
          </w:p>
        </w:tc>
        <w:tc>
          <w:tcPr>
            <w:tcW w:w="1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798.84</w:t>
            </w:r>
            <w:r>
              <w:rPr>
                <w:rFonts w:ascii="Times New Roman" w:hAnsi="Times New Roman"/>
                <w:b/>
                <w:color w:val="auto"/>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5,250.86</w:t>
            </w:r>
            <w:r>
              <w:rPr>
                <w:rFonts w:ascii="Times New Roman" w:hAnsi="Times New Roman"/>
                <w:b/>
                <w:color w:val="auto"/>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2,046.25</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535.86</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1,510.39</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17.74</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17.74</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代表工作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其他人大事务支出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10.04</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10.04</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政协事务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10.20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10.20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委员视察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3.54</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3.54</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参政议政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6.66</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6.66</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1,920.25</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535.86</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1,384.38</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535.86</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535.86</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1,344.38</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1,344.38</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27.80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27.80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27.80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27.80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20123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民族事务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0.95</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0.95</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2012399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其他民族事务支出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群众团体事务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2012999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其他群众团体事务支出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12.94</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12.94</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其他组织事务支出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12.94</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12.94</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宣传事务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其他宣传事务支出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46.83</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46.83</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46.83</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46.83</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0.96</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0.96</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0.96</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0.96</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社会工作事务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其他社会工作事务支出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国防支出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2.35</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2.35</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国防动员</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2.35</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2.35</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2030601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兵役征集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7.07</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7.07</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5.03</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5.03</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2040299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其他公安支出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5.03</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5.03</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司法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2.04</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2.04</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2040610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社区矫正</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26.55</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26.55</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成人教育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26.55</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26.55</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其他成人教育支出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26.55</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26.55</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科学技术支出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6.06</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6.06</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20604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技术研究与开发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5.09</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5.09</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2060499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其他技术研究与开发支出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5.09</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5.09</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20607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科学技术普及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0.97</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0.97</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2060702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科普活动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0.97</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0.97</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65.50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65.50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65.50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65.50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62.47</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62.47</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文化创作与保护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2,194.48</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170.75</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2,023.73</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39.12</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39.12</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其他人力资源和社会保障管理事务支出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39.12</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39.12</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1,293.59</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1,293.59</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1,293.59</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1,293.59</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170.75</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170.75</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56.34</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56.34</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28.35</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28.35</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86.06</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86.06</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364.47</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364.47</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死亡抚恤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51.23</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51.23</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伤残抚恤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64.54</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64.54</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在乡复员、退伍军人生活补助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义务兵优待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119.73</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119.73</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农村籍退役士兵老年生活补助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3.46</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3.46</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其他优抚支出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108.32</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108.32</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168.25</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168.25</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军队移交政府的离退休人员安置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166.68</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166.68</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2080903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军队移交政府离退休干部管理机构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其他退役安置支出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0.13</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0.13</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137.80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137.80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老年福利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127.78</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127.78</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其他社会福利支出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10.02</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10.02</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13.03</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13.03</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13.03</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13.03</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4.83</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4.83</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其他退役军人事务管理支出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2.64</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2.64</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2089999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2.64</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2.64</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173.75</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40.77</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132.98</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13.38</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13.38</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2100499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其他公共卫生支出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13.38</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13.38</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计划生育事务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119.60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119.60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其他计划生育事务支出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119.60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119.60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40.77</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40.77</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27.51</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27.51</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公务员医疗补助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8.24</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8.24</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5.02</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5.02</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1,002.26</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1,002.26</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环境监测与监察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其他环境监测与监察支出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996.26</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996.26</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大气</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固体废弃物与化学品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990.26</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990.26</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276.37</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276.37</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127.11</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127.11</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127.11</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127.11</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140.40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140.40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140.40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140.40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8.86</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8.86</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8.86</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8.86</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18.11</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18.11</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2130135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农业生态资源保护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水利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防汛</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0.06</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0.06</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其他水利支出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2.47</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2.47</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21367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三峡水库库区基金支出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11.08</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11.08</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2136799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其他三峡水库库区基金支出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11.08</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11.08</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64.78</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64.78</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64.78</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64.78</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44.78</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44.78</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金融支出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21702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金融部门监管支出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2170299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金融部门其他监管支出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51.94</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51.46</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0.48</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0.48</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0.48</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0.48</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0.48</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51.46</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51.46</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44.16</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44.16</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购房补贴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7.30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7.30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用于社会福利的彩票公益金支出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94.23</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94.23</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2296003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用于体育事业的彩票公益金支出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6"/>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hint="eastAsia" w:cs="宋体"/>
                <w:color w:val="auto"/>
                <w:sz w:val="20"/>
                <w:szCs w:val="20"/>
                <w:lang w:eastAsia="zh-CN"/>
              </w:rPr>
              <w:t>部门</w:t>
            </w:r>
            <w:r>
              <w:rPr>
                <w:rFonts w:cs="宋体"/>
                <w:color w:val="auto"/>
                <w:sz w:val="20"/>
                <w:szCs w:val="20"/>
              </w:rPr>
              <w:t>：</w:t>
            </w:r>
            <w:r>
              <w:rPr>
                <w:color w:val="auto"/>
                <w:sz w:val="20"/>
                <w:u w:color="auto"/>
              </w:rPr>
              <w:t>重庆市九龙坡区人民政府黄桷坪街道办事处（本级）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5,928.53</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2,046.25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2,046.25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121.17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26.55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26.55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65.50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65.50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2,194.48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2,194.48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173.75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173.75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1,002.26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1,002.26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276.37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267.51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8.86</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11.08</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64.78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64.78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51.94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51.94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101.23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101.23</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6,049.70</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6,049.70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5,928.53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121.17</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6,049.70</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6,049.70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5,928.53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121.17</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6"/>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重庆市九龙坡区人民政府黄桷坪街道办事处（本级）</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5,928.53</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798.84</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5,129.69</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2,046.25</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535.86</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1,510.39</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人大事务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17.74</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17.74</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代表工作</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7.70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7.70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其他人大事务支出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10.04</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政协事务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10.20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10.20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委员视察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3.54</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3.54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2010206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参政议政</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1,920.25</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535.86</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1,384.38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535.86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535.86</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其他政府办公厅（室）及相关机构事务支出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1,344.38</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1,344.38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统计信息事务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27.80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27.80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2010507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专项普查活动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27.80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27.80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20123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民族事务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0.95</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0.95</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2012399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其他民族事务支出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20129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群众团体事务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2012999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其他群众团体事务支出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12.94</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12.94</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2013299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其他组织事务支出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12.94</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12.94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宣传事务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2013399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其他宣传事务支出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46.83</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46.83</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46.83</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46.83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市场监督管理事务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0.96</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其他市场监督管理事务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社会工作事务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3.20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3.20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2013999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其他社会工作事务支出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3.20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3.20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国防支出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2.35</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2.35</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20306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国防动员</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2.35</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2.35</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2030601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兵役征集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2.35</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公共安全支出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7.07</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7.07</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20402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公安</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5.03</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5.03</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2040299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其他公安支出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5.03</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20406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司法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2.04</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2.04</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2040610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社区矫正</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教育支出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26.55</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26.55</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成人教育</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26.55</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26.55</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2050499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其他成人教育支出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26.55</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26.55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科学技术支出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6.06</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20604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技术研究与开发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5.09</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5.09</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2060499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其他技术研究与开发支出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5.09</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20607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科学技术普及</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0.97</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0.97</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2060702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科普活动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0.97</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65.50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65.50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65.50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65.50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62.47</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62.47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文化创作与保护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0.50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0.50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2.53</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2.53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2,194.48</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170.75</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2,023.73</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39.12</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39.12</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其他人力资源和社会保障管理事务支出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39.12</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39.12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民政管理事务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1,293.59</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1,293.59</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1,293.59</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1,293.59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170.75</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170.75</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56.34</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56.34</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28.35</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28.35</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86.06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86.06</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364.47</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364.47</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死亡抚恤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51.23</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51.23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伤残抚恤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64.54</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64.54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在乡复员、退伍军人生活补助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义务兵优待</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119.73</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119.73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农村籍退役士兵老年生活补助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3.46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3.46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其他优抚支出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108.32</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108.32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退役安置</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168.25</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168.25</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2080902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军队移交政府的离退休人员安置</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166.68</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166.68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2080903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军队移交政府离退休干部管理机构</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2080999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其他退役安置支出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0.13</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0.13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137.80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137.80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2081002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老年福利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127.78</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127.78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2081099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其他社会福利支出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10.02</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13.03</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13.03</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13.03</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13.03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4.83</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4.83</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其他退役军人事务管理支出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2.64</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2.64</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2089999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2.64</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173.75</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40.77</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132.98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13.38</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13.38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2100499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其他公共卫生支出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13.38</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13.38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计划生育事务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119.60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119.60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2100799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其他计划生育事务支出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119.60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119.60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40.77</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40.77</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27.51</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27.51</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公务员医疗补助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8.24</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8.24</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5.02</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5.02</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1,002.26</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1,002.26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环境监测与监察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2110299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其他环境监测与监察支出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污染防治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996.26</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996.26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大气</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固体废弃物与化学品</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990.26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990.26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267.51</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267.51</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127.11</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127.11</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127.11</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127.11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140.40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140.40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140.40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140.40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7.03</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7.03</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2130135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农业生态资源保护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水利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2.53</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2.53</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防汛</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其他水利支出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2.47</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64.78</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64.78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公路水路运输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64.78</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64.78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公路建设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公路养护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44.78</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44.78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金融支出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21702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金融部门监管支出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2170299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金融部门其他监管支出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51.94</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51.46</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保障性安居工程支出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0.48</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0.48</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其他保障性安居工程支出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0.48</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51.46</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51.46</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44.16</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44.16</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购房补贴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7.30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7.30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283" w:hRule="exac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应急管理事务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2240106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安全监管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6"/>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hint="eastAsia" w:cs="宋体"/>
                <w:color w:val="auto"/>
                <w:sz w:val="20"/>
                <w:szCs w:val="20"/>
                <w:lang w:eastAsia="zh-CN"/>
              </w:rPr>
              <w:t>部门</w:t>
            </w:r>
            <w:r>
              <w:rPr>
                <w:rFonts w:cs="宋体"/>
                <w:color w:val="auto"/>
                <w:sz w:val="20"/>
                <w:szCs w:val="20"/>
              </w:rPr>
              <w:t>：</w:t>
            </w:r>
            <w:r>
              <w:rPr>
                <w:color w:val="auto"/>
                <w:sz w:val="20"/>
                <w:u w:color="auto"/>
              </w:rPr>
              <w:t>重庆市九龙坡区人民政府黄桷坪街道办事处（本级）</w:t>
            </w: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562.50</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146.46</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120.73</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31.38</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w:t>
            </w:r>
            <w:r>
              <w:rPr>
                <w:rFonts w:hint="eastAsia" w:cs="宋体"/>
                <w:color w:val="auto"/>
                <w:sz w:val="18"/>
                <w:szCs w:val="18"/>
                <w:lang w:eastAsia="zh-CN"/>
              </w:rPr>
              <w:t>构建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94.21</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173.45</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0.16</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1.86</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56.34</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16.41</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28.35</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15.05</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27.51</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3.84</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6.21</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5.99</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44.16</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3.60</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4.15</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89.88</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81.42</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0.04</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8.47</w:t>
            </w: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4.63</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6.58</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4.16</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25.54</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34.61</w:t>
            </w: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w:t>
            </w:r>
            <w:r>
              <w:rPr>
                <w:rFonts w:hint="eastAsia" w:cs="宋体"/>
                <w:color w:val="auto"/>
                <w:sz w:val="18"/>
                <w:szCs w:val="18"/>
                <w:lang w:eastAsia="zh-CN"/>
              </w:rPr>
              <w:t>赠予</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w:t>
            </w:r>
            <w:r>
              <w:rPr>
                <w:rFonts w:hint="eastAsia" w:cs="宋体"/>
                <w:color w:val="auto"/>
                <w:sz w:val="18"/>
                <w:szCs w:val="18"/>
                <w:lang w:eastAsia="zh-CN"/>
              </w:rPr>
              <w:t>赠予</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652.38</w:t>
            </w:r>
            <w:r>
              <w:rPr>
                <w:rFonts w:ascii="Times New Roman" w:hAnsi="Times New Roman"/>
                <w:color w:val="auto"/>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146.46</w:t>
            </w:r>
            <w:r>
              <w:rPr>
                <w:rFonts w:ascii="Times New Roman" w:hAnsi="Times New Roman"/>
                <w:color w:val="auto"/>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6"/>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重庆市九龙坡区人民政府黄桷坪街道办事处（本级）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121.17</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121.17</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121.17</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8.86</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8.86</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8.86</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8.86</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8.86</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8.86</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2120899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8.86</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8.86</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8.86</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213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农林水支出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11.08</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11.08</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11.08</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21367</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三峡水库库区基金支出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11.08</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11.08</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11.08</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2136799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其他三峡水库库区基金支出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11.08</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11.08</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11.08</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101.23</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2296002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94.23</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94.23</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94.23</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2296003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备注：1.本表反映部门本年度政府性基金预算财政拨款收入支出及结转和结余情况。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6"/>
        <w:tblW w:w="15321" w:type="dxa"/>
        <w:tblInd w:w="0" w:type="dxa"/>
        <w:tblLayout w:type="fixed"/>
        <w:tblCellMar>
          <w:top w:w="0" w:type="dxa"/>
          <w:left w:w="0" w:type="dxa"/>
          <w:bottom w:w="0" w:type="dxa"/>
          <w:right w:w="0" w:type="dxa"/>
        </w:tblCellMar>
      </w:tblPr>
      <w:tblGrid>
        <w:gridCol w:w="1305"/>
        <w:gridCol w:w="3604"/>
        <w:gridCol w:w="3273"/>
        <w:gridCol w:w="190"/>
        <w:gridCol w:w="3463"/>
        <w:gridCol w:w="84"/>
        <w:gridCol w:w="3402"/>
      </w:tblGrid>
      <w:tr>
        <w:tblPrEx>
          <w:tblLayout w:type="fixed"/>
          <w:tblCellMar>
            <w:top w:w="0" w:type="dxa"/>
            <w:left w:w="0" w:type="dxa"/>
            <w:bottom w:w="0" w:type="dxa"/>
            <w:right w:w="0" w:type="dxa"/>
          </w:tblCellMar>
        </w:tblPrEx>
        <w:trPr>
          <w:trHeight w:val="650" w:hRule="atLeast"/>
        </w:trPr>
        <w:tc>
          <w:tcPr>
            <w:tcW w:w="15321"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重庆市九龙坡区人民政府黄桷坪街道办事处（本级）</w:t>
            </w:r>
          </w:p>
        </w:tc>
        <w:tc>
          <w:tcPr>
            <w:tcW w:w="3737"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737"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8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8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8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备注：本表反映部门本年度国有资本经营预算财政拨款支出情况。本部门无国有资本经营收支，故本表无数据。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6"/>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r>
              <w:rPr>
                <w:rFonts w:hint="eastAsia" w:cs="宋体"/>
                <w:color w:val="auto"/>
                <w:sz w:val="20"/>
                <w:szCs w:val="20"/>
                <w:lang w:eastAsia="zh-CN"/>
              </w:rPr>
              <w:t>部门</w:t>
            </w:r>
            <w:r>
              <w:rPr>
                <w:rFonts w:cs="宋体"/>
                <w:color w:val="auto"/>
                <w:kern w:val="2"/>
                <w:sz w:val="20"/>
                <w:szCs w:val="20"/>
              </w:rPr>
              <w:t>：</w:t>
            </w:r>
            <w:r>
              <w:rPr>
                <w:color w:val="auto"/>
                <w:sz w:val="20"/>
                <w:u w:color="auto"/>
              </w:rPr>
              <w:t>重庆市九龙坡区人民政府黄桷坪街道办事处（本级）</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146.46</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4.16</w:t>
            </w:r>
            <w:r>
              <w:rPr>
                <w:rFonts w:ascii="Times New Roman" w:hAnsi="Times New Roman"/>
                <w:color w:val="auto"/>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4.16</w:t>
            </w: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146.46</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1.</w:t>
            </w:r>
            <w:r>
              <w:rPr>
                <w:rFonts w:cs="宋体"/>
                <w:b/>
                <w:bCs/>
                <w:color w:val="auto"/>
                <w:kern w:val="2"/>
                <w:sz w:val="16"/>
                <w:szCs w:val="16"/>
              </w:rPr>
              <w:t>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2.</w:t>
            </w:r>
            <w:r>
              <w:rPr>
                <w:rFonts w:cs="宋体"/>
                <w:b/>
                <w:bCs/>
                <w:color w:val="auto"/>
                <w:kern w:val="2"/>
                <w:sz w:val="16"/>
                <w:szCs w:val="16"/>
              </w:rPr>
              <w:t>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4.16</w:t>
            </w:r>
            <w:r>
              <w:rPr>
                <w:rFonts w:ascii="Times New Roman" w:hAnsi="Times New Roman"/>
                <w:color w:val="auto"/>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4.16</w:t>
            </w: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4</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4.16</w:t>
            </w:r>
            <w:r>
              <w:rPr>
                <w:rFonts w:ascii="Times New Roman" w:hAnsi="Times New Roman"/>
                <w:color w:val="auto"/>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4.16</w:t>
            </w: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1.</w:t>
            </w:r>
            <w:r>
              <w:rPr>
                <w:rFonts w:cs="宋体"/>
                <w:b/>
                <w:bCs/>
                <w:color w:val="auto"/>
                <w:kern w:val="2"/>
                <w:sz w:val="16"/>
                <w:szCs w:val="16"/>
              </w:rPr>
              <w:t>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3.</w:t>
            </w:r>
            <w:r>
              <w:rPr>
                <w:rFonts w:cs="宋体"/>
                <w:b/>
                <w:bCs/>
                <w:color w:val="auto"/>
                <w:kern w:val="2"/>
                <w:sz w:val="16"/>
                <w:szCs w:val="16"/>
              </w:rPr>
              <w:t>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2.</w:t>
            </w:r>
            <w:r>
              <w:rPr>
                <w:rFonts w:cs="宋体"/>
                <w:b/>
                <w:bCs/>
                <w:color w:val="auto"/>
                <w:kern w:val="2"/>
                <w:sz w:val="16"/>
                <w:szCs w:val="16"/>
              </w:rPr>
              <w:t>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3.</w:t>
            </w:r>
            <w:r>
              <w:rPr>
                <w:rFonts w:cs="宋体"/>
                <w:b/>
                <w:bCs/>
                <w:color w:val="auto"/>
                <w:kern w:val="2"/>
                <w:sz w:val="16"/>
                <w:szCs w:val="16"/>
              </w:rPr>
              <w:t>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4.</w:t>
            </w:r>
            <w:r>
              <w:rPr>
                <w:rFonts w:cs="宋体"/>
                <w:b/>
                <w:bCs/>
                <w:color w:val="auto"/>
                <w:kern w:val="2"/>
                <w:sz w:val="16"/>
                <w:szCs w:val="16"/>
              </w:rPr>
              <w:t>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5.</w:t>
            </w:r>
            <w:r>
              <w:rPr>
                <w:rFonts w:cs="宋体"/>
                <w:b/>
                <w:bCs/>
                <w:color w:val="auto"/>
                <w:kern w:val="2"/>
                <w:sz w:val="16"/>
                <w:szCs w:val="16"/>
              </w:rPr>
              <w:t>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6.</w:t>
            </w:r>
            <w:r>
              <w:rPr>
                <w:rFonts w:cs="宋体"/>
                <w:b/>
                <w:bCs/>
                <w:color w:val="auto"/>
                <w:kern w:val="2"/>
                <w:sz w:val="16"/>
                <w:szCs w:val="16"/>
              </w:rPr>
              <w:t>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1.</w:t>
            </w:r>
            <w:r>
              <w:rPr>
                <w:rFonts w:cs="宋体"/>
                <w:b/>
                <w:bCs/>
                <w:color w:val="auto"/>
                <w:kern w:val="2"/>
                <w:sz w:val="16"/>
                <w:szCs w:val="16"/>
              </w:rPr>
              <w:t>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7.</w:t>
            </w:r>
            <w:r>
              <w:rPr>
                <w:rFonts w:cs="宋体"/>
                <w:b/>
                <w:bCs/>
                <w:color w:val="auto"/>
                <w:kern w:val="2"/>
                <w:sz w:val="16"/>
                <w:szCs w:val="16"/>
              </w:rPr>
              <w:t>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2.</w:t>
            </w:r>
            <w:r>
              <w:rPr>
                <w:rFonts w:cs="宋体"/>
                <w:b/>
                <w:bCs/>
                <w:color w:val="auto"/>
                <w:kern w:val="2"/>
                <w:sz w:val="16"/>
                <w:szCs w:val="16"/>
              </w:rPr>
              <w:t>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8.</w:t>
            </w:r>
            <w:r>
              <w:rPr>
                <w:rFonts w:cs="宋体"/>
                <w:b/>
                <w:bCs/>
                <w:color w:val="auto"/>
                <w:kern w:val="2"/>
                <w:sz w:val="16"/>
                <w:szCs w:val="16"/>
              </w:rPr>
              <w:t>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3.</w:t>
            </w:r>
            <w:r>
              <w:rPr>
                <w:rFonts w:cs="宋体"/>
                <w:b/>
                <w:bCs/>
                <w:color w:val="auto"/>
                <w:kern w:val="2"/>
                <w:sz w:val="16"/>
                <w:szCs w:val="16"/>
              </w:rPr>
              <w:t>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4.</w:t>
            </w:r>
            <w:r>
              <w:rPr>
                <w:rFonts w:cs="宋体"/>
                <w:b/>
                <w:bCs/>
                <w:color w:val="auto"/>
                <w:kern w:val="2"/>
                <w:sz w:val="16"/>
                <w:szCs w:val="16"/>
              </w:rPr>
              <w:t>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4</w:t>
            </w: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5.</w:t>
            </w:r>
            <w:r>
              <w:rPr>
                <w:rFonts w:cs="宋体"/>
                <w:b/>
                <w:bCs/>
                <w:color w:val="auto"/>
                <w:kern w:val="2"/>
                <w:sz w:val="16"/>
                <w:szCs w:val="16"/>
              </w:rPr>
              <w:t>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3,436.68</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1.</w:t>
            </w:r>
            <w:r>
              <w:rPr>
                <w:rFonts w:cs="宋体"/>
                <w:b/>
                <w:bCs/>
                <w:color w:val="auto"/>
                <w:kern w:val="2"/>
                <w:sz w:val="16"/>
                <w:szCs w:val="16"/>
              </w:rPr>
              <w:t>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6.77</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6.</w:t>
            </w:r>
            <w:r>
              <w:rPr>
                <w:rFonts w:cs="宋体"/>
                <w:b/>
                <w:bCs/>
                <w:color w:val="auto"/>
                <w:kern w:val="2"/>
                <w:sz w:val="16"/>
                <w:szCs w:val="16"/>
              </w:rPr>
              <w:t>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2.</w:t>
            </w:r>
            <w:r>
              <w:rPr>
                <w:rFonts w:cs="宋体"/>
                <w:b/>
                <w:bCs/>
                <w:color w:val="auto"/>
                <w:kern w:val="2"/>
                <w:sz w:val="16"/>
                <w:szCs w:val="16"/>
              </w:rPr>
              <w:t>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3.</w:t>
            </w:r>
            <w:r>
              <w:rPr>
                <w:rFonts w:cs="宋体"/>
                <w:b/>
                <w:bCs/>
                <w:color w:val="auto"/>
                <w:kern w:val="2"/>
                <w:sz w:val="16"/>
                <w:szCs w:val="16"/>
              </w:rPr>
              <w:t>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3,429.92</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7.</w:t>
            </w:r>
            <w:r>
              <w:rPr>
                <w:rFonts w:cs="宋体"/>
                <w:b/>
                <w:bCs/>
                <w:color w:val="auto"/>
                <w:kern w:val="2"/>
                <w:sz w:val="16"/>
                <w:szCs w:val="16"/>
              </w:rPr>
              <w:t>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3,436.68</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eastAsia" w:cs="宋体"/>
                <w:b/>
                <w:bCs/>
                <w:color w:val="auto"/>
                <w:kern w:val="2"/>
                <w:sz w:val="16"/>
                <w:szCs w:val="16"/>
                <w:lang w:eastAsia="zh-CN"/>
              </w:rPr>
              <w:t>8.</w:t>
            </w:r>
            <w:r>
              <w:rPr>
                <w:rFonts w:cs="宋体"/>
                <w:b/>
                <w:bCs/>
                <w:color w:val="auto"/>
                <w:kern w:val="2"/>
                <w:sz w:val="16"/>
                <w:szCs w:val="16"/>
              </w:rPr>
              <w:t>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3,369.18</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6.66</w:t>
            </w: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s="宋体"/>
          <w:color w:val="auto"/>
          <w:sz w:val="18"/>
          <w:szCs w:val="18"/>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jc w:val="both"/>
        <w:textAlignment w:val="auto"/>
        <w:rPr>
          <w:rFonts w:hint="default" w:ascii="方正仿宋_GBK" w:hAnsi="方正仿宋_GBK" w:eastAsia="方正仿宋_GBK" w:cs="方正仿宋_GBK"/>
          <w:color w:val="auto"/>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B3147"/>
    <w:rsid w:val="01F3521E"/>
    <w:rsid w:val="037554E5"/>
    <w:rsid w:val="03A52548"/>
    <w:rsid w:val="03E3214F"/>
    <w:rsid w:val="04446191"/>
    <w:rsid w:val="044C50BA"/>
    <w:rsid w:val="04B97090"/>
    <w:rsid w:val="0536621F"/>
    <w:rsid w:val="05865F80"/>
    <w:rsid w:val="05E71467"/>
    <w:rsid w:val="06247E33"/>
    <w:rsid w:val="06A2550B"/>
    <w:rsid w:val="06F80EE2"/>
    <w:rsid w:val="07001CCA"/>
    <w:rsid w:val="075321D2"/>
    <w:rsid w:val="075678DB"/>
    <w:rsid w:val="07932335"/>
    <w:rsid w:val="08051BCA"/>
    <w:rsid w:val="080A21BB"/>
    <w:rsid w:val="088775E2"/>
    <w:rsid w:val="08BA052C"/>
    <w:rsid w:val="08DB07BA"/>
    <w:rsid w:val="098305D0"/>
    <w:rsid w:val="09A53218"/>
    <w:rsid w:val="09B72B6E"/>
    <w:rsid w:val="0A0C7F04"/>
    <w:rsid w:val="0A227275"/>
    <w:rsid w:val="0A5C4B69"/>
    <w:rsid w:val="0AA4699D"/>
    <w:rsid w:val="0AC67AA5"/>
    <w:rsid w:val="0B9335CE"/>
    <w:rsid w:val="0BA10C97"/>
    <w:rsid w:val="0C515161"/>
    <w:rsid w:val="0C554661"/>
    <w:rsid w:val="0C7927C4"/>
    <w:rsid w:val="0C9B098C"/>
    <w:rsid w:val="0CE80A8F"/>
    <w:rsid w:val="0D472B48"/>
    <w:rsid w:val="0D52698B"/>
    <w:rsid w:val="0D673E11"/>
    <w:rsid w:val="0DB50EFE"/>
    <w:rsid w:val="0DD25DDB"/>
    <w:rsid w:val="0DDA54E4"/>
    <w:rsid w:val="0E057347"/>
    <w:rsid w:val="0E3A5F83"/>
    <w:rsid w:val="0E9478E1"/>
    <w:rsid w:val="0F836721"/>
    <w:rsid w:val="103645A3"/>
    <w:rsid w:val="10505D2C"/>
    <w:rsid w:val="107B59E5"/>
    <w:rsid w:val="10AA219D"/>
    <w:rsid w:val="11003CB0"/>
    <w:rsid w:val="110837BB"/>
    <w:rsid w:val="11124E18"/>
    <w:rsid w:val="111445C7"/>
    <w:rsid w:val="1158083A"/>
    <w:rsid w:val="11F03528"/>
    <w:rsid w:val="12397B04"/>
    <w:rsid w:val="12771554"/>
    <w:rsid w:val="129451AF"/>
    <w:rsid w:val="129973FF"/>
    <w:rsid w:val="12C921C4"/>
    <w:rsid w:val="12DA353E"/>
    <w:rsid w:val="13850DCB"/>
    <w:rsid w:val="13871C70"/>
    <w:rsid w:val="13A71CB4"/>
    <w:rsid w:val="13AF1D43"/>
    <w:rsid w:val="13CE1647"/>
    <w:rsid w:val="14200702"/>
    <w:rsid w:val="144F3F11"/>
    <w:rsid w:val="1580711B"/>
    <w:rsid w:val="168D6F65"/>
    <w:rsid w:val="16D80EBF"/>
    <w:rsid w:val="173F5841"/>
    <w:rsid w:val="189B0D0B"/>
    <w:rsid w:val="18E03A42"/>
    <w:rsid w:val="18EC1A7B"/>
    <w:rsid w:val="18F17A5B"/>
    <w:rsid w:val="19313430"/>
    <w:rsid w:val="194A1770"/>
    <w:rsid w:val="19B906A4"/>
    <w:rsid w:val="19BC4734"/>
    <w:rsid w:val="1A1F744B"/>
    <w:rsid w:val="1AB10093"/>
    <w:rsid w:val="1B501DE7"/>
    <w:rsid w:val="1B6F15B6"/>
    <w:rsid w:val="1B7966EB"/>
    <w:rsid w:val="1BAA2EDC"/>
    <w:rsid w:val="1BAD3871"/>
    <w:rsid w:val="1BC027C5"/>
    <w:rsid w:val="1BED06AD"/>
    <w:rsid w:val="1CE157EE"/>
    <w:rsid w:val="1D014A01"/>
    <w:rsid w:val="1D022362"/>
    <w:rsid w:val="1D091B60"/>
    <w:rsid w:val="1D6D1692"/>
    <w:rsid w:val="1D794AE5"/>
    <w:rsid w:val="1DD26311"/>
    <w:rsid w:val="1DE57DAF"/>
    <w:rsid w:val="1E7346EB"/>
    <w:rsid w:val="1EF67CA4"/>
    <w:rsid w:val="1F213FD9"/>
    <w:rsid w:val="1FCD26AF"/>
    <w:rsid w:val="20225D4F"/>
    <w:rsid w:val="20642787"/>
    <w:rsid w:val="20733D88"/>
    <w:rsid w:val="20C83310"/>
    <w:rsid w:val="20E10A11"/>
    <w:rsid w:val="20EC77A3"/>
    <w:rsid w:val="21556F04"/>
    <w:rsid w:val="216838F8"/>
    <w:rsid w:val="2234520E"/>
    <w:rsid w:val="22403BD3"/>
    <w:rsid w:val="243A1090"/>
    <w:rsid w:val="24637423"/>
    <w:rsid w:val="24B92327"/>
    <w:rsid w:val="24D3717D"/>
    <w:rsid w:val="2533755C"/>
    <w:rsid w:val="26396DF4"/>
    <w:rsid w:val="266B763B"/>
    <w:rsid w:val="26ED5F30"/>
    <w:rsid w:val="27167136"/>
    <w:rsid w:val="27B23302"/>
    <w:rsid w:val="27D424D7"/>
    <w:rsid w:val="285722C3"/>
    <w:rsid w:val="28DC1FF8"/>
    <w:rsid w:val="291C6184"/>
    <w:rsid w:val="29310A5F"/>
    <w:rsid w:val="29C37A35"/>
    <w:rsid w:val="2A076083"/>
    <w:rsid w:val="2A306CA5"/>
    <w:rsid w:val="2A73162E"/>
    <w:rsid w:val="2AE317A7"/>
    <w:rsid w:val="2AFA2E94"/>
    <w:rsid w:val="2B167953"/>
    <w:rsid w:val="2B200583"/>
    <w:rsid w:val="2B2964B2"/>
    <w:rsid w:val="2B4104F9"/>
    <w:rsid w:val="2B8209DE"/>
    <w:rsid w:val="2C6762A3"/>
    <w:rsid w:val="2D5F4C37"/>
    <w:rsid w:val="2FE029D7"/>
    <w:rsid w:val="2FF06E00"/>
    <w:rsid w:val="30030635"/>
    <w:rsid w:val="306B29CA"/>
    <w:rsid w:val="311B095E"/>
    <w:rsid w:val="315F0B22"/>
    <w:rsid w:val="31BE24D6"/>
    <w:rsid w:val="31D84415"/>
    <w:rsid w:val="32285F6F"/>
    <w:rsid w:val="32770556"/>
    <w:rsid w:val="329C0913"/>
    <w:rsid w:val="3337290D"/>
    <w:rsid w:val="334B0167"/>
    <w:rsid w:val="352930DB"/>
    <w:rsid w:val="35573069"/>
    <w:rsid w:val="358C217E"/>
    <w:rsid w:val="359E7284"/>
    <w:rsid w:val="359F188C"/>
    <w:rsid w:val="36C9128A"/>
    <w:rsid w:val="37841E99"/>
    <w:rsid w:val="379C594F"/>
    <w:rsid w:val="37BF1123"/>
    <w:rsid w:val="37C85E36"/>
    <w:rsid w:val="38BC1135"/>
    <w:rsid w:val="38BE4696"/>
    <w:rsid w:val="39582BC9"/>
    <w:rsid w:val="396F07C7"/>
    <w:rsid w:val="39B82A39"/>
    <w:rsid w:val="39F33306"/>
    <w:rsid w:val="3A574621"/>
    <w:rsid w:val="3ADC3D9A"/>
    <w:rsid w:val="3B1705E5"/>
    <w:rsid w:val="3B18334B"/>
    <w:rsid w:val="3B36794F"/>
    <w:rsid w:val="3B544954"/>
    <w:rsid w:val="3B793FF0"/>
    <w:rsid w:val="3B97076E"/>
    <w:rsid w:val="3B9F72A2"/>
    <w:rsid w:val="3C5A5928"/>
    <w:rsid w:val="3C6A5B02"/>
    <w:rsid w:val="3D2757A1"/>
    <w:rsid w:val="3D3D4FC4"/>
    <w:rsid w:val="3DDF3AB1"/>
    <w:rsid w:val="3DE60B7E"/>
    <w:rsid w:val="3DF61367"/>
    <w:rsid w:val="3E1D0952"/>
    <w:rsid w:val="3E42660A"/>
    <w:rsid w:val="3E7555B1"/>
    <w:rsid w:val="3EA72472"/>
    <w:rsid w:val="3EDE1208"/>
    <w:rsid w:val="3F0527E5"/>
    <w:rsid w:val="3F16459E"/>
    <w:rsid w:val="3F4A6687"/>
    <w:rsid w:val="4004000C"/>
    <w:rsid w:val="406552E5"/>
    <w:rsid w:val="40732BD9"/>
    <w:rsid w:val="411B6CE5"/>
    <w:rsid w:val="412070D7"/>
    <w:rsid w:val="41314E40"/>
    <w:rsid w:val="415C674B"/>
    <w:rsid w:val="426C1EA8"/>
    <w:rsid w:val="42E86A87"/>
    <w:rsid w:val="43136432"/>
    <w:rsid w:val="443A3B12"/>
    <w:rsid w:val="44487B36"/>
    <w:rsid w:val="44EF6BE8"/>
    <w:rsid w:val="45A30364"/>
    <w:rsid w:val="465B470D"/>
    <w:rsid w:val="469D6AD4"/>
    <w:rsid w:val="47351BBA"/>
    <w:rsid w:val="47674801"/>
    <w:rsid w:val="48120B07"/>
    <w:rsid w:val="48225EF7"/>
    <w:rsid w:val="48A36D47"/>
    <w:rsid w:val="495C4A24"/>
    <w:rsid w:val="49A21DF3"/>
    <w:rsid w:val="49C811E4"/>
    <w:rsid w:val="4A131233"/>
    <w:rsid w:val="4A216E30"/>
    <w:rsid w:val="4B7951CB"/>
    <w:rsid w:val="4B7C315C"/>
    <w:rsid w:val="4B9300D7"/>
    <w:rsid w:val="4B99567B"/>
    <w:rsid w:val="4BAB7F90"/>
    <w:rsid w:val="4BD53EDA"/>
    <w:rsid w:val="4BE11807"/>
    <w:rsid w:val="4C484CE5"/>
    <w:rsid w:val="4D520755"/>
    <w:rsid w:val="4DAC4ACA"/>
    <w:rsid w:val="4DD06F63"/>
    <w:rsid w:val="4E043596"/>
    <w:rsid w:val="4E7C3473"/>
    <w:rsid w:val="4E9B0C57"/>
    <w:rsid w:val="4EA8523F"/>
    <w:rsid w:val="4F186D58"/>
    <w:rsid w:val="4F224836"/>
    <w:rsid w:val="51760217"/>
    <w:rsid w:val="51E36677"/>
    <w:rsid w:val="51F01F7D"/>
    <w:rsid w:val="522F6E0C"/>
    <w:rsid w:val="52463BA1"/>
    <w:rsid w:val="527155CD"/>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A716E61"/>
    <w:rsid w:val="5A850330"/>
    <w:rsid w:val="5AD563E4"/>
    <w:rsid w:val="5B3217FE"/>
    <w:rsid w:val="5BA77698"/>
    <w:rsid w:val="5BEF7125"/>
    <w:rsid w:val="5C1336B7"/>
    <w:rsid w:val="5C263CE4"/>
    <w:rsid w:val="5C5D2777"/>
    <w:rsid w:val="5C722D7F"/>
    <w:rsid w:val="5D290C69"/>
    <w:rsid w:val="5D832DFC"/>
    <w:rsid w:val="5DC17CC6"/>
    <w:rsid w:val="5DDB0A1E"/>
    <w:rsid w:val="5EDE32A0"/>
    <w:rsid w:val="5EFA176D"/>
    <w:rsid w:val="5F0247F9"/>
    <w:rsid w:val="5F2D4A41"/>
    <w:rsid w:val="6002711C"/>
    <w:rsid w:val="600776A8"/>
    <w:rsid w:val="601278E3"/>
    <w:rsid w:val="601C34ED"/>
    <w:rsid w:val="60675D39"/>
    <w:rsid w:val="60A511FB"/>
    <w:rsid w:val="60B51F17"/>
    <w:rsid w:val="61025A59"/>
    <w:rsid w:val="613D5BBC"/>
    <w:rsid w:val="61536C39"/>
    <w:rsid w:val="616D60F9"/>
    <w:rsid w:val="61C57121"/>
    <w:rsid w:val="6215476C"/>
    <w:rsid w:val="62944DD7"/>
    <w:rsid w:val="630B1FF6"/>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5FD57B0"/>
    <w:rsid w:val="66267C04"/>
    <w:rsid w:val="663F505A"/>
    <w:rsid w:val="667F2393"/>
    <w:rsid w:val="66EE5541"/>
    <w:rsid w:val="67086152"/>
    <w:rsid w:val="6709022A"/>
    <w:rsid w:val="687E45FE"/>
    <w:rsid w:val="692172FD"/>
    <w:rsid w:val="69A90E99"/>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0FC093E"/>
    <w:rsid w:val="71C34D91"/>
    <w:rsid w:val="71ED38AA"/>
    <w:rsid w:val="723F3B65"/>
    <w:rsid w:val="724D4D0D"/>
    <w:rsid w:val="72DB435C"/>
    <w:rsid w:val="74ED1B1B"/>
    <w:rsid w:val="750837F0"/>
    <w:rsid w:val="762A73EF"/>
    <w:rsid w:val="7631412E"/>
    <w:rsid w:val="764F62AB"/>
    <w:rsid w:val="765C45EC"/>
    <w:rsid w:val="768A7619"/>
    <w:rsid w:val="76BD2243"/>
    <w:rsid w:val="7714640F"/>
    <w:rsid w:val="77EA362A"/>
    <w:rsid w:val="780E2ADE"/>
    <w:rsid w:val="7875383E"/>
    <w:rsid w:val="78872DF6"/>
    <w:rsid w:val="796D60A4"/>
    <w:rsid w:val="79A031D5"/>
    <w:rsid w:val="79A52681"/>
    <w:rsid w:val="79E11073"/>
    <w:rsid w:val="7A1525F7"/>
    <w:rsid w:val="7A3662EC"/>
    <w:rsid w:val="7A3E6CB6"/>
    <w:rsid w:val="7A4B705B"/>
    <w:rsid w:val="7A99799F"/>
    <w:rsid w:val="7AAB4252"/>
    <w:rsid w:val="7B420052"/>
    <w:rsid w:val="7B7D43A1"/>
    <w:rsid w:val="7BD06A28"/>
    <w:rsid w:val="7C0C5586"/>
    <w:rsid w:val="7C1E4CD7"/>
    <w:rsid w:val="7C3A7C0B"/>
    <w:rsid w:val="7C5248E4"/>
    <w:rsid w:val="7C566698"/>
    <w:rsid w:val="7CE56AF6"/>
    <w:rsid w:val="7CF02E5B"/>
    <w:rsid w:val="7D213FB2"/>
    <w:rsid w:val="7E012462"/>
    <w:rsid w:val="7EF07790"/>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6748</Words>
  <Characters>8379</Characters>
  <Lines>161</Lines>
  <Paragraphs>45</Paragraphs>
  <TotalTime>0</TotalTime>
  <ScaleCrop>false</ScaleCrop>
  <LinksUpToDate>false</LinksUpToDate>
  <CharactersWithSpaces>8623</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重庆市九龙坡区人民政府黄桷坪街道办事处</cp:lastModifiedBy>
  <cp:lastPrinted>2025-10-24T08:24:00Z</cp:lastPrinted>
  <dcterms:modified xsi:type="dcterms:W3CDTF">2025-10-27T02:40:10Z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BB46EABDBB2749749395447164B066B3_12</vt:lpwstr>
  </property>
  <property fmtid="{D5CDD505-2E9C-101B-9397-08002B2CF9AE}" pid="4" name="KSOTemplateDocerSaveRecord">
    <vt:lpwstr>eyJoZGlkIjoiM2M3ZTc1MjVhMmZiY2VlN2UyNTA0MzA3OTYxYmFkZDkiLCJ1c2VySWQiOiIzODA0NzAzMDUifQ==</vt:lpwstr>
  </property>
</Properties>
</file>