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重庆市九龙坡区杨家坪街道便民服务中心</w:t>
      </w:r>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（退役军人服务站）2025年单位预算情况说明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widowControl/>
        <w:spacing w:line="594" w:lineRule="exact"/>
        <w:ind w:firstLine="640" w:firstLineChars="200"/>
        <w:jc w:val="left"/>
        <w:rPr>
          <w:rFonts w:ascii="方正仿宋_GBK" w:hAnsi="方正仿宋_GBK" w:cs="方正仿宋_GBK"/>
          <w:szCs w:val="32"/>
        </w:rPr>
      </w:pPr>
      <w:r>
        <w:rPr>
          <w:rFonts w:hint="eastAsia" w:ascii="方正仿宋_GBK" w:hAnsi="方正仿宋_GBK" w:cs="方正仿宋_GBK"/>
          <w:szCs w:val="32"/>
        </w:rPr>
        <w:t>为辖区群众、企事业单位等服务对象做好养老保险、医疗保险等各项社会保障业务政策咨询和办理工作，落实劳动和社会保障事务代理，实现“一站式”服务。宣传就业创业扶持政策，建立健全劳动力数据资源库，提供就业创业服务；组织开展招聘活动，承担农民工、高校毕业生等重点群体的就业创业；承担辖区就业、失业人员登记、各类相关补贴申领受理、初审等工作。管理辖区流动人员人事档案，协助有关部门做好职业培训和就业指导；承担企业退休人员的社会化管理和服务工作。受委托承担享受最低生活保障待遇人员资格审查、经济状况核查和保障金的发放工作；承担申办困难群众医疗救助、廉租住房及补贴发放工作。配合相关部门做好退役军人接收安置、关系接转工作，开展退役军人和其他优抚对象信息数据采集、资料管理、汇总分析等工作；负责辖区退役军人党员及时纳入党组织管理。组织退役军人参加职业教育、技能培训和退役军人专场招聘会；落实辖区退役军人和各类优抚对象优待、抚恤政策待遇；开展拥军优属和烈士褒扬工作。开展退役军人走访慰问、帮扶解困、化解矛盾和思想政治工作；做好退役军人来信来访、接待办理、心理疏导、权益咨询、政策解答、法律服务以及涉及退役军人舆情的收集、引导等工作。对进驻便民服务中心的工作人员进行统一管理，对社区便民服务站、退役军人管理服务站进行业务指导，协助上级部门办理延伸到街道的便民服务事项；为群众提供其他公共服务和便民利民服务。完成街道党工委、办事处交办的其他任务。</w:t>
      </w:r>
    </w:p>
    <w:p>
      <w:pPr>
        <w:widowControl/>
        <w:spacing w:line="594" w:lineRule="exact"/>
        <w:ind w:firstLine="640" w:firstLineChars="200"/>
        <w:jc w:val="left"/>
        <w:rPr>
          <w:rFonts w:ascii="方正仿宋_GBK" w:hAnsi="方正仿宋_GBK" w:cs="方正仿宋_GBK"/>
          <w:szCs w:val="32"/>
        </w:rPr>
      </w:pPr>
      <w:r>
        <w:rPr>
          <w:rFonts w:hint="eastAsia" w:ascii="方正楷体_GBK" w:eastAsia="方正楷体_GBK" w:cs="仿宋_GB2312"/>
        </w:rPr>
        <w:t>（二）单位构成</w:t>
      </w:r>
    </w:p>
    <w:p>
      <w:pPr>
        <w:spacing w:line="600" w:lineRule="exact"/>
        <w:ind w:firstLine="640" w:firstLineChars="200"/>
        <w:rPr>
          <w:rFonts w:ascii="方正仿宋_GBK" w:hAnsi="仿宋" w:cs="仿宋"/>
          <w:bCs/>
          <w:szCs w:val="32"/>
        </w:rPr>
      </w:pPr>
      <w:r>
        <w:rPr>
          <w:rFonts w:ascii="方正仿宋_GBK" w:hAnsi="仿宋" w:cs="仿宋"/>
          <w:bCs/>
          <w:szCs w:val="32"/>
        </w:rPr>
        <w:t>本单位为重庆市九龙坡区人民政府杨家坪街道办事处下属</w:t>
      </w:r>
      <w:r>
        <w:rPr>
          <w:rFonts w:ascii="方正仿宋_GBK"/>
          <w:color w:val="000000"/>
          <w:szCs w:val="32"/>
        </w:rPr>
        <w:t>二</w:t>
      </w:r>
      <w:r>
        <w:rPr>
          <w:rFonts w:ascii="方正仿宋_GBK" w:hAnsi="仿宋" w:cs="仿宋"/>
          <w:bCs/>
          <w:szCs w:val="32"/>
        </w:rPr>
        <w:t>级</w:t>
      </w:r>
      <w:r>
        <w:rPr>
          <w:rFonts w:ascii="方正仿宋_GBK" w:hAnsi="仿宋" w:cs="仿宋"/>
          <w:bCs/>
          <w:spacing w:val="14"/>
          <w:szCs w:val="32"/>
        </w:rPr>
        <w:t>预算单位，单位类型</w:t>
      </w:r>
      <w:r>
        <w:rPr>
          <w:rFonts w:ascii="方正仿宋_GBK" w:hAnsi="仿宋" w:cs="仿宋"/>
          <w:bCs/>
          <w:szCs w:val="32"/>
        </w:rPr>
        <w:t>为</w:t>
      </w:r>
      <w:r>
        <w:rPr>
          <w:rFonts w:ascii="方正仿宋_GBK"/>
          <w:color w:val="000000"/>
          <w:szCs w:val="32"/>
        </w:rPr>
        <w:t>公益一类事业</w:t>
      </w:r>
      <w:r>
        <w:rPr>
          <w:rFonts w:ascii="方正仿宋_GBK" w:hAnsi="仿宋" w:cs="仿宋"/>
          <w:bCs/>
          <w:szCs w:val="32"/>
        </w:rPr>
        <w:t>单位。</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2025年年初预算数113.74万元，其中：一般公共预算拨款113.74万元，。收入较2024年增加113.74万元，主要是本单位为新设立单位，人员经费、公用经费拨款增加113.74万元。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2025年年初预算数113.74万元，其中：社会保障和就业支出预算</w:t>
      </w:r>
      <w:r>
        <w:rPr>
          <w:rFonts w:cs="仿宋_GB2312"/>
        </w:rPr>
        <w:t>101.52</w:t>
      </w:r>
      <w:r>
        <w:rPr>
          <w:rFonts w:hint="eastAsia" w:cs="仿宋_GB2312"/>
        </w:rPr>
        <w:t>万元，卫生健康支出预算</w:t>
      </w:r>
      <w:r>
        <w:rPr>
          <w:rFonts w:cs="仿宋_GB2312"/>
        </w:rPr>
        <w:t>5</w:t>
      </w:r>
      <w:r>
        <w:rPr>
          <w:rFonts w:hint="eastAsia" w:cs="仿宋_GB2312"/>
        </w:rPr>
        <w:t>万元，住房保障支出预算</w:t>
      </w:r>
      <w:r>
        <w:rPr>
          <w:rFonts w:cs="仿宋_GB2312"/>
        </w:rPr>
        <w:t>7.22</w:t>
      </w:r>
      <w:r>
        <w:rPr>
          <w:rFonts w:hint="eastAsia" w:cs="仿宋_GB2312"/>
        </w:rPr>
        <w:t>万元。支出预算较2024年增加113.74万元，主要是基本支出预算增加113.74万元。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113.74万元，一般公共预算财政拨款支出113.74万元，比2024年增加113.74万元。其中：基本支出113.74万元，比2024年增加113.74万元，主要原因是本单位为新设立单位，人员经费、公用经费拨款增加，主要用于保障在职人员工资福利及社会保险缴费，退休人员补助等，保障单位正常运转的各项商品服务支出。</w:t>
      </w:r>
    </w:p>
    <w:p>
      <w:pPr>
        <w:adjustRightInd w:val="0"/>
        <w:snapToGrid w:val="0"/>
        <w:spacing w:line="600" w:lineRule="exact"/>
        <w:ind w:firstLine="640" w:firstLineChars="200"/>
        <w:rPr>
          <w:rFonts w:cs="仿宋_GB2312"/>
        </w:rPr>
      </w:pPr>
      <w:r>
        <w:rPr>
          <w:rFonts w:hint="eastAsia" w:cs="仿宋_GB2312"/>
        </w:rPr>
        <w:t>重庆市九龙坡区杨家坪街道便民服务中心（退役军人服务站）2025年无使用政府性基金预算拨款安排的支出。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szCs w:val="32"/>
        </w:rPr>
      </w:pPr>
      <w:r>
        <w:rPr>
          <w:rFonts w:hint="eastAsia" w:cs="仿宋_GB2312"/>
        </w:rPr>
        <w:t>本</w:t>
      </w:r>
      <w:r>
        <w:rPr>
          <w:rFonts w:hint="eastAsia" w:cs="仿宋_GB2312"/>
          <w:szCs w:val="32"/>
        </w:rPr>
        <w:t>单位2025年无“三公”经费预算安排。</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1.我单位不在机关运行经费统计范围之内。</w:t>
      </w:r>
    </w:p>
    <w:p>
      <w:pPr>
        <w:adjustRightInd w:val="0"/>
        <w:snapToGrid w:val="0"/>
        <w:spacing w:line="600" w:lineRule="exact"/>
        <w:ind w:firstLine="640" w:firstLineChars="200"/>
        <w:rPr>
          <w:rFonts w:cs="仿宋_GB2312"/>
        </w:rPr>
      </w:pPr>
      <w:r>
        <w:rPr>
          <w:rFonts w:hint="eastAsia" w:cs="仿宋_GB2312"/>
        </w:rPr>
        <w:t>2.政府采购情况。本单位2025年无政府采购预算安排。</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w:t>
      </w:r>
      <w:r>
        <w:rPr>
          <w:rFonts w:hint="eastAsia" w:cs="仿宋_GB2312"/>
        </w:rPr>
        <w:t>本</w:t>
      </w:r>
      <w:r>
        <w:rPr>
          <w:rFonts w:hint="eastAsia" w:cs="仿宋_GB2312"/>
          <w:color w:val="000000"/>
        </w:rPr>
        <w:t>单位无项目支出预算安排，不涉及绩效目标管理。</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4.国有资产占有使用情况。截止2024年12月，本单位共有车辆0辆，其中一般公务用车0辆、执勤执法用车0辆。2025年一般公共预算安排购置车辆0辆，其中一般公务用车 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部门预算公开联系人：姜燕妮 联系方式：</w:t>
      </w:r>
      <w:r>
        <w:rPr>
          <w:rFonts w:hint="eastAsia"/>
        </w:rPr>
        <w:t xml:space="preserve"> 023-68106375</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附表：1.2025年杨家坪街道便民服务中心（退役军人服务站）财政拨款收支总表</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rPr>
          <w:rFonts w:eastAsia="方正仿宋_GBK"/>
          <w:sz w:val="32"/>
          <w:szCs w:val="32"/>
        </w:rPr>
      </w:pPr>
      <w:r>
        <w:rPr>
          <w:rFonts w:hint="eastAsia" w:eastAsia="方正仿宋_GBK"/>
          <w:sz w:val="32"/>
          <w:szCs w:val="32"/>
        </w:rPr>
        <w:t>2</w:t>
      </w:r>
      <w:r>
        <w:rPr>
          <w:rFonts w:hint="eastAsia" w:eastAsia="方正仿宋_GBK"/>
          <w:spacing w:val="-10"/>
          <w:sz w:val="32"/>
          <w:szCs w:val="32"/>
        </w:rPr>
        <w:t>.2025年杨家坪街道便民服务中心（退役军人服务站）一般公共预算财政拨款支出预算表</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rPr>
          <w:rFonts w:eastAsia="方正仿宋_GBK"/>
          <w:sz w:val="32"/>
          <w:szCs w:val="32"/>
        </w:rPr>
      </w:pPr>
      <w:r>
        <w:rPr>
          <w:rFonts w:hint="eastAsia" w:eastAsia="方正仿宋_GBK"/>
          <w:sz w:val="32"/>
          <w:szCs w:val="32"/>
        </w:rPr>
        <w:t>3.2025年杨家坪街道便民服务中心（退役军人服务站）一般公共预算财政拨款基本支出预算表</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rPr>
          <w:rFonts w:eastAsia="方正仿宋_GBK"/>
          <w:sz w:val="32"/>
          <w:szCs w:val="32"/>
        </w:rPr>
      </w:pPr>
      <w:r>
        <w:rPr>
          <w:rFonts w:hint="eastAsia" w:eastAsia="方正仿宋_GBK"/>
          <w:sz w:val="32"/>
          <w:szCs w:val="32"/>
        </w:rPr>
        <w:t>4.2025年杨家坪街道便民服务中心（退役军人服务站）一般公共预算财政拨款基本支出预算表（政府预算支出经济分类科目）</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rPr>
          <w:rFonts w:eastAsia="方正仿宋_GBK"/>
          <w:sz w:val="32"/>
          <w:szCs w:val="32"/>
        </w:rPr>
      </w:pPr>
      <w:r>
        <w:rPr>
          <w:rFonts w:hint="eastAsia" w:eastAsia="方正仿宋_GBK"/>
          <w:sz w:val="32"/>
          <w:szCs w:val="32"/>
        </w:rPr>
        <w:t>5.2025年杨家坪街道便民服务中心（退役军人服务站）一般公共预算“三公”经费支出表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jc w:val="left"/>
        <w:textAlignment w:val="auto"/>
        <w:rPr>
          <w:sz w:val="32"/>
          <w:szCs w:val="32"/>
        </w:rPr>
      </w:pPr>
      <w:r>
        <w:rPr>
          <w:rFonts w:hint="eastAsia"/>
          <w:sz w:val="32"/>
          <w:szCs w:val="32"/>
        </w:rPr>
        <w:t>6.2025年杨家坪街道便民服务中心（退役军人服务站）政府性基金预算支出表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jc w:val="left"/>
        <w:textAlignment w:val="auto"/>
        <w:rPr>
          <w:sz w:val="32"/>
          <w:szCs w:val="32"/>
        </w:rPr>
      </w:pPr>
      <w:r>
        <w:rPr>
          <w:rFonts w:hint="eastAsia"/>
          <w:sz w:val="32"/>
          <w:szCs w:val="32"/>
        </w:rPr>
        <w:t>7.2025年杨家坪街道便民服务中心（退役军人服务站）部门收支总表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jc w:val="left"/>
        <w:textAlignment w:val="auto"/>
        <w:rPr>
          <w:b/>
          <w:sz w:val="32"/>
          <w:szCs w:val="32"/>
        </w:rPr>
      </w:pPr>
      <w:r>
        <w:rPr>
          <w:rFonts w:hint="eastAsia"/>
          <w:sz w:val="32"/>
          <w:szCs w:val="32"/>
        </w:rPr>
        <w:t>8.2025年杨家坪街道便民服务中心（退役军人服务站）部门收入总表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jc w:val="left"/>
        <w:textAlignment w:val="auto"/>
        <w:rPr>
          <w:b/>
          <w:sz w:val="32"/>
          <w:szCs w:val="32"/>
        </w:rPr>
      </w:pPr>
      <w:r>
        <w:rPr>
          <w:rFonts w:hint="eastAsia"/>
          <w:sz w:val="32"/>
          <w:szCs w:val="32"/>
        </w:rPr>
        <w:t>9.2025年杨家坪街道便民服务中心（退役军人服务站）部门支出总表（功能科目分类到项）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jc w:val="left"/>
        <w:textAlignment w:val="auto"/>
        <w:rPr>
          <w:sz w:val="32"/>
          <w:szCs w:val="32"/>
        </w:rPr>
      </w:pPr>
      <w:r>
        <w:rPr>
          <w:rFonts w:hint="eastAsia"/>
          <w:sz w:val="32"/>
          <w:szCs w:val="32"/>
        </w:rPr>
        <w:t>10.2025年杨家坪街道便民服务中心（退役军人服务站）一般公共预算财政拨款项目支出预算表（部门预算支出经济分类科目）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jc w:val="left"/>
        <w:textAlignment w:val="auto"/>
        <w:rPr>
          <w:sz w:val="32"/>
          <w:szCs w:val="32"/>
        </w:rPr>
      </w:pPr>
      <w:r>
        <w:rPr>
          <w:rFonts w:hint="eastAsia"/>
          <w:sz w:val="32"/>
          <w:szCs w:val="32"/>
        </w:rPr>
        <w:t>11.2025年杨家坪街道便民服务中心（退役军人服务站）一般公共预算财政拨款项目支出预算表（政府预算支出经济分类科目）</w:t>
      </w: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600" w:lineRule="exact"/>
        <w:ind w:left="0" w:leftChars="0" w:right="0" w:rightChars="0" w:firstLine="1600" w:firstLineChars="500"/>
        <w:textAlignment w:val="auto"/>
        <w:rPr>
          <w:rFonts w:eastAsia="方正仿宋_GBK"/>
          <w:sz w:val="32"/>
          <w:szCs w:val="32"/>
        </w:rPr>
      </w:pPr>
      <w:r>
        <w:rPr>
          <w:rFonts w:hint="eastAsia" w:eastAsia="方正仿宋_GBK"/>
          <w:sz w:val="32"/>
          <w:szCs w:val="32"/>
        </w:rPr>
        <w:t>12.2025年杨家坪街道便民服务中心（退役军人服务站）政府采购明细表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00" w:firstLineChars="500"/>
        <w:textAlignment w:val="auto"/>
        <w:rPr>
          <w:szCs w:val="32"/>
        </w:rPr>
      </w:pPr>
      <w:r>
        <w:rPr>
          <w:rFonts w:hint="eastAsia"/>
          <w:sz w:val="32"/>
          <w:szCs w:val="32"/>
        </w:rPr>
        <w:t>13.2025年杨家坪街道便民服务中心（退役军人服务站）项目绩效目标表</w:t>
      </w:r>
    </w:p>
    <w:p>
      <w:pPr>
        <w:sectPr>
          <w:pgSz w:w="11906" w:h="16838"/>
          <w:pgMar w:top="1440" w:right="1800" w:bottom="1440" w:left="1800" w:header="851" w:footer="992" w:gutter="0"/>
          <w:cols w:space="425" w:num="1"/>
          <w:docGrid w:type="lines" w:linePitch="312" w:charSpace="0"/>
        </w:sectPr>
      </w:pPr>
    </w:p>
    <w:p>
      <w:pPr>
        <w:rPr>
          <w:rFonts w:hint="eastAsia" w:ascii="方正黑体_GBK" w:hAnsi="方正黑体_GBK" w:eastAsia="方正黑体_GBK" w:cs="方正黑体_GBK"/>
        </w:rPr>
      </w:pPr>
      <w:r>
        <w:rPr>
          <w:rFonts w:hint="eastAsia" w:ascii="方正黑体_GBK" w:hAnsi="方正黑体_GBK" w:eastAsia="方正黑体_GBK" w:cs="方正黑体_GBK"/>
        </w:rPr>
        <w:t>附表1</w:t>
      </w:r>
    </w:p>
    <w:tbl>
      <w:tblPr>
        <w:tblStyle w:val="5"/>
        <w:tblW w:w="5000" w:type="pct"/>
        <w:tblInd w:w="0" w:type="dxa"/>
        <w:tblLayout w:type="autofit"/>
        <w:tblCellMar>
          <w:top w:w="0" w:type="dxa"/>
          <w:left w:w="108" w:type="dxa"/>
          <w:bottom w:w="0" w:type="dxa"/>
          <w:right w:w="108" w:type="dxa"/>
        </w:tblCellMar>
      </w:tblPr>
      <w:tblGrid>
        <w:gridCol w:w="2616"/>
        <w:gridCol w:w="1843"/>
        <w:gridCol w:w="2753"/>
        <w:gridCol w:w="1826"/>
        <w:gridCol w:w="1735"/>
        <w:gridCol w:w="1665"/>
        <w:gridCol w:w="1736"/>
      </w:tblGrid>
      <w:tr>
        <w:tblPrEx>
          <w:tblCellMar>
            <w:top w:w="0" w:type="dxa"/>
            <w:left w:w="108" w:type="dxa"/>
            <w:bottom w:w="0" w:type="dxa"/>
            <w:right w:w="108" w:type="dxa"/>
          </w:tblCellMar>
        </w:tblPrEx>
        <w:trPr>
          <w:trHeight w:val="810" w:hRule="atLeast"/>
        </w:trPr>
        <w:tc>
          <w:tcPr>
            <w:tcW w:w="5000" w:type="pct"/>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重庆市九龙坡区杨家坪街道便民服务中心（退役军人服务站）财政拨款收支总表</w:t>
            </w:r>
          </w:p>
        </w:tc>
      </w:tr>
      <w:tr>
        <w:tblPrEx>
          <w:tblCellMar>
            <w:top w:w="0" w:type="dxa"/>
            <w:left w:w="108" w:type="dxa"/>
            <w:bottom w:w="0" w:type="dxa"/>
            <w:right w:w="108" w:type="dxa"/>
          </w:tblCellMar>
        </w:tblPrEx>
        <w:trPr>
          <w:trHeight w:val="465" w:hRule="atLeast"/>
        </w:trPr>
        <w:tc>
          <w:tcPr>
            <w:tcW w:w="89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55"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7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9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7"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451"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89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55"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97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61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61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89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6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97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465" w:hRule="atLeast"/>
        </w:trPr>
        <w:tc>
          <w:tcPr>
            <w:tcW w:w="89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6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113.74</w:t>
            </w:r>
          </w:p>
        </w:tc>
        <w:tc>
          <w:tcPr>
            <w:tcW w:w="976"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101.52</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101.52</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65" w:hRule="atLeast"/>
        </w:trPr>
        <w:tc>
          <w:tcPr>
            <w:tcW w:w="89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6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976"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65" w:hRule="atLeast"/>
        </w:trPr>
        <w:tc>
          <w:tcPr>
            <w:tcW w:w="89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6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976"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327" w:hRule="atLeast"/>
        </w:trPr>
        <w:tc>
          <w:tcPr>
            <w:tcW w:w="89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47" w:hRule="atLeast"/>
        </w:trPr>
        <w:tc>
          <w:tcPr>
            <w:tcW w:w="894"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65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6" w:type="pct"/>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64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32" w:hRule="atLeast"/>
        </w:trPr>
        <w:tc>
          <w:tcPr>
            <w:tcW w:w="89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65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13" w:hRule="atLeast"/>
        </w:trPr>
        <w:tc>
          <w:tcPr>
            <w:tcW w:w="89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65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13" w:hRule="atLeast"/>
        </w:trPr>
        <w:tc>
          <w:tcPr>
            <w:tcW w:w="89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65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27" w:hRule="atLeast"/>
        </w:trPr>
        <w:tc>
          <w:tcPr>
            <w:tcW w:w="89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4" w:hRule="atLeast"/>
        </w:trPr>
        <w:tc>
          <w:tcPr>
            <w:tcW w:w="89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6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97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c>
          <w:tcPr>
            <w:tcW w:w="61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附表2</w:t>
      </w:r>
    </w:p>
    <w:tbl>
      <w:tblPr>
        <w:tblStyle w:val="5"/>
        <w:tblW w:w="5000" w:type="pct"/>
        <w:tblInd w:w="0" w:type="dxa"/>
        <w:tblLayout w:type="autofit"/>
        <w:tblCellMar>
          <w:top w:w="0" w:type="dxa"/>
          <w:left w:w="108" w:type="dxa"/>
          <w:bottom w:w="0" w:type="dxa"/>
          <w:right w:w="108" w:type="dxa"/>
        </w:tblCellMar>
      </w:tblPr>
      <w:tblGrid>
        <w:gridCol w:w="1669"/>
        <w:gridCol w:w="5471"/>
        <w:gridCol w:w="2373"/>
        <w:gridCol w:w="2441"/>
        <w:gridCol w:w="2220"/>
      </w:tblGrid>
      <w:tr>
        <w:tblPrEx>
          <w:tblCellMar>
            <w:top w:w="0" w:type="dxa"/>
            <w:left w:w="108" w:type="dxa"/>
            <w:bottom w:w="0" w:type="dxa"/>
            <w:right w:w="108" w:type="dxa"/>
          </w:tblCellMar>
        </w:tblPrEx>
        <w:trPr>
          <w:trHeight w:val="435" w:hRule="atLeast"/>
        </w:trPr>
        <w:tc>
          <w:tcPr>
            <w:tcW w:w="5000" w:type="pct"/>
            <w:gridSpan w:val="5"/>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重庆市九龙坡区杨家坪街道便民服务中心（退役军人服务站）</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34"/>
                <w:szCs w:val="34"/>
              </w:rPr>
              <w:t>一般公共预算财政拨款支出预算表</w:t>
            </w:r>
          </w:p>
        </w:tc>
      </w:tr>
      <w:tr>
        <w:tblPrEx>
          <w:tblCellMar>
            <w:top w:w="0" w:type="dxa"/>
            <w:left w:w="108" w:type="dxa"/>
            <w:bottom w:w="0" w:type="dxa"/>
            <w:right w:w="108" w:type="dxa"/>
          </w:tblCellMar>
        </w:tblPrEx>
        <w:trPr>
          <w:trHeight w:val="435" w:hRule="atLeast"/>
        </w:trPr>
        <w:tc>
          <w:tcPr>
            <w:tcW w:w="5000" w:type="pct"/>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413" w:hRule="atLeast"/>
        </w:trPr>
        <w:tc>
          <w:tcPr>
            <w:tcW w:w="589" w:type="pct"/>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929" w:type="pct"/>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37" w:type="pct"/>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61" w:type="pct"/>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82"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2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2480"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1929"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83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86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78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2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113.74</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113.74</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929"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101.52</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101.52</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20805</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行政事业单位养老支出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28.06</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28.06</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2080505</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机关事业单位基本养老保险缴费支出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7.48</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7.48</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2080506</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机关事业单位职业年金缴费支出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3.74</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3.74</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2080599</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其他行政事业单位养老支出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16.84</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16.84</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20828</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退役军人管理事务</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73.46</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73.46</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2082850</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事业运行</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73.46</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73.46</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929"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5.00</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5.00</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21011</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行政事业单位医疗</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5.00</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5.00</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2101102</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事业单位医疗</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3.33</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3.33</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2101199</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其他行政事业单位医疗支出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1.67</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1.67</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929"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7.22</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7.22</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22102</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住房改革支出</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7.22</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7.22</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2210201</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住房公积金</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6.43</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6.43</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58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2210203</w:t>
            </w:r>
          </w:p>
        </w:tc>
        <w:tc>
          <w:tcPr>
            <w:tcW w:w="1929"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购房补贴</w:t>
            </w:r>
          </w:p>
        </w:tc>
        <w:tc>
          <w:tcPr>
            <w:tcW w:w="83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86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78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附表3</w:t>
      </w:r>
    </w:p>
    <w:tbl>
      <w:tblPr>
        <w:tblStyle w:val="5"/>
        <w:tblW w:w="5000" w:type="pct"/>
        <w:tblInd w:w="0" w:type="dxa"/>
        <w:tblLayout w:type="autofit"/>
        <w:tblCellMar>
          <w:top w:w="0" w:type="dxa"/>
          <w:left w:w="108" w:type="dxa"/>
          <w:bottom w:w="0" w:type="dxa"/>
          <w:right w:w="108" w:type="dxa"/>
        </w:tblCellMar>
      </w:tblPr>
      <w:tblGrid>
        <w:gridCol w:w="2446"/>
        <w:gridCol w:w="6891"/>
        <w:gridCol w:w="924"/>
        <w:gridCol w:w="1576"/>
        <w:gridCol w:w="2337"/>
      </w:tblGrid>
      <w:tr>
        <w:tblPrEx>
          <w:tblCellMar>
            <w:top w:w="0" w:type="dxa"/>
            <w:left w:w="108" w:type="dxa"/>
            <w:bottom w:w="0" w:type="dxa"/>
            <w:right w:w="108" w:type="dxa"/>
          </w:tblCellMar>
        </w:tblPrEx>
        <w:trPr>
          <w:trHeight w:val="435" w:hRule="atLeast"/>
        </w:trPr>
        <w:tc>
          <w:tcPr>
            <w:tcW w:w="5000" w:type="pct"/>
            <w:gridSpan w:val="5"/>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34"/>
                <w:szCs w:val="34"/>
              </w:rPr>
              <w:t>重庆市九龙坡区杨家坪街道便民服务中心（退役军人服务站）</w:t>
            </w:r>
            <w:r>
              <w:rPr>
                <w:rFonts w:hint="eastAsia" w:ascii="方正小标宋_GBK" w:hAnsi="宋体" w:eastAsia="方正小标宋_GBK" w:cs="宋体"/>
                <w:color w:val="000000"/>
                <w:kern w:val="0"/>
                <w:sz w:val="34"/>
                <w:szCs w:val="34"/>
              </w:rPr>
              <w:br w:type="textWrapping"/>
            </w:r>
            <w:r>
              <w:rPr>
                <w:rFonts w:hint="eastAsia" w:ascii="方正小标宋_GBK" w:hAnsi="宋体" w:eastAsia="方正小标宋_GBK" w:cs="宋体"/>
                <w:color w:val="000000"/>
                <w:kern w:val="0"/>
                <w:sz w:val="34"/>
                <w:szCs w:val="34"/>
              </w:rPr>
              <w:t>一般公共预算财政拨款基本支出预算表</w:t>
            </w:r>
          </w:p>
        </w:tc>
      </w:tr>
      <w:tr>
        <w:tblPrEx>
          <w:tblCellMar>
            <w:top w:w="0" w:type="dxa"/>
            <w:left w:w="108" w:type="dxa"/>
            <w:bottom w:w="0" w:type="dxa"/>
            <w:right w:w="108" w:type="dxa"/>
          </w:tblCellMar>
        </w:tblPrEx>
        <w:trPr>
          <w:trHeight w:val="540" w:hRule="atLeast"/>
        </w:trPr>
        <w:tc>
          <w:tcPr>
            <w:tcW w:w="5000" w:type="pct"/>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5000" w:type="pct"/>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86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43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2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24"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1706"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552" w:hRule="atLeast"/>
        </w:trPr>
        <w:tc>
          <w:tcPr>
            <w:tcW w:w="863"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2431"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3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113.74</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94.44</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19.30</w:t>
            </w:r>
          </w:p>
        </w:tc>
      </w:tr>
      <w:tr>
        <w:tblPrEx>
          <w:tblCellMar>
            <w:top w:w="0" w:type="dxa"/>
            <w:left w:w="108" w:type="dxa"/>
            <w:bottom w:w="0" w:type="dxa"/>
            <w:right w:w="108" w:type="dxa"/>
          </w:tblCellMar>
        </w:tblPrEx>
        <w:trPr>
          <w:trHeight w:val="398" w:hRule="atLeast"/>
        </w:trPr>
        <w:tc>
          <w:tcPr>
            <w:tcW w:w="86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243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77.28</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77.28</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30101</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基本工资</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16.92</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16.92</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30102</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津贴补贴</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1.42</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1.42</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30107</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绩效工资</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36.01</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36.01</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30108</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机关事业单位基本养老保险缴费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7.48</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7.48</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30109</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职业年金缴费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3.74</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3.74</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30110</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职工基本医疗保险缴费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2.69</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2.69</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30112</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其他社会保障缴费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0.57</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0.57</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30113</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住房公积金</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6.43</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6.43</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30114</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医疗费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30199</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其他工资福利支出</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98" w:hRule="atLeast"/>
        </w:trPr>
        <w:tc>
          <w:tcPr>
            <w:tcW w:w="86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243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18.70</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18.70</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30201</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办公费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13.75</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13.75</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30205</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水费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0.12</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0.12</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30206</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电费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0.28</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0.28</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30207</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邮电费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1.25</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1.25</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30209</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物业管理费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0.96</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0.96</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30216</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培训费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0.47</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0.47</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30228</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工会经费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0.63</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0.63</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30229</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福利费</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0.95</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0.95</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30299</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其他商品和服务支出</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0.28</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0.28</w:t>
            </w:r>
          </w:p>
        </w:tc>
      </w:tr>
      <w:tr>
        <w:tblPrEx>
          <w:tblCellMar>
            <w:top w:w="0" w:type="dxa"/>
            <w:left w:w="108" w:type="dxa"/>
            <w:bottom w:w="0" w:type="dxa"/>
            <w:right w:w="108" w:type="dxa"/>
          </w:tblCellMar>
        </w:tblPrEx>
        <w:trPr>
          <w:trHeight w:val="398" w:hRule="atLeast"/>
        </w:trPr>
        <w:tc>
          <w:tcPr>
            <w:tcW w:w="86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w:t>
            </w:r>
          </w:p>
        </w:tc>
        <w:tc>
          <w:tcPr>
            <w:tcW w:w="243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对个人和家庭的补助</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17.76</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17.16</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0.60</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30305</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生活补助</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16.56</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15.96</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0.60</w:t>
            </w:r>
          </w:p>
        </w:tc>
      </w:tr>
      <w:tr>
        <w:tblPrEx>
          <w:tblCellMar>
            <w:top w:w="0" w:type="dxa"/>
            <w:left w:w="108" w:type="dxa"/>
            <w:bottom w:w="0" w:type="dxa"/>
            <w:right w:w="108" w:type="dxa"/>
          </w:tblCellMar>
        </w:tblPrEx>
        <w:trPr>
          <w:trHeight w:val="379" w:hRule="atLeast"/>
        </w:trPr>
        <w:tc>
          <w:tcPr>
            <w:tcW w:w="86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30307</w:t>
            </w:r>
          </w:p>
        </w:tc>
        <w:tc>
          <w:tcPr>
            <w:tcW w:w="243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医疗费补助</w:t>
            </w:r>
          </w:p>
        </w:tc>
        <w:tc>
          <w:tcPr>
            <w:tcW w:w="32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w:t>
            </w:r>
          </w:p>
        </w:tc>
        <w:tc>
          <w:tcPr>
            <w:tcW w:w="82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附表4</w:t>
      </w:r>
    </w:p>
    <w:tbl>
      <w:tblPr>
        <w:tblStyle w:val="5"/>
        <w:tblW w:w="5000" w:type="pct"/>
        <w:tblInd w:w="0" w:type="dxa"/>
        <w:tblLayout w:type="autofit"/>
        <w:tblCellMar>
          <w:top w:w="0" w:type="dxa"/>
          <w:left w:w="108" w:type="dxa"/>
          <w:bottom w:w="0" w:type="dxa"/>
          <w:right w:w="108" w:type="dxa"/>
        </w:tblCellMar>
      </w:tblPr>
      <w:tblGrid>
        <w:gridCol w:w="2475"/>
        <w:gridCol w:w="5783"/>
        <w:gridCol w:w="5916"/>
      </w:tblGrid>
      <w:tr>
        <w:tblPrEx>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重庆市九龙坡区杨家坪街道便民服务中心（退役军人服务站）</w:t>
            </w:r>
            <w:r>
              <w:rPr>
                <w:rFonts w:hint="eastAsia" w:ascii="方正小标宋_GBK" w:hAnsi="宋体" w:eastAsia="方正小标宋_GBK" w:cs="宋体"/>
                <w:color w:val="000000"/>
                <w:kern w:val="0"/>
                <w:sz w:val="34"/>
                <w:szCs w:val="34"/>
              </w:rPr>
              <w:br w:type="textWrapping"/>
            </w:r>
            <w:r>
              <w:rPr>
                <w:rFonts w:hint="eastAsia" w:ascii="方正小标宋_GBK" w:hAnsi="宋体" w:eastAsia="方正小标宋_GBK" w:cs="宋体"/>
                <w:color w:val="000000"/>
                <w:kern w:val="0"/>
                <w:sz w:val="34"/>
                <w:szCs w:val="34"/>
              </w:rPr>
              <w:t>一般公共预算财政拨款基本支出预算表</w:t>
            </w:r>
          </w:p>
        </w:tc>
      </w:tr>
      <w:tr>
        <w:tblPrEx>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87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4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7" w:type="pct"/>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2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宋体" w:eastAsia="方正大黑_GBK" w:cs="宋体"/>
                <w:color w:val="000000"/>
                <w:kern w:val="0"/>
                <w:sz w:val="28"/>
                <w:szCs w:val="28"/>
              </w:rPr>
            </w:pPr>
            <w:r>
              <w:rPr>
                <w:rFonts w:hint="eastAsia" w:ascii="方正大黑_GBK" w:hAnsi="宋体" w:eastAsia="方正大黑_GBK" w:cs="宋体"/>
                <w:color w:val="000000"/>
                <w:kern w:val="0"/>
                <w:sz w:val="28"/>
                <w:szCs w:val="28"/>
              </w:rPr>
              <w:t>政府预算经济科目</w:t>
            </w:r>
          </w:p>
        </w:tc>
        <w:tc>
          <w:tcPr>
            <w:tcW w:w="20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宋体" w:eastAsia="方正大黑_GBK" w:cs="宋体"/>
                <w:color w:val="000000"/>
                <w:kern w:val="0"/>
                <w:sz w:val="28"/>
                <w:szCs w:val="28"/>
              </w:rPr>
            </w:pPr>
            <w:r>
              <w:rPr>
                <w:rFonts w:hint="eastAsia" w:ascii="方正大黑_GBK" w:hAnsi="宋体" w:eastAsia="方正大黑_GBK"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873"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2040"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208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大黑_GBK" w:hAnsi="宋体" w:eastAsia="方正大黑_GBK" w:cs="宋体"/>
                <w:color w:val="000000"/>
                <w:kern w:val="0"/>
                <w:sz w:val="28"/>
                <w:szCs w:val="28"/>
              </w:rPr>
            </w:pPr>
          </w:p>
        </w:tc>
      </w:tr>
      <w:tr>
        <w:tblPrEx>
          <w:tblCellMar>
            <w:top w:w="0" w:type="dxa"/>
            <w:left w:w="108" w:type="dxa"/>
            <w:bottom w:w="0" w:type="dxa"/>
            <w:right w:w="108" w:type="dxa"/>
          </w:tblCellMar>
        </w:tblPrEx>
        <w:trPr>
          <w:trHeight w:val="413" w:hRule="atLeast"/>
        </w:trPr>
        <w:tc>
          <w:tcPr>
            <w:tcW w:w="2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087"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r>
      <w:tr>
        <w:tblPrEx>
          <w:tblCellMar>
            <w:top w:w="0" w:type="dxa"/>
            <w:left w:w="108" w:type="dxa"/>
            <w:bottom w:w="0" w:type="dxa"/>
            <w:right w:w="108" w:type="dxa"/>
          </w:tblCellMar>
        </w:tblPrEx>
        <w:trPr>
          <w:trHeight w:val="398" w:hRule="atLeast"/>
        </w:trPr>
        <w:tc>
          <w:tcPr>
            <w:tcW w:w="87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208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95.98</w:t>
            </w:r>
          </w:p>
        </w:tc>
      </w:tr>
      <w:tr>
        <w:tblPrEx>
          <w:tblCellMar>
            <w:top w:w="0" w:type="dxa"/>
            <w:left w:w="108" w:type="dxa"/>
            <w:bottom w:w="0" w:type="dxa"/>
            <w:right w:w="108" w:type="dxa"/>
          </w:tblCellMar>
        </w:tblPrEx>
        <w:trPr>
          <w:trHeight w:val="379" w:hRule="atLeast"/>
        </w:trPr>
        <w:tc>
          <w:tcPr>
            <w:tcW w:w="87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50501</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工资福利支出</w:t>
            </w:r>
          </w:p>
        </w:tc>
        <w:tc>
          <w:tcPr>
            <w:tcW w:w="208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77.28</w:t>
            </w:r>
          </w:p>
        </w:tc>
      </w:tr>
      <w:tr>
        <w:tblPrEx>
          <w:tblCellMar>
            <w:top w:w="0" w:type="dxa"/>
            <w:left w:w="108" w:type="dxa"/>
            <w:bottom w:w="0" w:type="dxa"/>
            <w:right w:w="108" w:type="dxa"/>
          </w:tblCellMar>
        </w:tblPrEx>
        <w:trPr>
          <w:trHeight w:val="379" w:hRule="atLeast"/>
        </w:trPr>
        <w:tc>
          <w:tcPr>
            <w:tcW w:w="87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50502</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商品和服务支出</w:t>
            </w:r>
          </w:p>
        </w:tc>
        <w:tc>
          <w:tcPr>
            <w:tcW w:w="208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18.70</w:t>
            </w:r>
          </w:p>
        </w:tc>
      </w:tr>
      <w:tr>
        <w:tblPrEx>
          <w:tblCellMar>
            <w:top w:w="0" w:type="dxa"/>
            <w:left w:w="108" w:type="dxa"/>
            <w:bottom w:w="0" w:type="dxa"/>
            <w:right w:w="108" w:type="dxa"/>
          </w:tblCellMar>
        </w:tblPrEx>
        <w:trPr>
          <w:trHeight w:val="398" w:hRule="atLeast"/>
        </w:trPr>
        <w:tc>
          <w:tcPr>
            <w:tcW w:w="87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208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17.76</w:t>
            </w:r>
          </w:p>
        </w:tc>
      </w:tr>
      <w:tr>
        <w:tblPrEx>
          <w:tblCellMar>
            <w:top w:w="0" w:type="dxa"/>
            <w:left w:w="108" w:type="dxa"/>
            <w:bottom w:w="0" w:type="dxa"/>
            <w:right w:w="108" w:type="dxa"/>
          </w:tblCellMar>
        </w:tblPrEx>
        <w:trPr>
          <w:trHeight w:val="379" w:hRule="atLeast"/>
        </w:trPr>
        <w:tc>
          <w:tcPr>
            <w:tcW w:w="87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50901</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社会福利和救助</w:t>
            </w:r>
          </w:p>
        </w:tc>
        <w:tc>
          <w:tcPr>
            <w:tcW w:w="208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17.76</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附表5</w:t>
      </w:r>
    </w:p>
    <w:tbl>
      <w:tblPr>
        <w:tblStyle w:val="5"/>
        <w:tblW w:w="5000" w:type="pct"/>
        <w:tblInd w:w="0" w:type="dxa"/>
        <w:tblLayout w:type="autofit"/>
        <w:tblCellMar>
          <w:top w:w="0" w:type="dxa"/>
          <w:left w:w="108" w:type="dxa"/>
          <w:bottom w:w="0" w:type="dxa"/>
          <w:right w:w="108" w:type="dxa"/>
        </w:tblCellMar>
      </w:tblPr>
      <w:tblGrid>
        <w:gridCol w:w="2653"/>
        <w:gridCol w:w="2821"/>
        <w:gridCol w:w="1826"/>
        <w:gridCol w:w="2259"/>
        <w:gridCol w:w="2390"/>
        <w:gridCol w:w="2225"/>
      </w:tblGrid>
      <w:tr>
        <w:tblPrEx>
          <w:tblCellMar>
            <w:top w:w="0" w:type="dxa"/>
            <w:left w:w="108" w:type="dxa"/>
            <w:bottom w:w="0" w:type="dxa"/>
            <w:right w:w="108" w:type="dxa"/>
          </w:tblCellMar>
        </w:tblPrEx>
        <w:trPr>
          <w:trHeight w:val="870" w:hRule="atLeast"/>
        </w:trPr>
        <w:tc>
          <w:tcPr>
            <w:tcW w:w="5000" w:type="pct"/>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4"/>
                <w:szCs w:val="34"/>
              </w:rPr>
              <w:t>重庆市九龙坡区杨家坪街道便民服务中心（退役军人服务站）</w:t>
            </w:r>
            <w:r>
              <w:rPr>
                <w:rFonts w:hint="eastAsia" w:ascii="方正小标宋_GBK" w:hAnsi="宋体" w:eastAsia="方正小标宋_GBK" w:cs="宋体"/>
                <w:color w:val="000000"/>
                <w:kern w:val="0"/>
                <w:sz w:val="34"/>
                <w:szCs w:val="34"/>
              </w:rPr>
              <w:br w:type="textWrapping"/>
            </w:r>
            <w:r>
              <w:rPr>
                <w:rFonts w:hint="eastAsia" w:ascii="方正小标宋_GBK" w:hAnsi="宋体" w:eastAsia="方正小标宋_GBK" w:cs="宋体"/>
                <w:color w:val="000000"/>
                <w:kern w:val="0"/>
                <w:sz w:val="34"/>
                <w:szCs w:val="34"/>
              </w:rPr>
              <w:t>一般公共预算“三公”经费支出表</w:t>
            </w:r>
          </w:p>
        </w:tc>
      </w:tr>
      <w:tr>
        <w:tblPrEx>
          <w:tblCellMar>
            <w:top w:w="0" w:type="dxa"/>
            <w:left w:w="108" w:type="dxa"/>
            <w:bottom w:w="0" w:type="dxa"/>
            <w:right w:w="108" w:type="dxa"/>
          </w:tblCellMar>
        </w:tblPrEx>
        <w:trPr>
          <w:trHeight w:val="413" w:hRule="atLeast"/>
        </w:trPr>
        <w:tc>
          <w:tcPr>
            <w:tcW w:w="93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95"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4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3"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93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99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2284"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78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936" w:type="pct"/>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995" w:type="pct"/>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44"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79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84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783" w:type="pct"/>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936"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995"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644"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797"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842"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783"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附表6</w:t>
      </w:r>
    </w:p>
    <w:tbl>
      <w:tblPr>
        <w:tblStyle w:val="5"/>
        <w:tblW w:w="5000" w:type="pct"/>
        <w:tblInd w:w="0" w:type="dxa"/>
        <w:tblLayout w:type="autofit"/>
        <w:tblCellMar>
          <w:top w:w="0" w:type="dxa"/>
          <w:left w:w="108" w:type="dxa"/>
          <w:bottom w:w="0" w:type="dxa"/>
          <w:right w:w="108" w:type="dxa"/>
        </w:tblCellMar>
      </w:tblPr>
      <w:tblGrid>
        <w:gridCol w:w="2324"/>
        <w:gridCol w:w="7260"/>
        <w:gridCol w:w="930"/>
        <w:gridCol w:w="1792"/>
        <w:gridCol w:w="1868"/>
      </w:tblGrid>
      <w:tr>
        <w:tblPrEx>
          <w:tblCellMar>
            <w:top w:w="0" w:type="dxa"/>
            <w:left w:w="108" w:type="dxa"/>
            <w:bottom w:w="0" w:type="dxa"/>
            <w:right w:w="108" w:type="dxa"/>
          </w:tblCellMar>
        </w:tblPrEx>
        <w:trPr>
          <w:trHeight w:val="499" w:hRule="atLeast"/>
        </w:trPr>
        <w:tc>
          <w:tcPr>
            <w:tcW w:w="5000" w:type="pct"/>
            <w:gridSpan w:val="5"/>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34"/>
                <w:szCs w:val="34"/>
              </w:rPr>
              <w:t>重庆市九龙坡区杨家坪街道便民服务中心（退役军人服务站）</w:t>
            </w:r>
            <w:r>
              <w:rPr>
                <w:rFonts w:hint="eastAsia" w:ascii="方正小标宋_GBK" w:hAnsi="宋体" w:eastAsia="方正小标宋_GBK" w:cs="宋体"/>
                <w:color w:val="000000"/>
                <w:kern w:val="0"/>
                <w:sz w:val="34"/>
                <w:szCs w:val="34"/>
              </w:rPr>
              <w:br w:type="textWrapping"/>
            </w:r>
            <w:r>
              <w:rPr>
                <w:rFonts w:hint="eastAsia" w:ascii="方正小标宋_GBK" w:hAnsi="宋体" w:eastAsia="方正小标宋_GBK" w:cs="宋体"/>
                <w:color w:val="000000"/>
                <w:kern w:val="0"/>
                <w:sz w:val="34"/>
                <w:szCs w:val="34"/>
              </w:rPr>
              <w:t>政府性基金预算支出表</w:t>
            </w:r>
          </w:p>
        </w:tc>
      </w:tr>
      <w:tr>
        <w:tblPrEx>
          <w:tblCellMar>
            <w:top w:w="0" w:type="dxa"/>
            <w:left w:w="108" w:type="dxa"/>
            <w:bottom w:w="0" w:type="dxa"/>
            <w:right w:w="108" w:type="dxa"/>
          </w:tblCellMar>
        </w:tblPrEx>
        <w:trPr>
          <w:trHeight w:val="533" w:hRule="atLeast"/>
        </w:trPr>
        <w:tc>
          <w:tcPr>
            <w:tcW w:w="5000" w:type="pct"/>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432" w:hRule="atLeast"/>
        </w:trPr>
        <w:tc>
          <w:tcPr>
            <w:tcW w:w="82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6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2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3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7"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rPr>
          <w:trHeight w:val="672" w:hRule="atLeast"/>
        </w:trPr>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2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618"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82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56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32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632"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33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32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w:t>
            </w:r>
          </w:p>
        </w:tc>
        <w:tc>
          <w:tcPr>
            <w:tcW w:w="6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w:t>
            </w:r>
          </w:p>
        </w:tc>
      </w:tr>
      <w:tr>
        <w:tblPrEx>
          <w:tblCellMar>
            <w:top w:w="0" w:type="dxa"/>
            <w:left w:w="108" w:type="dxa"/>
            <w:bottom w:w="0" w:type="dxa"/>
            <w:right w:w="108" w:type="dxa"/>
          </w:tblCellMar>
        </w:tblPrEx>
        <w:trPr>
          <w:trHeight w:val="327" w:hRule="atLeast"/>
        </w:trPr>
        <w:tc>
          <w:tcPr>
            <w:tcW w:w="82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25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32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6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rPr>
          <w:trHeight w:val="327" w:hRule="atLeast"/>
        </w:trPr>
        <w:tc>
          <w:tcPr>
            <w:tcW w:w="82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w:t>
            </w:r>
          </w:p>
        </w:tc>
        <w:tc>
          <w:tcPr>
            <w:tcW w:w="256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w:t>
            </w:r>
          </w:p>
        </w:tc>
        <w:tc>
          <w:tcPr>
            <w:tcW w:w="32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6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27" w:hRule="atLeast"/>
        </w:trPr>
        <w:tc>
          <w:tcPr>
            <w:tcW w:w="82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w:t>
            </w:r>
          </w:p>
        </w:tc>
        <w:tc>
          <w:tcPr>
            <w:tcW w:w="256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  </w:t>
            </w:r>
          </w:p>
        </w:tc>
        <w:tc>
          <w:tcPr>
            <w:tcW w:w="32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6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附表7</w:t>
      </w:r>
    </w:p>
    <w:tbl>
      <w:tblPr>
        <w:tblStyle w:val="5"/>
        <w:tblW w:w="5000" w:type="pct"/>
        <w:tblInd w:w="0" w:type="dxa"/>
        <w:tblLayout w:type="autofit"/>
        <w:tblCellMar>
          <w:top w:w="0" w:type="dxa"/>
          <w:left w:w="108" w:type="dxa"/>
          <w:bottom w:w="0" w:type="dxa"/>
          <w:right w:w="108" w:type="dxa"/>
        </w:tblCellMar>
      </w:tblPr>
      <w:tblGrid>
        <w:gridCol w:w="5193"/>
        <w:gridCol w:w="1865"/>
        <w:gridCol w:w="4686"/>
        <w:gridCol w:w="2430"/>
      </w:tblGrid>
      <w:tr>
        <w:tblPrEx>
          <w:tblCellMar>
            <w:top w:w="0" w:type="dxa"/>
            <w:left w:w="108" w:type="dxa"/>
            <w:bottom w:w="0" w:type="dxa"/>
            <w:right w:w="108" w:type="dxa"/>
          </w:tblCellMar>
        </w:tblPrEx>
        <w:trPr>
          <w:trHeight w:val="870" w:hRule="atLeast"/>
        </w:trPr>
        <w:tc>
          <w:tcPr>
            <w:tcW w:w="5000" w:type="pct"/>
            <w:gridSpan w:val="4"/>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4"/>
                <w:szCs w:val="34"/>
              </w:rPr>
              <w:t>重庆市九龙坡区杨家坪街道便民服务中心（退役军人服务站）部门收支总表</w:t>
            </w:r>
          </w:p>
        </w:tc>
      </w:tr>
      <w:tr>
        <w:tblPrEx>
          <w:tblCellMar>
            <w:top w:w="0" w:type="dxa"/>
            <w:left w:w="108" w:type="dxa"/>
            <w:bottom w:w="0" w:type="dxa"/>
            <w:right w:w="108" w:type="dxa"/>
          </w:tblCellMar>
        </w:tblPrEx>
        <w:trPr>
          <w:trHeight w:val="465" w:hRule="atLeast"/>
        </w:trPr>
        <w:tc>
          <w:tcPr>
            <w:tcW w:w="183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5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5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56"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509" w:type="pct"/>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113.74</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113.74</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113.74</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101.52</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5.00</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7.22</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83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65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85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附表8</w:t>
      </w:r>
    </w:p>
    <w:tbl>
      <w:tblPr>
        <w:tblStyle w:val="5"/>
        <w:tblW w:w="5000" w:type="pct"/>
        <w:tblInd w:w="0" w:type="dxa"/>
        <w:tblLayout w:type="autofit"/>
        <w:tblCellMar>
          <w:top w:w="0" w:type="dxa"/>
          <w:left w:w="108" w:type="dxa"/>
          <w:bottom w:w="0" w:type="dxa"/>
          <w:right w:w="108" w:type="dxa"/>
        </w:tblCellMar>
      </w:tblPr>
      <w:tblGrid>
        <w:gridCol w:w="974"/>
        <w:gridCol w:w="2950"/>
        <w:gridCol w:w="711"/>
        <w:gridCol w:w="946"/>
        <w:gridCol w:w="1032"/>
        <w:gridCol w:w="1083"/>
        <w:gridCol w:w="1032"/>
        <w:gridCol w:w="1049"/>
        <w:gridCol w:w="1049"/>
        <w:gridCol w:w="1015"/>
        <w:gridCol w:w="1100"/>
        <w:gridCol w:w="1233"/>
      </w:tblGrid>
      <w:tr>
        <w:tblPrEx>
          <w:tblCellMar>
            <w:top w:w="0" w:type="dxa"/>
            <w:left w:w="108" w:type="dxa"/>
            <w:bottom w:w="0" w:type="dxa"/>
            <w:right w:w="108" w:type="dxa"/>
          </w:tblCellMar>
        </w:tblPrEx>
        <w:trPr>
          <w:trHeight w:val="870" w:hRule="atLeast"/>
        </w:trPr>
        <w:tc>
          <w:tcPr>
            <w:tcW w:w="5000" w:type="pct"/>
            <w:gridSpan w:val="12"/>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4"/>
                <w:szCs w:val="34"/>
              </w:rPr>
              <w:t>重庆市九龙坡区杨家坪街道便民服务中心（退役军人服务站）部门收入总表</w:t>
            </w:r>
          </w:p>
        </w:tc>
      </w:tr>
      <w:tr>
        <w:tblPrEx>
          <w:tblCellMar>
            <w:top w:w="0" w:type="dxa"/>
            <w:left w:w="108" w:type="dxa"/>
            <w:bottom w:w="0" w:type="dxa"/>
            <w:right w:w="108" w:type="dxa"/>
          </w:tblCellMar>
        </w:tblPrEx>
        <w:trPr>
          <w:trHeight w:val="447" w:hRule="atLeast"/>
        </w:trPr>
        <w:tc>
          <w:tcPr>
            <w:tcW w:w="34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4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5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3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8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7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7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5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8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2" w:type="pct"/>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1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34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1040"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25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6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8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6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7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7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5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8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3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1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113.74</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113.74</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r>
      <w:tr>
        <w:tblPrEx>
          <w:tblCellMar>
            <w:top w:w="0" w:type="dxa"/>
            <w:left w:w="108" w:type="dxa"/>
            <w:bottom w:w="0" w:type="dxa"/>
            <w:right w:w="108" w:type="dxa"/>
          </w:tblCellMar>
        </w:tblPrEx>
        <w:trPr>
          <w:trHeight w:val="413" w:hRule="atLeast"/>
        </w:trPr>
        <w:tc>
          <w:tcPr>
            <w:tcW w:w="34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1040"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101.52</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101.52</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20805</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行政事业单位养老支出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28.06</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28.06</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2080505</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机关事业单位基本养老保险缴费支出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7.48</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7.48</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2080506</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机关事业单位职业年金缴费支出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3.74</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3.74</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2080599</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其他行政事业单位养老支出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16.84</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16.84</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20828</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退役军人管理事务</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73.46</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73.46</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2082850</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事业运行</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73.46</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73.46</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13" w:hRule="atLeast"/>
        </w:trPr>
        <w:tc>
          <w:tcPr>
            <w:tcW w:w="34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1040"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5.00</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5.00</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21011</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行政事业单位医疗</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5.00</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5.00</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2101102</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事业单位医疗</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3.33</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3.33</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2101199</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其他行政事业单位医疗支出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1.67</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1.67</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13" w:hRule="atLeast"/>
        </w:trPr>
        <w:tc>
          <w:tcPr>
            <w:tcW w:w="34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1040"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7.22</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7.22</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22102</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住房改革支出</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7.22</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7.22</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2210201</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住房公积金</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6.43</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6.43</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344"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2210203</w:t>
            </w:r>
          </w:p>
        </w:tc>
        <w:tc>
          <w:tcPr>
            <w:tcW w:w="1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  购房补贴</w:t>
            </w:r>
          </w:p>
        </w:tc>
        <w:tc>
          <w:tcPr>
            <w:tcW w:w="25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33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8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3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附表9</w:t>
      </w:r>
    </w:p>
    <w:tbl>
      <w:tblPr>
        <w:tblStyle w:val="5"/>
        <w:tblW w:w="5000" w:type="pct"/>
        <w:tblInd w:w="0" w:type="dxa"/>
        <w:tblLayout w:type="autofit"/>
        <w:tblCellMar>
          <w:top w:w="0" w:type="dxa"/>
          <w:left w:w="108" w:type="dxa"/>
          <w:bottom w:w="0" w:type="dxa"/>
          <w:right w:w="108" w:type="dxa"/>
        </w:tblCellMar>
      </w:tblPr>
      <w:tblGrid>
        <w:gridCol w:w="2434"/>
        <w:gridCol w:w="4176"/>
        <w:gridCol w:w="2662"/>
        <w:gridCol w:w="2583"/>
        <w:gridCol w:w="2319"/>
      </w:tblGrid>
      <w:tr>
        <w:tblPrEx>
          <w:tblCellMar>
            <w:top w:w="0" w:type="dxa"/>
            <w:left w:w="108" w:type="dxa"/>
            <w:bottom w:w="0" w:type="dxa"/>
            <w:right w:w="108" w:type="dxa"/>
          </w:tblCellMar>
        </w:tblPrEx>
        <w:trPr>
          <w:trHeight w:val="870" w:hRule="atLeast"/>
        </w:trPr>
        <w:tc>
          <w:tcPr>
            <w:tcW w:w="5000" w:type="pct"/>
            <w:gridSpan w:val="5"/>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4"/>
                <w:szCs w:val="34"/>
              </w:rPr>
              <w:t>重庆市九龙坡区杨家坪街道便民服务中心（退役军人服务站）部门支出总表</w:t>
            </w:r>
          </w:p>
        </w:tc>
      </w:tr>
      <w:tr>
        <w:tblPrEx>
          <w:tblCellMar>
            <w:top w:w="0" w:type="dxa"/>
            <w:left w:w="108" w:type="dxa"/>
            <w:bottom w:w="0" w:type="dxa"/>
            <w:right w:w="108" w:type="dxa"/>
          </w:tblCellMar>
        </w:tblPrEx>
        <w:trPr>
          <w:trHeight w:val="379" w:hRule="atLeast"/>
        </w:trPr>
        <w:tc>
          <w:tcPr>
            <w:tcW w:w="859" w:type="pct"/>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3" w:type="pct"/>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39" w:type="pct"/>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11" w:type="pct"/>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16" w:type="pct"/>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1473"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939"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911"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816"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2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113.74</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432" w:hRule="atLeast"/>
        </w:trPr>
        <w:tc>
          <w:tcPr>
            <w:tcW w:w="85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147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101.52</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101.52</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行政事业单位养老支出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28.06</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28.06</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2080505</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机关事业单位基本养老保险缴费支出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7.48</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7.48</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2080506</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机关事业单位职业年金缴费支出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3.74</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3.74</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2080599</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其他行政事业单位养老支出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16.84</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16.84</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20828</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退役军人管理事务</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73.46</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73.46</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2082850</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事业运行</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73.46</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73.46</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32" w:hRule="atLeast"/>
        </w:trPr>
        <w:tc>
          <w:tcPr>
            <w:tcW w:w="85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147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21011</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行政事业单位医疗</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2101102</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事业单位医疗</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3.33</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3.33</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2101199</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其他行政事业单位医疗支出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1.67</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1.67</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32" w:hRule="atLeast"/>
        </w:trPr>
        <w:tc>
          <w:tcPr>
            <w:tcW w:w="85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147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22102</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住房改革支出</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2210201</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住房公积金</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6.43</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6.43</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85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2210203</w:t>
            </w:r>
          </w:p>
        </w:tc>
        <w:tc>
          <w:tcPr>
            <w:tcW w:w="147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购房补贴</w:t>
            </w:r>
          </w:p>
        </w:tc>
        <w:tc>
          <w:tcPr>
            <w:tcW w:w="93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9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81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附表10</w:t>
      </w:r>
    </w:p>
    <w:tbl>
      <w:tblPr>
        <w:tblStyle w:val="5"/>
        <w:tblW w:w="5000" w:type="pct"/>
        <w:tblInd w:w="0" w:type="dxa"/>
        <w:tblLayout w:type="autofit"/>
        <w:tblCellMar>
          <w:top w:w="0" w:type="dxa"/>
          <w:left w:w="108" w:type="dxa"/>
          <w:bottom w:w="0" w:type="dxa"/>
          <w:right w:w="108" w:type="dxa"/>
        </w:tblCellMar>
      </w:tblPr>
      <w:tblGrid>
        <w:gridCol w:w="2440"/>
        <w:gridCol w:w="6906"/>
        <w:gridCol w:w="4828"/>
      </w:tblGrid>
      <w:tr>
        <w:tblPrEx>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Cs w:val="32"/>
              </w:rPr>
            </w:pPr>
            <w:r>
              <w:rPr>
                <w:rFonts w:hint="eastAsia" w:ascii="方正小标宋_GBK" w:hAnsi="宋体" w:eastAsia="方正小标宋_GBK" w:cs="宋体"/>
                <w:color w:val="000000"/>
                <w:kern w:val="0"/>
                <w:szCs w:val="32"/>
              </w:rPr>
              <w:t>重庆市九龙坡区杨家坪街道便民服务中心（退役军人服务站）</w:t>
            </w:r>
            <w:r>
              <w:rPr>
                <w:rFonts w:hint="eastAsia" w:ascii="方正小标宋_GBK" w:hAnsi="宋体" w:eastAsia="方正小标宋_GBK" w:cs="宋体"/>
                <w:color w:val="000000"/>
                <w:kern w:val="0"/>
                <w:szCs w:val="32"/>
              </w:rPr>
              <w:br w:type="textWrapping"/>
            </w:r>
            <w:r>
              <w:rPr>
                <w:rFonts w:hint="eastAsia" w:ascii="方正小标宋_GBK" w:hAnsi="宋体" w:eastAsia="方正小标宋_GBK" w:cs="宋体"/>
                <w:color w:val="000000"/>
                <w:kern w:val="0"/>
                <w:szCs w:val="32"/>
              </w:rPr>
              <w:t>一般公共预算财政拨款项目支出预算表</w:t>
            </w:r>
          </w:p>
        </w:tc>
      </w:tr>
      <w:tr>
        <w:tblPrEx>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86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43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03" w:type="pct"/>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3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宋体" w:eastAsia="方正大黑_GBK" w:cs="宋体"/>
                <w:color w:val="000000"/>
                <w:kern w:val="0"/>
                <w:sz w:val="28"/>
                <w:szCs w:val="28"/>
              </w:rPr>
            </w:pPr>
            <w:r>
              <w:rPr>
                <w:rFonts w:hint="eastAsia" w:ascii="方正大黑_GBK" w:hAnsi="宋体" w:eastAsia="方正大黑_GBK" w:cs="宋体"/>
                <w:color w:val="000000"/>
                <w:kern w:val="0"/>
                <w:sz w:val="28"/>
                <w:szCs w:val="28"/>
              </w:rPr>
              <w:t>政府预算经济科目</w:t>
            </w:r>
          </w:p>
        </w:tc>
        <w:tc>
          <w:tcPr>
            <w:tcW w:w="1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宋体" w:eastAsia="方正大黑_GBK" w:cs="宋体"/>
                <w:color w:val="000000"/>
                <w:kern w:val="0"/>
                <w:sz w:val="28"/>
                <w:szCs w:val="28"/>
              </w:rPr>
            </w:pPr>
            <w:r>
              <w:rPr>
                <w:rFonts w:hint="eastAsia" w:ascii="方正大黑_GBK" w:hAnsi="宋体" w:eastAsia="方正大黑_GBK" w:cs="宋体"/>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861"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2436"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170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大黑_GBK" w:hAnsi="宋体" w:eastAsia="方正大黑_GBK" w:cs="宋体"/>
                <w:color w:val="000000"/>
                <w:kern w:val="0"/>
                <w:sz w:val="28"/>
                <w:szCs w:val="28"/>
              </w:rPr>
            </w:pPr>
          </w:p>
        </w:tc>
      </w:tr>
      <w:tr>
        <w:tblPrEx>
          <w:tblCellMar>
            <w:top w:w="0" w:type="dxa"/>
            <w:left w:w="108" w:type="dxa"/>
            <w:bottom w:w="0" w:type="dxa"/>
            <w:right w:w="108" w:type="dxa"/>
          </w:tblCellMar>
        </w:tblPrEx>
        <w:trPr>
          <w:trHeight w:val="413" w:hRule="atLeast"/>
        </w:trPr>
        <w:tc>
          <w:tcPr>
            <w:tcW w:w="3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703"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398" w:hRule="atLeast"/>
        </w:trPr>
        <w:tc>
          <w:tcPr>
            <w:tcW w:w="86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2436"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70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379" w:hRule="atLeast"/>
        </w:trPr>
        <w:tc>
          <w:tcPr>
            <w:tcW w:w="8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2436"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170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附表11</w:t>
      </w:r>
    </w:p>
    <w:tbl>
      <w:tblPr>
        <w:tblStyle w:val="5"/>
        <w:tblW w:w="5000" w:type="pct"/>
        <w:tblInd w:w="0" w:type="dxa"/>
        <w:tblLayout w:type="autofit"/>
        <w:tblCellMar>
          <w:top w:w="0" w:type="dxa"/>
          <w:left w:w="108" w:type="dxa"/>
          <w:bottom w:w="0" w:type="dxa"/>
          <w:right w:w="108" w:type="dxa"/>
        </w:tblCellMar>
      </w:tblPr>
      <w:tblGrid>
        <w:gridCol w:w="2613"/>
        <w:gridCol w:w="6030"/>
        <w:gridCol w:w="5531"/>
      </w:tblGrid>
      <w:tr>
        <w:tblPrEx>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重庆市九龙坡区杨家坪街道便民服务中心（退役军人服务站）</w:t>
            </w:r>
            <w:r>
              <w:rPr>
                <w:rFonts w:hint="eastAsia" w:ascii="方正小标宋_GBK" w:hAnsi="宋体" w:eastAsia="方正小标宋_GBK" w:cs="宋体"/>
                <w:color w:val="000000"/>
                <w:kern w:val="0"/>
                <w:sz w:val="34"/>
                <w:szCs w:val="34"/>
              </w:rPr>
              <w:br w:type="textWrapping"/>
            </w:r>
            <w:r>
              <w:rPr>
                <w:rFonts w:hint="eastAsia" w:ascii="方正小标宋_GBK" w:hAnsi="宋体" w:eastAsia="方正小标宋_GBK" w:cs="宋体"/>
                <w:color w:val="000000"/>
                <w:kern w:val="0"/>
                <w:sz w:val="34"/>
                <w:szCs w:val="34"/>
              </w:rPr>
              <w:t>一般公共预算财政拨款项目支出预算表</w:t>
            </w:r>
          </w:p>
        </w:tc>
      </w:tr>
      <w:tr>
        <w:tblPrEx>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92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2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51" w:type="pct"/>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3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宋体" w:eastAsia="方正大黑_GBK" w:cs="宋体"/>
                <w:color w:val="000000"/>
                <w:kern w:val="0"/>
                <w:sz w:val="28"/>
                <w:szCs w:val="28"/>
              </w:rPr>
            </w:pPr>
            <w:r>
              <w:rPr>
                <w:rFonts w:hint="eastAsia" w:ascii="方正大黑_GBK" w:hAnsi="宋体" w:eastAsia="方正大黑_GBK" w:cs="宋体"/>
                <w:color w:val="000000"/>
                <w:kern w:val="0"/>
                <w:sz w:val="28"/>
                <w:szCs w:val="28"/>
              </w:rPr>
              <w:t>政府预算经济科目</w:t>
            </w:r>
          </w:p>
        </w:tc>
        <w:tc>
          <w:tcPr>
            <w:tcW w:w="1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宋体" w:eastAsia="方正大黑_GBK" w:cs="宋体"/>
                <w:color w:val="000000"/>
                <w:kern w:val="0"/>
                <w:sz w:val="28"/>
                <w:szCs w:val="28"/>
              </w:rPr>
            </w:pPr>
            <w:r>
              <w:rPr>
                <w:rFonts w:hint="eastAsia" w:ascii="方正大黑_GBK" w:hAnsi="宋体" w:eastAsia="方正大黑_GBK" w:cs="宋体"/>
                <w:color w:val="000000"/>
                <w:kern w:val="0"/>
                <w:sz w:val="28"/>
                <w:szCs w:val="28"/>
              </w:rPr>
              <w:t>项目支出</w:t>
            </w:r>
          </w:p>
        </w:tc>
      </w:tr>
      <w:tr>
        <w:tblPrEx>
          <w:tblCellMar>
            <w:top w:w="0" w:type="dxa"/>
            <w:left w:w="108" w:type="dxa"/>
            <w:bottom w:w="0" w:type="dxa"/>
            <w:right w:w="108" w:type="dxa"/>
          </w:tblCellMar>
        </w:tblPrEx>
        <w:trPr>
          <w:trHeight w:val="623" w:hRule="atLeast"/>
        </w:trPr>
        <w:tc>
          <w:tcPr>
            <w:tcW w:w="922"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2126"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195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大黑_GBK" w:hAnsi="宋体" w:eastAsia="方正大黑_GBK" w:cs="宋体"/>
                <w:color w:val="000000"/>
                <w:kern w:val="0"/>
                <w:sz w:val="28"/>
                <w:szCs w:val="28"/>
              </w:rPr>
            </w:pPr>
          </w:p>
        </w:tc>
      </w:tr>
      <w:tr>
        <w:tblPrEx>
          <w:tblCellMar>
            <w:top w:w="0" w:type="dxa"/>
            <w:left w:w="108" w:type="dxa"/>
            <w:bottom w:w="0" w:type="dxa"/>
            <w:right w:w="108" w:type="dxa"/>
          </w:tblCellMar>
        </w:tblPrEx>
        <w:trPr>
          <w:trHeight w:val="413" w:hRule="atLeast"/>
        </w:trPr>
        <w:tc>
          <w:tcPr>
            <w:tcW w:w="3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951"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398" w:hRule="atLeast"/>
        </w:trPr>
        <w:tc>
          <w:tcPr>
            <w:tcW w:w="922"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2126"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9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379" w:hRule="atLeast"/>
        </w:trPr>
        <w:tc>
          <w:tcPr>
            <w:tcW w:w="922"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2126"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19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附表12</w:t>
      </w:r>
    </w:p>
    <w:tbl>
      <w:tblPr>
        <w:tblStyle w:val="5"/>
        <w:tblW w:w="5000" w:type="pct"/>
        <w:tblInd w:w="0" w:type="dxa"/>
        <w:tblLayout w:type="autofit"/>
        <w:tblCellMar>
          <w:top w:w="0" w:type="dxa"/>
          <w:left w:w="108" w:type="dxa"/>
          <w:bottom w:w="0" w:type="dxa"/>
          <w:right w:w="108" w:type="dxa"/>
        </w:tblCellMar>
      </w:tblPr>
      <w:tblGrid>
        <w:gridCol w:w="478"/>
        <w:gridCol w:w="478"/>
        <w:gridCol w:w="478"/>
        <w:gridCol w:w="478"/>
        <w:gridCol w:w="478"/>
        <w:gridCol w:w="479"/>
        <w:gridCol w:w="482"/>
        <w:gridCol w:w="485"/>
        <w:gridCol w:w="488"/>
        <w:gridCol w:w="488"/>
        <w:gridCol w:w="488"/>
        <w:gridCol w:w="488"/>
        <w:gridCol w:w="488"/>
        <w:gridCol w:w="490"/>
        <w:gridCol w:w="488"/>
        <w:gridCol w:w="488"/>
        <w:gridCol w:w="490"/>
        <w:gridCol w:w="488"/>
        <w:gridCol w:w="488"/>
        <w:gridCol w:w="488"/>
        <w:gridCol w:w="488"/>
        <w:gridCol w:w="488"/>
        <w:gridCol w:w="488"/>
        <w:gridCol w:w="488"/>
        <w:gridCol w:w="2526"/>
      </w:tblGrid>
      <w:tr>
        <w:tblPrEx>
          <w:tblCellMar>
            <w:top w:w="0" w:type="dxa"/>
            <w:left w:w="108" w:type="dxa"/>
            <w:bottom w:w="0" w:type="dxa"/>
            <w:right w:w="108" w:type="dxa"/>
          </w:tblCellMar>
        </w:tblPrEx>
        <w:trPr>
          <w:trHeight w:val="878" w:hRule="atLeast"/>
        </w:trPr>
        <w:tc>
          <w:tcPr>
            <w:tcW w:w="5000" w:type="pct"/>
            <w:gridSpan w:val="25"/>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重庆市九龙坡区杨家坪街道便民服务中心（退役军人服务站）政府采购明细表</w:t>
            </w:r>
          </w:p>
        </w:tc>
      </w:tr>
      <w:tr>
        <w:tblPrEx>
          <w:tblCellMar>
            <w:top w:w="0" w:type="dxa"/>
            <w:left w:w="108" w:type="dxa"/>
            <w:bottom w:w="0" w:type="dxa"/>
            <w:right w:w="108" w:type="dxa"/>
          </w:tblCellMar>
        </w:tblPrEx>
        <w:trPr>
          <w:trHeight w:val="327" w:hRule="atLeast"/>
        </w:trPr>
        <w:tc>
          <w:tcPr>
            <w:tcW w:w="16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9"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pct"/>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单位：万元</w:t>
            </w:r>
          </w:p>
        </w:tc>
      </w:tr>
      <w:tr>
        <w:tblPrEx>
          <w:tblCellMar>
            <w:top w:w="0" w:type="dxa"/>
            <w:left w:w="108" w:type="dxa"/>
            <w:bottom w:w="0" w:type="dxa"/>
            <w:right w:w="108" w:type="dxa"/>
          </w:tblCellMar>
        </w:tblPrEx>
        <w:trPr>
          <w:trHeight w:val="672" w:hRule="atLeast"/>
        </w:trPr>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部门单位</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项目编码</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功能科目</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政府经济科目</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部门经济科目</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是否政府采购</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项目状态</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总计</w:t>
            </w:r>
          </w:p>
        </w:tc>
        <w:tc>
          <w:tcPr>
            <w:tcW w:w="861"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一般公共预算</w:t>
            </w:r>
          </w:p>
        </w:tc>
        <w:tc>
          <w:tcPr>
            <w:tcW w:w="517"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政府性基金预算</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国有资本经营预算</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1745"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r>
      <w:tr>
        <w:tblPrEx>
          <w:tblCellMar>
            <w:top w:w="0" w:type="dxa"/>
            <w:left w:w="108" w:type="dxa"/>
            <w:bottom w:w="0" w:type="dxa"/>
            <w:right w:w="108" w:type="dxa"/>
          </w:tblCellMar>
        </w:tblPrEx>
        <w:trPr>
          <w:trHeight w:val="777" w:hRule="atLeast"/>
        </w:trPr>
        <w:tc>
          <w:tcPr>
            <w:tcW w:w="16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7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小计</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一般公共预算资金</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一般债券</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外国政府和国际组织贷款</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外国政府和国际组织赠款</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小计</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政府性基金预算</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专项债券</w:t>
            </w:r>
          </w:p>
        </w:tc>
        <w:tc>
          <w:tcPr>
            <w:tcW w:w="17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小计</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事业收入资金</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上级补助收入资金</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附属单位上缴收入资金</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事业单位经营收入资金</w:t>
            </w:r>
          </w:p>
        </w:tc>
        <w:tc>
          <w:tcPr>
            <w:tcW w:w="88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其他收入资金</w:t>
            </w:r>
          </w:p>
        </w:tc>
      </w:tr>
      <w:tr>
        <w:tblPrEx>
          <w:tblCellMar>
            <w:top w:w="0" w:type="dxa"/>
            <w:left w:w="108" w:type="dxa"/>
            <w:bottom w:w="0" w:type="dxa"/>
            <w:right w:w="108" w:type="dxa"/>
          </w:tblCellMar>
        </w:tblPrEx>
        <w:trPr>
          <w:trHeight w:val="398" w:hRule="atLeast"/>
        </w:trPr>
        <w:tc>
          <w:tcPr>
            <w:tcW w:w="16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nil"/>
              <w:right w:val="nil"/>
            </w:tcBorders>
            <w:shd w:val="clear" w:color="auto" w:fill="auto"/>
            <w:noWrap/>
            <w:vAlign w:val="center"/>
          </w:tcPr>
          <w:p>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　</w:t>
            </w:r>
          </w:p>
        </w:tc>
        <w:tc>
          <w:tcPr>
            <w:tcW w:w="16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nil"/>
              <w:right w:val="nil"/>
            </w:tcBorders>
            <w:shd w:val="clear" w:color="auto" w:fill="auto"/>
            <w:noWrap/>
            <w:vAlign w:val="center"/>
          </w:tcPr>
          <w:p>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　</w:t>
            </w:r>
          </w:p>
        </w:tc>
        <w:tc>
          <w:tcPr>
            <w:tcW w:w="1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8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98" w:hRule="atLeast"/>
        </w:trPr>
        <w:tc>
          <w:tcPr>
            <w:tcW w:w="16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8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5" w:hRule="atLeast"/>
        </w:trPr>
        <w:tc>
          <w:tcPr>
            <w:tcW w:w="16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8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27" w:hRule="atLeast"/>
        </w:trPr>
        <w:tc>
          <w:tcPr>
            <w:tcW w:w="16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8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16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8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p>
      <w:pPr>
        <w:rPr>
          <w:rFonts w:hint="eastAsia" w:ascii="方正黑体_GBK" w:hAnsi="方正黑体_GBK" w:eastAsia="方正黑体_GBK" w:cs="方正黑体_GBK"/>
        </w:rPr>
      </w:pPr>
      <w:r>
        <w:rPr>
          <w:rFonts w:hint="eastAsia" w:ascii="方正黑体_GBK" w:hAnsi="方正黑体_GBK" w:eastAsia="方正黑体_GBK" w:cs="方正黑体_GBK"/>
        </w:rPr>
        <w:t>附表13</w:t>
      </w:r>
    </w:p>
    <w:tbl>
      <w:tblPr>
        <w:tblStyle w:val="5"/>
        <w:tblW w:w="5000" w:type="pct"/>
        <w:tblInd w:w="0" w:type="dxa"/>
        <w:tblLayout w:type="autofit"/>
        <w:tblCellMar>
          <w:top w:w="0" w:type="dxa"/>
          <w:left w:w="108" w:type="dxa"/>
          <w:bottom w:w="0" w:type="dxa"/>
          <w:right w:w="108" w:type="dxa"/>
        </w:tblCellMar>
      </w:tblPr>
      <w:tblGrid>
        <w:gridCol w:w="1914"/>
        <w:gridCol w:w="939"/>
        <w:gridCol w:w="939"/>
        <w:gridCol w:w="1662"/>
        <w:gridCol w:w="1120"/>
        <w:gridCol w:w="759"/>
        <w:gridCol w:w="939"/>
        <w:gridCol w:w="1090"/>
        <w:gridCol w:w="578"/>
        <w:gridCol w:w="759"/>
        <w:gridCol w:w="1120"/>
        <w:gridCol w:w="222"/>
        <w:gridCol w:w="222"/>
        <w:gridCol w:w="222"/>
        <w:gridCol w:w="1689"/>
      </w:tblGrid>
      <w:tr>
        <w:tblPrEx>
          <w:tblCellMar>
            <w:top w:w="0" w:type="dxa"/>
            <w:left w:w="108" w:type="dxa"/>
            <w:bottom w:w="0" w:type="dxa"/>
            <w:right w:w="108" w:type="dxa"/>
          </w:tblCellMar>
        </w:tblPrEx>
        <w:trPr>
          <w:trHeight w:val="270" w:hRule="atLeast"/>
        </w:trPr>
        <w:tc>
          <w:tcPr>
            <w:tcW w:w="5000" w:type="pct"/>
            <w:gridSpan w:val="15"/>
            <w:tcBorders>
              <w:top w:val="nil"/>
              <w:left w:val="nil"/>
              <w:bottom w:val="nil"/>
              <w:right w:val="nil"/>
            </w:tcBorders>
            <w:shd w:val="clear" w:color="auto" w:fill="auto"/>
            <w:noWrap/>
            <w:vAlign w:val="center"/>
          </w:tcPr>
          <w:p>
            <w:pPr>
              <w:widowControl/>
              <w:jc w:val="center"/>
              <w:rPr>
                <w:rFonts w:hint="eastAsia" w:ascii="方正楷体_GBK" w:hAnsi="宋体" w:eastAsia="方正楷体_GBK" w:cs="宋体"/>
                <w:color w:val="000000"/>
                <w:kern w:val="0"/>
                <w:sz w:val="20"/>
              </w:rPr>
            </w:pPr>
            <w:r>
              <w:rPr>
                <w:rFonts w:hint="eastAsia" w:ascii="方正小标宋_GBK" w:hAnsi="宋体" w:eastAsia="方正小标宋_GBK" w:cs="宋体"/>
                <w:color w:val="000000"/>
                <w:kern w:val="0"/>
                <w:sz w:val="34"/>
                <w:szCs w:val="34"/>
              </w:rPr>
              <w:t>重庆市九龙坡区杨家坪街道便民服务中心（退役军人服务站）项目绩效目标表</w:t>
            </w:r>
            <w:bookmarkStart w:id="0" w:name="_GoBack"/>
            <w:bookmarkEnd w:id="0"/>
          </w:p>
        </w:tc>
      </w:tr>
      <w:tr>
        <w:tblPrEx>
          <w:tblCellMar>
            <w:top w:w="0" w:type="dxa"/>
            <w:left w:w="108" w:type="dxa"/>
            <w:bottom w:w="0" w:type="dxa"/>
            <w:right w:w="108" w:type="dxa"/>
          </w:tblCellMar>
        </w:tblPrEx>
        <w:trPr>
          <w:trHeight w:val="270" w:hRule="atLeast"/>
        </w:trPr>
        <w:tc>
          <w:tcPr>
            <w:tcW w:w="67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8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5"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1"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4"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5"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93" w:type="pct"/>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00" w:hRule="atLeast"/>
        </w:trPr>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单位信息：</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1582"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职能职责与活动：</w:t>
            </w:r>
          </w:p>
        </w:tc>
        <w:tc>
          <w:tcPr>
            <w:tcW w:w="82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66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主管部门：</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项目经办人：</w:t>
            </w:r>
          </w:p>
        </w:tc>
        <w:tc>
          <w:tcPr>
            <w:tcW w:w="1582"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项目总额：</w:t>
            </w:r>
          </w:p>
        </w:tc>
        <w:tc>
          <w:tcPr>
            <w:tcW w:w="828" w:type="pct"/>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765"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预算执行率权重(%)：</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项目经办人电话：</w:t>
            </w:r>
          </w:p>
        </w:tc>
        <w:tc>
          <w:tcPr>
            <w:tcW w:w="1582"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其中：</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财政资金：</w:t>
            </w:r>
          </w:p>
        </w:tc>
        <w:tc>
          <w:tcPr>
            <w:tcW w:w="828" w:type="pct"/>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vMerge w:val="restart"/>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整体目标：</w:t>
            </w:r>
          </w:p>
        </w:tc>
        <w:tc>
          <w:tcPr>
            <w:tcW w:w="2831" w:type="pct"/>
            <w:gridSpan w:val="8"/>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82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831" w:type="pct"/>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单位资金：</w:t>
            </w:r>
          </w:p>
        </w:tc>
        <w:tc>
          <w:tcPr>
            <w:tcW w:w="82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831" w:type="pct"/>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社会投入资金：</w:t>
            </w:r>
          </w:p>
        </w:tc>
        <w:tc>
          <w:tcPr>
            <w:tcW w:w="82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831" w:type="pct"/>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银行贷款：</w:t>
            </w:r>
          </w:p>
        </w:tc>
        <w:tc>
          <w:tcPr>
            <w:tcW w:w="82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63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一级指标</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二级指标</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三级指标</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指标性质</w:t>
            </w:r>
          </w:p>
        </w:tc>
        <w:tc>
          <w:tcPr>
            <w:tcW w:w="39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历史参考值</w:t>
            </w:r>
          </w:p>
        </w:tc>
        <w:tc>
          <w:tcPr>
            <w:tcW w:w="26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指标值</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度量单位</w:t>
            </w:r>
          </w:p>
        </w:tc>
        <w:tc>
          <w:tcPr>
            <w:tcW w:w="3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权重（%）</w:t>
            </w:r>
          </w:p>
        </w:tc>
        <w:tc>
          <w:tcPr>
            <w:tcW w:w="20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大黑_GBK">
    <w:altName w:val="方正黑体_GBK"/>
    <w:panose1 w:val="03000509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3614"/>
    <w:rsid w:val="00027FED"/>
    <w:rsid w:val="001D1380"/>
    <w:rsid w:val="00214FAA"/>
    <w:rsid w:val="003531DF"/>
    <w:rsid w:val="003E3B5D"/>
    <w:rsid w:val="006D2BA2"/>
    <w:rsid w:val="00720588"/>
    <w:rsid w:val="00762ECC"/>
    <w:rsid w:val="009C3614"/>
    <w:rsid w:val="00AE3E3B"/>
    <w:rsid w:val="00B6526D"/>
    <w:rsid w:val="00BE32DA"/>
    <w:rsid w:val="00C61AF5"/>
    <w:rsid w:val="00D35896"/>
    <w:rsid w:val="00E509D3"/>
    <w:rsid w:val="2DAF33E8"/>
    <w:rsid w:val="54DF9C90"/>
    <w:rsid w:val="E5DC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1190</Words>
  <Characters>6789</Characters>
  <Lines>56</Lines>
  <Paragraphs>15</Paragraphs>
  <TotalTime>0</TotalTime>
  <ScaleCrop>false</ScaleCrop>
  <LinksUpToDate>false</LinksUpToDate>
  <CharactersWithSpaces>7964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2025-01-20T06:36:00Z</dcterms:created>
  <dc:creator>AutoBVT</dc:creator>
  <cp:lastModifiedBy>user</cp:lastModifiedBy>
  <dcterms:modified xsi:type="dcterms:W3CDTF">2025-01-23T15:34:37Z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