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94" w:lineRule="exact"/>
        <w:jc w:val="center"/>
        <w:rPr>
          <w:rFonts w:ascii="Times New Roman" w:hAnsi="Times New Roman" w:eastAsia="方正小标宋_GBK" w:cs="Times New Roman"/>
          <w:sz w:val="44"/>
          <w:szCs w:val="44"/>
        </w:rPr>
      </w:pPr>
      <w:bookmarkStart w:id="1" w:name="_GoBack"/>
      <w:bookmarkEnd w:id="1"/>
      <w:r>
        <w:rPr>
          <w:rFonts w:hint="eastAsia" w:ascii="Times New Roman" w:hAnsi="Times New Roman" w:eastAsia="方正小标宋_GBK" w:cs="Times New Roman"/>
          <w:sz w:val="44"/>
          <w:szCs w:val="44"/>
        </w:rPr>
        <w:t>关于重庆市九龙坡区2022年预算执行情况和2023年预算（草案）的报告</w:t>
      </w:r>
    </w:p>
    <w:p>
      <w:pPr>
        <w:adjustRightInd w:val="0"/>
        <w:snapToGrid w:val="0"/>
        <w:spacing w:line="594" w:lineRule="exact"/>
        <w:jc w:val="center"/>
        <w:outlineLvl w:val="0"/>
        <w:rPr>
          <w:rFonts w:ascii="Times New Roman" w:hAnsi="Times New Roman" w:eastAsia="方正小标宋_GBK" w:cs="Times New Roman"/>
          <w:sz w:val="32"/>
          <w:szCs w:val="32"/>
        </w:rPr>
      </w:pPr>
      <w:r>
        <w:rPr>
          <w:rFonts w:ascii="Times New Roman" w:hAnsi="Times New Roman" w:eastAsia="方正楷体_GBK" w:cs="Times New Roman"/>
          <w:sz w:val="32"/>
          <w:szCs w:val="32"/>
        </w:rPr>
        <w:t>——在九龙坡区第</w:t>
      </w:r>
      <w:r>
        <w:rPr>
          <w:rFonts w:hint="eastAsia" w:ascii="Times New Roman" w:hAnsi="Times New Roman" w:eastAsia="方正楷体_GBK" w:cs="Times New Roman"/>
          <w:sz w:val="32"/>
          <w:szCs w:val="32"/>
        </w:rPr>
        <w:t>十九</w:t>
      </w:r>
      <w:r>
        <w:rPr>
          <w:rFonts w:ascii="Times New Roman" w:hAnsi="Times New Roman" w:eastAsia="方正楷体_GBK" w:cs="Times New Roman"/>
          <w:sz w:val="32"/>
          <w:szCs w:val="32"/>
        </w:rPr>
        <w:t>届人民代表大会第</w:t>
      </w:r>
      <w:r>
        <w:rPr>
          <w:rFonts w:hint="eastAsia" w:ascii="Times New Roman" w:hAnsi="Times New Roman" w:eastAsia="方正楷体_GBK" w:cs="Times New Roman"/>
          <w:sz w:val="32"/>
          <w:szCs w:val="32"/>
        </w:rPr>
        <w:t>三</w:t>
      </w:r>
      <w:r>
        <w:rPr>
          <w:rFonts w:ascii="Times New Roman" w:hAnsi="Times New Roman" w:eastAsia="方正楷体_GBK" w:cs="Times New Roman"/>
          <w:sz w:val="32"/>
          <w:szCs w:val="32"/>
        </w:rPr>
        <w:t>次会议上</w:t>
      </w:r>
    </w:p>
    <w:p>
      <w:pPr>
        <w:adjustRightInd w:val="0"/>
        <w:snapToGrid w:val="0"/>
        <w:spacing w:line="594" w:lineRule="exact"/>
        <w:jc w:val="center"/>
        <w:outlineLvl w:val="0"/>
        <w:rPr>
          <w:rFonts w:ascii="Times New Roman" w:hAnsi="Times New Roman" w:eastAsia="方正楷体_GBK" w:cs="Times New Roman"/>
          <w:sz w:val="32"/>
          <w:szCs w:val="32"/>
        </w:rPr>
      </w:pPr>
      <w:r>
        <w:rPr>
          <w:rFonts w:ascii="Times New Roman" w:hAnsi="Times New Roman" w:eastAsia="方正楷体_GBK" w:cs="Times New Roman"/>
          <w:sz w:val="32"/>
          <w:szCs w:val="32"/>
        </w:rPr>
        <w:t>区财政局</w:t>
      </w:r>
    </w:p>
    <w:p>
      <w:pPr>
        <w:adjustRightInd w:val="0"/>
        <w:snapToGrid w:val="0"/>
        <w:spacing w:line="594" w:lineRule="exact"/>
        <w:ind w:firstLine="640" w:firstLineChars="200"/>
        <w:rPr>
          <w:rFonts w:ascii="Times New Roman" w:hAnsi="Times New Roman" w:eastAsia="方正仿宋_GBK" w:cs="Times New Roman"/>
          <w:sz w:val="32"/>
          <w:szCs w:val="32"/>
        </w:rPr>
      </w:pPr>
    </w:p>
    <w:p>
      <w:pPr>
        <w:adjustRightInd w:val="0"/>
        <w:snapToGrid w:val="0"/>
        <w:spacing w:line="594"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各位代表：</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受区人民政府委托，现将九龙坡区2022年预算执行情况和2023年预算草案的报告提请大会审查，并请各位政协委员提出意见。</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一、2022年财政工作情况</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2022年，是九龙坡区经济发展中极为特殊、极为困难的一年，面对外部环境不稳定不确定因素和新冠肺炎疫情深层次影响，财政工作始终坚持以习近平新时代中国特色社会主义思想为指引，始终把“两个确立”作为应对一切不确定性的最大确定性、最大底气、最大保证，全面深入学习贯彻党的二十大等系列重要会议精神，完整、准确、全面贯彻新发展理念，紧紧围绕区委“12345”发展思路，坚持稳字当头、稳中求进工作总基调，积极的财政政策提升效能、更加注重精准可持续，全力以赴统筹疫情防控和经济社会发展，全力以赴增财力、稳大盘、兜底线、促改革、防风险，全力以赴保证全区财政平稳运行，为全区改革发展稳定大局和“五区目标”建设提供了坚实财力支撑。</w:t>
      </w:r>
    </w:p>
    <w:p>
      <w:pPr>
        <w:adjustRightInd w:val="0"/>
        <w:snapToGrid w:val="0"/>
        <w:spacing w:line="594"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（一）主要财税政策落实和重点财政工作情况</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全面落实区委部署和区第十九届人大一次会议决议，踔厉奋发、锐意进取，有力推进财政各项工作。</w:t>
      </w:r>
    </w:p>
    <w:p>
      <w:pPr>
        <w:adjustRightInd w:val="0"/>
        <w:snapToGrid w:val="0"/>
        <w:spacing w:line="594" w:lineRule="exact"/>
        <w:ind w:firstLine="640" w:firstLineChars="200"/>
        <w:rPr>
          <w:rFonts w:ascii="Times New Roman" w:hAnsi="Times New Roman" w:eastAsia="方正仿宋_GBK"/>
          <w:sz w:val="32"/>
          <w:szCs w:val="32"/>
        </w:rPr>
      </w:pPr>
      <w:r>
        <w:rPr>
          <w:rFonts w:hint="eastAsia" w:ascii="Times New Roman" w:hAnsi="Times New Roman" w:eastAsia="方正黑体_GBK" w:cs="Times New Roman"/>
          <w:sz w:val="32"/>
          <w:szCs w:val="32"/>
        </w:rPr>
        <w:t>第一，主动应变抓收入，高统筹增强综合财力</w:t>
      </w:r>
      <w:r>
        <w:rPr>
          <w:rFonts w:hint="eastAsia" w:ascii="Times New Roman" w:hAnsi="Times New Roman" w:eastAsia="方正仿宋_GBK" w:cs="Times New Roman"/>
          <w:sz w:val="32"/>
          <w:szCs w:val="32"/>
        </w:rPr>
        <w:t>。面对经济下行、土地市场低迷、连晴高温能源紧张、世纪疫情点面反复等因素带来的空前财政短收压力，以“大财政、大预算、大资产”理念</w:t>
      </w:r>
      <w:r>
        <w:rPr>
          <w:rFonts w:hint="eastAsia" w:ascii="Times New Roman" w:hAnsi="Times New Roman" w:eastAsia="方正仿宋_GBK"/>
          <w:sz w:val="32"/>
          <w:szCs w:val="32"/>
        </w:rPr>
        <w:t>统筹财源，在全市财税收入负增长、收支形势异常严峻的情况下，我区通过向内挖潜、向外开源等，实现一般公共预算收入增速位居中心城区第一，年末</w:t>
      </w:r>
      <w:r>
        <w:rPr>
          <w:rFonts w:hint="eastAsia" w:ascii="Times New Roman" w:hAnsi="Times New Roman" w:eastAsia="方正仿宋_GBK" w:cs="Times New Roman"/>
          <w:sz w:val="32"/>
          <w:szCs w:val="32"/>
        </w:rPr>
        <w:t>综合财力达198.98亿元，较上年增长21.9%。坚持综合治税，在应减尽减的同时“颗粒归仓”，全年完成税收入库39.13亿元。坚持存量挖潜，梳理盘活“三资”，</w:t>
      </w:r>
      <w:r>
        <w:rPr>
          <w:rFonts w:hint="eastAsia" w:ascii="Times New Roman" w:hAnsi="Times New Roman" w:eastAsia="方正仿宋_GBK"/>
          <w:sz w:val="32"/>
          <w:szCs w:val="32"/>
        </w:rPr>
        <w:t>统筹历年沉淀的各类存量资金27.43亿元，盘活政府经营性资产和经营权价值13.59亿元，实现土地收入100.6亿元。</w:t>
      </w:r>
      <w:r>
        <w:rPr>
          <w:rFonts w:hint="eastAsia" w:ascii="Times New Roman" w:hAnsi="Times New Roman" w:eastAsia="方正仿宋_GBK" w:cs="Times New Roman"/>
          <w:sz w:val="32"/>
          <w:szCs w:val="32"/>
        </w:rPr>
        <w:t>坚持向外开源，积极争取新增政府债券发行35.4亿元、各类上级转移支付33.83亿元。</w:t>
      </w:r>
      <w:r>
        <w:rPr>
          <w:rFonts w:hint="eastAsia" w:ascii="Times New Roman" w:hAnsi="Times New Roman" w:eastAsia="方正仿宋_GBK"/>
          <w:sz w:val="32"/>
          <w:szCs w:val="32"/>
        </w:rPr>
        <w:t>坚持“一体”统筹，采取“跨周期”和“跨账本”的方式，为一般公共预算筹措资金20.08亿元，国有企业上缴利润1.14亿元，为“紧平衡”背景下的积极财政夯实基础。</w:t>
      </w:r>
    </w:p>
    <w:p>
      <w:pPr>
        <w:adjustRightInd w:val="0"/>
        <w:snapToGrid w:val="0"/>
        <w:spacing w:line="594" w:lineRule="exact"/>
        <w:ind w:firstLine="640" w:firstLineChars="200"/>
        <w:rPr>
          <w:rFonts w:ascii="Times New Roman" w:hAnsi="Times New Roman" w:eastAsia="方正仿宋_GBK"/>
          <w:sz w:val="32"/>
          <w:szCs w:val="32"/>
        </w:rPr>
      </w:pPr>
      <w:r>
        <w:rPr>
          <w:rFonts w:hint="eastAsia" w:ascii="Times New Roman" w:hAnsi="Times New Roman" w:eastAsia="方正黑体_GBK" w:cs="Times New Roman"/>
          <w:sz w:val="32"/>
          <w:szCs w:val="32"/>
        </w:rPr>
        <w:t>第二，杠杆撬动添动能，高力度稳定经济大盘</w:t>
      </w:r>
      <w:r>
        <w:rPr>
          <w:rFonts w:hint="eastAsia" w:ascii="Times New Roman" w:hAnsi="Times New Roman" w:eastAsia="方正仿宋_GBK" w:cs="Times New Roman"/>
          <w:sz w:val="32"/>
          <w:szCs w:val="32"/>
        </w:rPr>
        <w:t>。全面落实稳经济一揽子政策措施，发挥财政逆周期调节作用，协同产业政策、金融政策，全力稳住经济大盘。加大力度援企渡难，大规模实施减税降费，不折不扣落实新的组合式税费支持政策，为企业新增减税降费13.6亿元、缓缴税费7.8亿元、留抵退税9.1亿元，并按规定及时阶段性减免承租行政事业单位国有房屋租金。发挥财政引导作用促消费，支持辖区内新建商品房、二手房交易享受契税减半优惠，以数字人民币形式发放购车补贴，鼓励发放餐饮、文旅、商超消费券。支持科技创新、产业强链，释放财政产业扶持资金和产业引导基金的杠杆效应，有力推动传</w:t>
      </w:r>
      <w:r>
        <w:rPr>
          <w:rFonts w:hint="eastAsia" w:ascii="Times New Roman" w:hAnsi="Times New Roman" w:eastAsia="方正仿宋_GBK"/>
          <w:sz w:val="32"/>
          <w:szCs w:val="32"/>
        </w:rPr>
        <w:t>统产业转型升级和战略性新兴产业发展壮大</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rPr>
        <w:t>2022年累计</w:t>
      </w:r>
      <w:r>
        <w:rPr>
          <w:rFonts w:hint="eastAsia" w:ascii="Times New Roman" w:hAnsi="Times New Roman" w:eastAsia="方正仿宋_GBK" w:cs="Times New Roman"/>
          <w:sz w:val="32"/>
          <w:szCs w:val="32"/>
        </w:rPr>
        <w:t>兑现各类产业扶持资金9.7亿元。综合施策强化金融惠企，</w:t>
      </w:r>
      <w:r>
        <w:rPr>
          <w:rFonts w:hint="eastAsia" w:ascii="Times New Roman" w:hAnsi="Times New Roman" w:eastAsia="方正仿宋_GBK" w:cs="Times New Roman"/>
          <w:sz w:val="32"/>
        </w:rPr>
        <w:t>设立民营小微企业首贷续贷中心1家、金融服务港湾5家，</w:t>
      </w:r>
      <w:r>
        <w:rPr>
          <w:rFonts w:hint="eastAsia" w:ascii="Times New Roman" w:hAnsi="Times New Roman" w:eastAsia="方正仿宋_GBK"/>
          <w:sz w:val="32"/>
          <w:szCs w:val="32"/>
        </w:rPr>
        <w:t>新设立金融机构2家，新增上市企业</w:t>
      </w:r>
      <w:r>
        <w:rPr>
          <w:rFonts w:hint="eastAsia" w:ascii="Times New Roman" w:hAnsi="Times New Roman" w:eastAsia="方正仿宋_GBK"/>
          <w:sz w:val="32"/>
        </w:rPr>
        <w:t>1家，</w:t>
      </w:r>
      <w:r>
        <w:rPr>
          <w:rFonts w:hint="eastAsia" w:ascii="Times New Roman" w:hAnsi="Times New Roman" w:eastAsia="方正仿宋_GBK" w:cs="Times New Roman"/>
          <w:sz w:val="32"/>
        </w:rPr>
        <w:t>通过政银企融资对接</w:t>
      </w:r>
      <w:r>
        <w:rPr>
          <w:rFonts w:hint="eastAsia" w:ascii="Times New Roman" w:hAnsi="Times New Roman" w:eastAsia="方正仿宋_GBK"/>
          <w:sz w:val="32"/>
        </w:rPr>
        <w:t>促成银企合作超过80亿元，</w:t>
      </w:r>
      <w:r>
        <w:rPr>
          <w:rFonts w:hint="eastAsia" w:ascii="Times New Roman" w:hAnsi="Times New Roman" w:eastAsia="方正仿宋_GBK" w:cs="Times New Roman"/>
          <w:sz w:val="32"/>
        </w:rPr>
        <w:t>鼓励辖区金融机构对</w:t>
      </w:r>
      <w:r>
        <w:rPr>
          <w:rFonts w:hint="eastAsia" w:ascii="Times New Roman" w:hAnsi="Times New Roman" w:eastAsia="方正仿宋_GBK" w:cs="Times New Roman"/>
          <w:sz w:val="32"/>
          <w:szCs w:val="32"/>
        </w:rPr>
        <w:t>小微企业、个体工商户等</w:t>
      </w:r>
      <w:r>
        <w:rPr>
          <w:rFonts w:hint="eastAsia" w:ascii="Times New Roman" w:hAnsi="Times New Roman" w:eastAsia="方正仿宋_GBK" w:cs="Times New Roman"/>
          <w:sz w:val="32"/>
        </w:rPr>
        <w:t>展期、续贷各类贷款34.11亿元，</w:t>
      </w:r>
      <w:r>
        <w:rPr>
          <w:rFonts w:hint="eastAsia" w:ascii="Times New Roman" w:hAnsi="Times New Roman" w:eastAsia="方正仿宋_GBK"/>
          <w:sz w:val="32"/>
        </w:rPr>
        <w:t>全区年末</w:t>
      </w:r>
      <w:r>
        <w:rPr>
          <w:rFonts w:hint="eastAsia" w:ascii="Times New Roman" w:hAnsi="Times New Roman" w:eastAsia="方正仿宋_GBK"/>
          <w:sz w:val="32"/>
          <w:szCs w:val="32"/>
        </w:rPr>
        <w:t>存贷款余额5017.51亿元、同比增长10%，增速居中心城区第一，高于全市平均水平2.34个百分点。</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第三，合理配置优供给，高站位支撑兜底保重</w:t>
      </w:r>
      <w:r>
        <w:rPr>
          <w:rFonts w:hint="eastAsia" w:ascii="Times New Roman" w:hAnsi="Times New Roman" w:eastAsia="方正仿宋_GBK" w:cs="Times New Roman"/>
          <w:sz w:val="32"/>
          <w:szCs w:val="32"/>
        </w:rPr>
        <w:t>。在收入低速运行、财政持续承压状态下，优化资源配置、保证支出强度，确保该花的钱保障到位、不该花的钱决不多花。始终兜牢底线惠民生，</w:t>
      </w:r>
      <w:r>
        <w:rPr>
          <w:rFonts w:hint="eastAsia" w:ascii="Times New Roman" w:hAnsi="Times New Roman" w:eastAsia="方正仿宋_GBK" w:cs="Times New Roman"/>
          <w:sz w:val="32"/>
          <w:szCs w:val="32"/>
          <w:lang w:eastAsia="zh-CN"/>
        </w:rPr>
        <w:t>坚持人民至上、生命至上</w:t>
      </w:r>
      <w:r>
        <w:rPr>
          <w:rFonts w:hint="eastAsia" w:ascii="Times New Roman" w:hAnsi="Times New Roman" w:eastAsia="方正仿宋_GBK" w:cs="Times New Roman"/>
          <w:sz w:val="32"/>
          <w:szCs w:val="32"/>
        </w:rPr>
        <w:t>，2022年全区民生投入76.25亿元，占财政支出的80%，其中财政教育投入37亿元，10件票决民生事项滚动实施，</w:t>
      </w:r>
      <w:r>
        <w:rPr>
          <w:rFonts w:hint="eastAsia" w:ascii="Times New Roman" w:hAnsi="Times New Roman" w:eastAsia="方正仿宋_GBK"/>
          <w:sz w:val="32"/>
          <w:szCs w:val="32"/>
        </w:rPr>
        <w:t>教育、科技、社保和就业、卫生健康、节能环保、农林水等重点领域支出均得到有效保障。始终胸怀大局保重点，坚持以政领财、以财辅政，强化政策集成和资金协同，“一盘棋”整合预算资金、债券资金等各类资金43.56亿元，全力保障全国文明城区创建、乡村振兴、疫情防控等中心重点任务顺利推进，为</w:t>
      </w:r>
      <w:r>
        <w:rPr>
          <w:rFonts w:hint="eastAsia" w:ascii="Times New Roman" w:hAnsi="Times New Roman" w:eastAsia="方正仿宋_GBK" w:cs="Times New Roman"/>
          <w:sz w:val="32"/>
        </w:rPr>
        <w:t>江泸北线高速、渝昆高铁等100余个市区重点项目建设提供坚强财力支撑</w:t>
      </w:r>
      <w:r>
        <w:rPr>
          <w:rFonts w:hint="eastAsia" w:ascii="Times New Roman" w:hAnsi="Times New Roman" w:eastAsia="方正仿宋_GBK" w:cs="Times New Roman"/>
          <w:sz w:val="32"/>
          <w:szCs w:val="32"/>
        </w:rPr>
        <w:t>。始终有保有压优支出，坚持精打细算、节用裕民，</w:t>
      </w:r>
      <w:r>
        <w:rPr>
          <w:rFonts w:ascii="Times New Roman" w:hAnsi="Times New Roman" w:eastAsia="方正仿宋_GBK" w:cs="Times New Roman"/>
          <w:snapToGrid w:val="0"/>
          <w:sz w:val="32"/>
          <w:szCs w:val="32"/>
        </w:rPr>
        <w:t>严格落实过</w:t>
      </w:r>
      <w:r>
        <w:rPr>
          <w:rFonts w:hint="eastAsia" w:ascii="Times New Roman" w:hAnsi="Times New Roman" w:eastAsia="方正仿宋_GBK" w:cs="Times New Roman"/>
          <w:snapToGrid w:val="0"/>
          <w:sz w:val="32"/>
          <w:szCs w:val="32"/>
        </w:rPr>
        <w:t>“</w:t>
      </w:r>
      <w:r>
        <w:rPr>
          <w:rFonts w:ascii="Times New Roman" w:hAnsi="Times New Roman" w:eastAsia="方正仿宋_GBK" w:cs="Times New Roman"/>
          <w:snapToGrid w:val="0"/>
          <w:sz w:val="32"/>
          <w:szCs w:val="32"/>
        </w:rPr>
        <w:t>紧日子</w:t>
      </w:r>
      <w:r>
        <w:rPr>
          <w:rFonts w:hint="eastAsia" w:ascii="Times New Roman" w:hAnsi="Times New Roman" w:eastAsia="方正仿宋_GBK" w:cs="Times New Roman"/>
          <w:snapToGrid w:val="0"/>
          <w:sz w:val="32"/>
          <w:szCs w:val="32"/>
        </w:rPr>
        <w:t>”各项举措</w:t>
      </w:r>
      <w:r>
        <w:rPr>
          <w:rFonts w:ascii="Times New Roman" w:hAnsi="Times New Roman" w:eastAsia="方正仿宋_GBK" w:cs="Times New Roman"/>
          <w:snapToGrid w:val="0"/>
          <w:sz w:val="32"/>
          <w:szCs w:val="32"/>
        </w:rPr>
        <w:t>，严控出台新的增资政策，</w:t>
      </w:r>
      <w:r>
        <w:rPr>
          <w:rFonts w:hint="eastAsia" w:ascii="Times New Roman" w:hAnsi="Times New Roman" w:eastAsia="方正仿宋_GBK"/>
          <w:sz w:val="32"/>
          <w:szCs w:val="32"/>
        </w:rPr>
        <w:t>全年“三公”经费零增长，新增奖补政策零发生</w:t>
      </w:r>
      <w:r>
        <w:rPr>
          <w:rFonts w:hint="eastAsia" w:ascii="Times New Roman" w:hAnsi="Times New Roman" w:eastAsia="方正仿宋_GBK" w:cs="Times New Roman"/>
          <w:snapToGrid w:val="0"/>
          <w:sz w:val="32"/>
          <w:szCs w:val="32"/>
        </w:rPr>
        <w:t>，</w:t>
      </w:r>
      <w:r>
        <w:rPr>
          <w:rFonts w:hint="eastAsia" w:ascii="Times New Roman" w:hAnsi="Times New Roman" w:eastAsia="方正仿宋_GBK" w:cs="Times New Roman"/>
          <w:sz w:val="32"/>
          <w:szCs w:val="32"/>
        </w:rPr>
        <w:t>通过政府采购、项目评审、结（决）算审核、支出标准审核等，压减不合理支出和非急需、非刚性项目资金26.05亿元，腾出资金用在保民生保重点等“刀刃”上。</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第四，蹄疾步稳推改革，高效率提升财政效能</w:t>
      </w:r>
      <w:r>
        <w:rPr>
          <w:rFonts w:hint="eastAsia" w:ascii="Times New Roman" w:hAnsi="Times New Roman" w:eastAsia="方正仿宋_GBK" w:cs="Times New Roman"/>
          <w:sz w:val="32"/>
          <w:szCs w:val="32"/>
        </w:rPr>
        <w:t>。牢牢把握</w:t>
      </w:r>
      <w:r>
        <w:rPr>
          <w:rFonts w:hint="eastAsia" w:ascii="Times New Roman" w:hAnsi="Times New Roman" w:eastAsia="方正仿宋_GBK" w:cs="Calibri"/>
          <w:sz w:val="32"/>
          <w:szCs w:val="32"/>
        </w:rPr>
        <w:t>加快构建现代财政制度</w:t>
      </w:r>
      <w:r>
        <w:rPr>
          <w:rFonts w:hint="eastAsia" w:ascii="Times New Roman" w:hAnsi="Times New Roman" w:eastAsia="方正仿宋_GBK" w:cs="Times New Roman"/>
          <w:sz w:val="32"/>
          <w:szCs w:val="32"/>
        </w:rPr>
        <w:t>的要求，坚持改革与管理并重，促进财政提质增效。</w:t>
      </w:r>
      <w:r>
        <w:rPr>
          <w:rFonts w:hint="eastAsia" w:ascii="Times New Roman" w:hAnsi="Times New Roman" w:eastAsia="方正仿宋_GBK"/>
          <w:sz w:val="32"/>
          <w:szCs w:val="32"/>
        </w:rPr>
        <w:t>聚力强化预算刚性约束，逗硬执行零基预算、部门预决算公开、预算公开评审、年度中预算追加评审等制度，</w:t>
      </w:r>
      <w:r>
        <w:rPr>
          <w:rFonts w:hint="eastAsia" w:ascii="Times New Roman" w:hAnsi="Times New Roman" w:eastAsia="方正仿宋_GBK" w:cs="Times New Roman"/>
          <w:sz w:val="32"/>
          <w:szCs w:val="32"/>
        </w:rPr>
        <w:t>总决算、财务决算考核成绩全市前列。</w:t>
      </w:r>
      <w:r>
        <w:rPr>
          <w:rFonts w:hint="eastAsia" w:ascii="Times New Roman" w:hAnsi="Times New Roman" w:eastAsia="方正仿宋_GBK"/>
          <w:sz w:val="32"/>
          <w:szCs w:val="32"/>
        </w:rPr>
        <w:t>聚力</w:t>
      </w:r>
      <w:r>
        <w:rPr>
          <w:rFonts w:hint="eastAsia" w:ascii="Times New Roman" w:hAnsi="Times New Roman" w:eastAsia="方正仿宋_GBK" w:cs="Times New Roman"/>
          <w:sz w:val="32"/>
          <w:szCs w:val="32"/>
        </w:rPr>
        <w:t>完善“9+1”预算管理制度体系，启动区对镇财政体制调研，深入推动预算绩效一体化改革，以信息化、系统化手段，推动财政管理更加精准科学、规范高效。</w:t>
      </w:r>
      <w:r>
        <w:rPr>
          <w:rFonts w:hint="eastAsia" w:ascii="Times New Roman" w:hAnsi="Times New Roman" w:eastAsia="方正仿宋_GBK"/>
          <w:sz w:val="32"/>
          <w:szCs w:val="32"/>
        </w:rPr>
        <w:t>聚力</w:t>
      </w:r>
      <w:r>
        <w:rPr>
          <w:rFonts w:hint="eastAsia" w:ascii="Times New Roman" w:hAnsi="Times New Roman" w:eastAsia="方正仿宋_GBK" w:cs="Times New Roman"/>
          <w:sz w:val="32"/>
          <w:szCs w:val="32"/>
        </w:rPr>
        <w:t>推动预算绩效管理改革，划分事前、事中、事后环节，加强全方位、全过程、全覆盖跟踪问效</w:t>
      </w:r>
      <w:r>
        <w:rPr>
          <w:rFonts w:hint="eastAsia" w:ascii="Times New Roman" w:hAnsi="Times New Roman" w:eastAsia="方正仿宋_GBK" w:cs="方正仿宋_GBK"/>
          <w:snapToGrid w:val="0"/>
          <w:kern w:val="0"/>
          <w:sz w:val="32"/>
          <w:szCs w:val="32"/>
        </w:rPr>
        <w:t>，深化</w:t>
      </w:r>
      <w:r>
        <w:rPr>
          <w:rFonts w:hint="eastAsia" w:ascii="Times New Roman" w:hAnsi="Times New Roman" w:eastAsia="方正仿宋_GBK" w:cs="Times New Roman"/>
          <w:sz w:val="32"/>
          <w:szCs w:val="32"/>
        </w:rPr>
        <w:t>绩效结果与预算安排、政策调整、转移支付分配</w:t>
      </w:r>
      <w:r>
        <w:rPr>
          <w:rFonts w:hint="eastAsia" w:ascii="Times New Roman" w:hAnsi="Times New Roman" w:eastAsia="方正仿宋_GBK" w:cs="方正仿宋_GBK"/>
          <w:snapToGrid w:val="0"/>
          <w:kern w:val="0"/>
          <w:sz w:val="32"/>
          <w:szCs w:val="32"/>
        </w:rPr>
        <w:t>“三挂钩”机制，推动绩效管理扩面提质。</w:t>
      </w:r>
      <w:r>
        <w:rPr>
          <w:rFonts w:hint="eastAsia" w:ascii="Times New Roman" w:hAnsi="Times New Roman" w:eastAsia="方正仿宋_GBK"/>
          <w:sz w:val="32"/>
          <w:szCs w:val="32"/>
        </w:rPr>
        <w:t>聚力</w:t>
      </w:r>
      <w:r>
        <w:rPr>
          <w:rFonts w:hint="eastAsia" w:ascii="Times New Roman" w:hAnsi="Times New Roman" w:eastAsia="方正仿宋_GBK" w:cs="Times New Roman"/>
          <w:sz w:val="32"/>
          <w:szCs w:val="32"/>
        </w:rPr>
        <w:t>深化关键环节改革，</w:t>
      </w:r>
      <w:r>
        <w:rPr>
          <w:rFonts w:hint="eastAsia" w:ascii="Times New Roman" w:hAnsi="Times New Roman" w:eastAsia="方正仿宋_GBK" w:cs="方正仿宋_GBK"/>
          <w:snapToGrid w:val="0"/>
          <w:kern w:val="0"/>
          <w:sz w:val="32"/>
          <w:szCs w:val="32"/>
        </w:rPr>
        <w:t>推动</w:t>
      </w:r>
      <w:r>
        <w:rPr>
          <w:rFonts w:hint="eastAsia" w:ascii="Times New Roman" w:hAnsi="Times New Roman" w:eastAsia="方正仿宋_GBK" w:cs="Times New Roman"/>
          <w:sz w:val="32"/>
          <w:szCs w:val="32"/>
        </w:rPr>
        <w:t>物业专项维修资金专用收据电子化，加强行政事业单位经营性国有资产统一监管，政府采购、获得信贷便利化在营商环境考核中位居全市前列。</w:t>
      </w:r>
      <w:r>
        <w:rPr>
          <w:rFonts w:hint="eastAsia" w:ascii="Times New Roman" w:hAnsi="Times New Roman" w:eastAsia="方正仿宋_GBK"/>
          <w:sz w:val="32"/>
          <w:szCs w:val="32"/>
        </w:rPr>
        <w:t>聚力</w:t>
      </w:r>
      <w:r>
        <w:rPr>
          <w:rFonts w:hint="eastAsia" w:ascii="Times New Roman" w:hAnsi="Times New Roman" w:eastAsia="方正仿宋_GBK" w:cs="Times New Roman"/>
          <w:sz w:val="32"/>
          <w:szCs w:val="32"/>
        </w:rPr>
        <w:t>夯实财政监督管理，</w:t>
      </w:r>
      <w:r>
        <w:rPr>
          <w:rFonts w:hint="eastAsia" w:ascii="Times New Roman" w:hAnsi="Times New Roman" w:eastAsia="方正仿宋_GBK" w:cs="Calibri"/>
          <w:sz w:val="32"/>
          <w:szCs w:val="32"/>
        </w:rPr>
        <w:t>深入开展“7+1”财经秩序专项整治、</w:t>
      </w:r>
      <w:r>
        <w:rPr>
          <w:rFonts w:hint="eastAsia" w:ascii="Times New Roman" w:hAnsi="Times New Roman" w:eastAsia="方正仿宋_GBK" w:cs="Times New Roman"/>
          <w:sz w:val="32"/>
          <w:szCs w:val="32"/>
        </w:rPr>
        <w:t>代理记账行业违法违规行为整治和会计信息质量检查，</w:t>
      </w:r>
      <w:r>
        <w:rPr>
          <w:rFonts w:hint="eastAsia" w:ascii="Times New Roman" w:hAnsi="Times New Roman" w:eastAsia="方正仿宋_GBK" w:cs="Calibri"/>
          <w:sz w:val="32"/>
          <w:szCs w:val="32"/>
        </w:rPr>
        <w:t>有力规范财务管理、严肃财经纪律。</w:t>
      </w:r>
    </w:p>
    <w:p>
      <w:pPr>
        <w:adjustRightInd w:val="0"/>
        <w:snapToGrid w:val="0"/>
        <w:spacing w:line="594" w:lineRule="exact"/>
        <w:ind w:firstLine="63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第五，疏堵结合防风险，高强度筑牢安全屏障</w:t>
      </w:r>
      <w:r>
        <w:rPr>
          <w:rFonts w:hint="eastAsia" w:ascii="Times New Roman" w:hAnsi="Times New Roman" w:eastAsia="方正仿宋_GBK" w:cs="Times New Roman"/>
          <w:sz w:val="32"/>
          <w:szCs w:val="32"/>
        </w:rPr>
        <w:t>。面对前所未有的困难形势和风险挑战，坚持底线思维，统筹发展和安全，牢牢守住安全运行边界。积极有为防范政府债务风险，健全政府债券“借、用、管、还”全过程监管体系，启用专项债券穿透式监管系统，坚决遏制新增隐性债务，</w:t>
      </w:r>
      <w:r>
        <w:rPr>
          <w:rFonts w:hint="eastAsia" w:ascii="Times New Roman" w:hAnsi="Times New Roman" w:eastAsia="方正仿宋_GBK"/>
          <w:sz w:val="32"/>
          <w:szCs w:val="32"/>
        </w:rPr>
        <w:t>按进度</w:t>
      </w:r>
      <w:r>
        <w:rPr>
          <w:rFonts w:hint="eastAsia" w:ascii="Times New Roman" w:hAnsi="Times New Roman" w:eastAsia="方正仿宋_GBK" w:cs="Times New Roman"/>
          <w:sz w:val="32"/>
          <w:szCs w:val="32"/>
        </w:rPr>
        <w:t>完成隐性债务化解计划，全年未发生债务违约风险事件。严格落实</w:t>
      </w:r>
      <w:r>
        <w:rPr>
          <w:rFonts w:hint="eastAsia" w:ascii="Times New Roman" w:hAnsi="Times New Roman" w:eastAsia="方正仿宋_GBK"/>
          <w:sz w:val="32"/>
          <w:szCs w:val="32"/>
        </w:rPr>
        <w:t>区管国有企业“631”偿债机制，定期召开融资控债专题会议研判政策动向、融资形势，以“低换高、长换短”置换经营性债务</w:t>
      </w:r>
      <w:r>
        <w:rPr>
          <w:rFonts w:ascii="Times New Roman" w:hAnsi="Times New Roman" w:eastAsia="方正仿宋_GBK"/>
          <w:sz w:val="32"/>
          <w:szCs w:val="32"/>
        </w:rPr>
        <w:t>，</w:t>
      </w:r>
      <w:r>
        <w:rPr>
          <w:rFonts w:hint="eastAsia" w:ascii="Times New Roman" w:hAnsi="Times New Roman" w:eastAsia="方正仿宋_GBK"/>
          <w:sz w:val="32"/>
          <w:szCs w:val="32"/>
        </w:rPr>
        <w:t>降低企业融资成本</w:t>
      </w:r>
      <w:r>
        <w:rPr>
          <w:rFonts w:ascii="Times New Roman" w:hAnsi="Times New Roman" w:eastAsia="方正仿宋_GBK"/>
          <w:sz w:val="32"/>
          <w:szCs w:val="32"/>
        </w:rPr>
        <w:t>。稳妥有序化解</w:t>
      </w:r>
      <w:r>
        <w:rPr>
          <w:rFonts w:hint="eastAsia" w:ascii="Times New Roman" w:hAnsi="Times New Roman" w:eastAsia="方正仿宋_GBK" w:cs="Times New Roman"/>
          <w:sz w:val="32"/>
          <w:szCs w:val="32"/>
        </w:rPr>
        <w:t>金融领域风险，持续开展邦家、</w:t>
      </w:r>
      <w:r>
        <w:rPr>
          <w:rFonts w:ascii="Times New Roman" w:hAnsi="Times New Roman" w:eastAsia="方正仿宋_GBK" w:cs="方正仿宋_GBK"/>
          <w:kern w:val="0"/>
          <w:sz w:val="32"/>
          <w:szCs w:val="32"/>
        </w:rPr>
        <w:t>汇丰</w:t>
      </w:r>
      <w:r>
        <w:rPr>
          <w:rFonts w:hint="eastAsia" w:ascii="Times New Roman" w:hAnsi="Times New Roman" w:eastAsia="方正仿宋_GBK" w:cs="Times New Roman"/>
          <w:sz w:val="32"/>
          <w:szCs w:val="32"/>
        </w:rPr>
        <w:t>等存量非法集资案件资金清退，妥善应对房地产领域金融风险，</w:t>
      </w:r>
      <w:r>
        <w:rPr>
          <w:rFonts w:hint="eastAsia" w:ascii="Times New Roman" w:hAnsi="Times New Roman" w:eastAsia="方正仿宋_GBK" w:cs="方正仿宋_GBK"/>
          <w:kern w:val="0"/>
          <w:sz w:val="31"/>
          <w:szCs w:val="31"/>
        </w:rPr>
        <w:t>对</w:t>
      </w:r>
      <w:r>
        <w:rPr>
          <w:rFonts w:hint="eastAsia" w:ascii="Times New Roman" w:hAnsi="Times New Roman" w:eastAsia="方正仿宋_GBK" w:cs="Times New Roman"/>
          <w:sz w:val="32"/>
          <w:szCs w:val="32"/>
        </w:rPr>
        <w:t>小贷、典当、私募股权投资等地方金融机构开展现场检查，对苗头性、倾向性问题早发现、早应对，坚守金融风险“底线”，筑牢全区经济金融安全“防护坡”。</w:t>
      </w:r>
    </w:p>
    <w:p>
      <w:pPr>
        <w:adjustRightInd w:val="0"/>
        <w:snapToGrid w:val="0"/>
        <w:spacing w:line="594"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（二）落实区人大预算决议情况</w:t>
      </w:r>
    </w:p>
    <w:p>
      <w:pPr>
        <w:adjustRightInd w:val="0"/>
        <w:snapToGrid w:val="0"/>
        <w:spacing w:line="594" w:lineRule="exact"/>
        <w:ind w:firstLine="643" w:firstLineChars="200"/>
        <w:rPr>
          <w:rFonts w:ascii="Times New Roman" w:hAnsi="Times New Roman" w:eastAsia="方正仿宋_GBK"/>
          <w:sz w:val="32"/>
          <w:szCs w:val="32"/>
        </w:rPr>
      </w:pPr>
      <w:r>
        <w:rPr>
          <w:rFonts w:hint="eastAsia" w:ascii="Times New Roman" w:hAnsi="Times New Roman" w:eastAsia="方正仿宋_GBK" w:cs="Times New Roman"/>
          <w:b/>
          <w:sz w:val="32"/>
          <w:szCs w:val="32"/>
        </w:rPr>
        <w:t>一是严格落实区人大预算决议</w:t>
      </w:r>
      <w:r>
        <w:rPr>
          <w:rFonts w:hint="eastAsia" w:ascii="Times New Roman" w:hAnsi="Times New Roman" w:eastAsia="方正仿宋_GBK" w:cs="Times New Roman"/>
          <w:sz w:val="32"/>
          <w:szCs w:val="32"/>
        </w:rPr>
        <w:t>。坚持依法行政、依法理财，</w:t>
      </w:r>
      <w:r>
        <w:rPr>
          <w:rFonts w:hint="eastAsia" w:ascii="Times New Roman" w:hAnsi="Times New Roman" w:eastAsia="方正仿宋_GBK"/>
          <w:sz w:val="32"/>
          <w:szCs w:val="32"/>
        </w:rPr>
        <w:t>严格执行《预算法》《预算法实施条例》《重庆市预算审查监督条例》各项规定，</w:t>
      </w:r>
      <w:r>
        <w:rPr>
          <w:rFonts w:hint="eastAsia" w:ascii="Times New Roman" w:hAnsi="Times New Roman" w:eastAsia="方正仿宋_GBK" w:cs="Times New Roman"/>
          <w:sz w:val="32"/>
          <w:szCs w:val="32"/>
        </w:rPr>
        <w:t>自觉接受区人大监督，认真落实工作联系报告制度，扎实贯彻区第十九届人大一次会议决议和区人大财经委审查意见，认真执行各项财政收支预算。特别是积极应对复杂严峻的宏观经济形势，</w:t>
      </w:r>
      <w:r>
        <w:rPr>
          <w:rFonts w:hint="eastAsia" w:ascii="Times New Roman" w:hAnsi="Times New Roman" w:eastAsia="方正仿宋_GBK"/>
          <w:sz w:val="32"/>
          <w:szCs w:val="32"/>
        </w:rPr>
        <w:t>提质增效实施积极的财政政策，强化政策对冲稳大盘、保重点，竭力保证全区财政收支平稳运行</w:t>
      </w:r>
      <w:r>
        <w:rPr>
          <w:rFonts w:hint="eastAsia" w:ascii="Times New Roman" w:hAnsi="Times New Roman" w:eastAsia="方正仿宋_GBK" w:cs="Times New Roman"/>
          <w:sz w:val="32"/>
          <w:szCs w:val="32"/>
        </w:rPr>
        <w:t>。</w:t>
      </w:r>
      <w:r>
        <w:rPr>
          <w:rFonts w:hint="eastAsia" w:ascii="Times New Roman" w:hAnsi="Times New Roman" w:eastAsia="方正仿宋_GBK"/>
          <w:sz w:val="32"/>
          <w:szCs w:val="32"/>
        </w:rPr>
        <w:t>同时，注重提高财政资源配置效率，全面实施预算绩效管理，逗硬落实过紧日子政策措施，稳步推进财政改革创新，财政和金融领域风险管控有力有效。</w:t>
      </w:r>
    </w:p>
    <w:p>
      <w:pPr>
        <w:adjustRightInd w:val="0"/>
        <w:snapToGrid w:val="0"/>
        <w:spacing w:line="594"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二是认真办理代表建议、政协提案</w:t>
      </w:r>
      <w:r>
        <w:rPr>
          <w:rFonts w:hint="eastAsia" w:ascii="Times New Roman" w:hAnsi="Times New Roman" w:eastAsia="方正仿宋_GBK" w:cs="Times New Roman"/>
          <w:sz w:val="32"/>
          <w:szCs w:val="32"/>
        </w:rPr>
        <w:t>。坚持将人大建议、政协提案办理工作作为法定职责和工作抓手，将办理过程与业务开展相结合，注重与代表委员共同沟通研讨，切实把代表委员提出的好思路、好建议转化为切实可行的工作措施。2022年，财政部门承办人大建议、政协提案44件，其中主办件6件、协办件38件，全部在规定时间内办结，办复率100%，满意率100%。代表委员关于企业扶持、融资、招投标等方面的宝贵建议，</w:t>
      </w:r>
      <w:r>
        <w:rPr>
          <w:rFonts w:hint="eastAsia" w:ascii="Times New Roman" w:hAnsi="Times New Roman" w:eastAsia="方正仿宋_GBK"/>
          <w:sz w:val="32"/>
          <w:szCs w:val="32"/>
        </w:rPr>
        <w:t>财政主动沟通、充分吸纳，及时转化</w:t>
      </w:r>
      <w:r>
        <w:rPr>
          <w:rFonts w:hint="eastAsia" w:ascii="Times New Roman" w:hAnsi="Times New Roman" w:eastAsia="方正仿宋_GBK" w:cs="Times New Roman"/>
          <w:sz w:val="32"/>
          <w:szCs w:val="32"/>
        </w:rPr>
        <w:t>为援企渡难、拓宽融资渠道、规范政府采购流程的政策措施，</w:t>
      </w:r>
      <w:r>
        <w:rPr>
          <w:rFonts w:hint="eastAsia" w:ascii="Times New Roman" w:hAnsi="Times New Roman" w:eastAsia="方正仿宋_GBK"/>
          <w:sz w:val="32"/>
          <w:szCs w:val="32"/>
        </w:rPr>
        <w:t>有力提升了财政管理水平。</w:t>
      </w:r>
    </w:p>
    <w:p>
      <w:pPr>
        <w:adjustRightInd w:val="0"/>
        <w:snapToGrid w:val="0"/>
        <w:spacing w:line="594" w:lineRule="exact"/>
        <w:ind w:firstLine="640" w:firstLineChars="200"/>
        <w:outlineLvl w:val="0"/>
        <w:rPr>
          <w:rFonts w:ascii="Times New Roman" w:hAnsi="Times New Roman" w:eastAsia="方正黑体_GBK" w:cs="Times New Roman"/>
          <w:sz w:val="32"/>
          <w:szCs w:val="32"/>
        </w:rPr>
      </w:pPr>
      <w:r>
        <w:rPr>
          <w:rFonts w:hint="eastAsia" w:ascii="Times New Roman" w:hAnsi="Times New Roman" w:eastAsia="方正黑体_GBK" w:cs="Times New Roman"/>
          <w:sz w:val="32"/>
          <w:szCs w:val="32"/>
        </w:rPr>
        <w:t>二</w:t>
      </w:r>
      <w:r>
        <w:rPr>
          <w:rFonts w:ascii="Times New Roman" w:hAnsi="Times New Roman" w:eastAsia="方正黑体_GBK" w:cs="Times New Roman"/>
          <w:sz w:val="32"/>
          <w:szCs w:val="32"/>
        </w:rPr>
        <w:t>、20</w:t>
      </w:r>
      <w:r>
        <w:rPr>
          <w:rFonts w:hint="eastAsia" w:ascii="Times New Roman" w:hAnsi="Times New Roman" w:eastAsia="方正黑体_GBK" w:cs="Times New Roman"/>
          <w:sz w:val="32"/>
          <w:szCs w:val="32"/>
        </w:rPr>
        <w:t>22</w:t>
      </w:r>
      <w:r>
        <w:rPr>
          <w:rFonts w:ascii="Times New Roman" w:hAnsi="Times New Roman" w:eastAsia="方正黑体_GBK" w:cs="Times New Roman"/>
          <w:sz w:val="32"/>
          <w:szCs w:val="32"/>
        </w:rPr>
        <w:t>年预算执行情况</w:t>
      </w:r>
    </w:p>
    <w:p>
      <w:pPr>
        <w:adjustRightInd w:val="0"/>
        <w:snapToGrid w:val="0"/>
        <w:spacing w:line="594"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）一般公共预算执行情况</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区本级一般公共预算收入561038万元，同比增长2.76%，其中税收收入完成391257万元，同比增长3.9%，上级补助收入329294万元，地方政府一般债务转贷收入81700万元，调入资金200822万元，动用预算稳定调节基金17459万元，上年结转收入74156万元，收入总计126446</w:t>
      </w: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rPr>
        <w:t>万元。区本级一般公共预算支出953159万元，同比增长15.46%，上解支出83937万元，地方政府一般债务还本支出57702万元，安排预算稳定调节基金</w:t>
      </w:r>
      <w:r>
        <w:rPr>
          <w:rFonts w:hint="eastAsia" w:ascii="Times New Roman" w:hAnsi="Times New Roman" w:eastAsia="方正仿宋_GBK" w:cs="Times New Roman"/>
          <w:bCs/>
          <w:sz w:val="32"/>
          <w:szCs w:val="32"/>
        </w:rPr>
        <w:t>8</w:t>
      </w:r>
      <w:r>
        <w:rPr>
          <w:rFonts w:ascii="Times New Roman" w:hAnsi="Times New Roman" w:eastAsia="方正仿宋_GBK" w:cs="Times New Roman"/>
          <w:bCs/>
          <w:sz w:val="32"/>
          <w:szCs w:val="32"/>
        </w:rPr>
        <w:t>4</w:t>
      </w:r>
      <w:r>
        <w:rPr>
          <w:rFonts w:hint="eastAsia" w:ascii="Times New Roman" w:hAnsi="Times New Roman" w:eastAsia="方正仿宋_GBK" w:cs="Times New Roman"/>
          <w:bCs/>
          <w:sz w:val="32"/>
          <w:szCs w:val="32"/>
        </w:rPr>
        <w:t>67</w:t>
      </w:r>
      <w:r>
        <w:rPr>
          <w:rFonts w:ascii="Times New Roman" w:hAnsi="Times New Roman" w:eastAsia="方正仿宋_GBK" w:cs="Times New Roman"/>
          <w:bCs/>
          <w:sz w:val="32"/>
          <w:szCs w:val="32"/>
        </w:rPr>
        <w:t>2</w:t>
      </w:r>
      <w:r>
        <w:rPr>
          <w:rFonts w:hint="eastAsia" w:ascii="Times New Roman" w:hAnsi="Times New Roman" w:eastAsia="方正仿宋_GBK" w:cs="Times New Roman"/>
          <w:sz w:val="32"/>
          <w:szCs w:val="32"/>
        </w:rPr>
        <w:t>万元，结转下年</w:t>
      </w:r>
      <w:r>
        <w:rPr>
          <w:rFonts w:hint="eastAsia" w:ascii="Times New Roman" w:hAnsi="Times New Roman" w:eastAsia="方正仿宋_GBK" w:cs="Times New Roman"/>
          <w:color w:val="000000" w:themeColor="text1"/>
          <w:sz w:val="32"/>
          <w:szCs w:val="32"/>
        </w:rPr>
        <w:t>84999</w:t>
      </w:r>
      <w:r>
        <w:rPr>
          <w:rFonts w:hint="eastAsia" w:ascii="Times New Roman" w:hAnsi="Times New Roman" w:eastAsia="方正仿宋_GBK" w:cs="Times New Roman"/>
          <w:sz w:val="32"/>
          <w:szCs w:val="32"/>
        </w:rPr>
        <w:t>万元，支出总计</w:t>
      </w:r>
      <w:r>
        <w:rPr>
          <w:rFonts w:hint="eastAsia" w:ascii="Times New Roman" w:hAnsi="Times New Roman" w:eastAsia="方正仿宋_GBK" w:cs="Times New Roman"/>
          <w:bCs/>
          <w:sz w:val="32"/>
          <w:szCs w:val="32"/>
        </w:rPr>
        <w:t>126446</w:t>
      </w:r>
      <w:r>
        <w:rPr>
          <w:rFonts w:ascii="Times New Roman" w:hAnsi="Times New Roman" w:eastAsia="方正仿宋_GBK" w:cs="Times New Roman"/>
          <w:bCs/>
          <w:sz w:val="32"/>
          <w:szCs w:val="32"/>
        </w:rPr>
        <w:t>9</w:t>
      </w:r>
      <w:r>
        <w:rPr>
          <w:rFonts w:hint="eastAsia" w:ascii="Times New Roman" w:hAnsi="Times New Roman" w:eastAsia="方正仿宋_GBK" w:cs="Times New Roman"/>
          <w:sz w:val="32"/>
          <w:szCs w:val="32"/>
        </w:rPr>
        <w:t>万元。其中，区本级一般公共预算支出953159万元主要用于以下方面</w:t>
      </w:r>
      <w:r>
        <w:rPr>
          <w:rFonts w:ascii="Times New Roman" w:hAnsi="Times New Roman" w:eastAsia="方正仿宋_GBK" w:cs="Times New Roman"/>
          <w:sz w:val="32"/>
          <w:szCs w:val="32"/>
        </w:rPr>
        <w:t>：</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教育支出</w:t>
      </w:r>
      <w:r>
        <w:rPr>
          <w:rFonts w:ascii="Times New Roman" w:hAnsi="Times New Roman" w:eastAsia="方正仿宋_GBK" w:cs="Times New Roman"/>
          <w:sz w:val="32"/>
          <w:szCs w:val="32"/>
        </w:rPr>
        <w:t>255429</w:t>
      </w:r>
      <w:r>
        <w:rPr>
          <w:rFonts w:hint="eastAsia" w:ascii="Times New Roman" w:hAnsi="Times New Roman" w:eastAsia="方正仿宋_GBK" w:cs="Times New Roman"/>
          <w:sz w:val="32"/>
          <w:szCs w:val="32"/>
        </w:rPr>
        <w:t>万元，同比增长</w:t>
      </w:r>
      <w:r>
        <w:rPr>
          <w:rFonts w:ascii="Times New Roman" w:hAnsi="Times New Roman" w:eastAsia="方正仿宋_GBK" w:cs="Times New Roman"/>
          <w:sz w:val="32"/>
          <w:szCs w:val="32"/>
        </w:rPr>
        <w:t>15.98</w:t>
      </w:r>
      <w:r>
        <w:rPr>
          <w:rFonts w:hint="eastAsia" w:ascii="Times New Roman" w:hAnsi="Times New Roman" w:eastAsia="方正仿宋_GBK" w:cs="Times New Roman"/>
          <w:sz w:val="32"/>
          <w:szCs w:val="32"/>
        </w:rPr>
        <w:t>%，完成预算的</w:t>
      </w:r>
      <w:r>
        <w:rPr>
          <w:rFonts w:ascii="Times New Roman" w:hAnsi="Times New Roman" w:eastAsia="方正仿宋_GBK" w:cs="Times New Roman"/>
          <w:sz w:val="32"/>
          <w:szCs w:val="32"/>
        </w:rPr>
        <w:t>96.02</w:t>
      </w:r>
      <w:r>
        <w:rPr>
          <w:rFonts w:hint="eastAsia" w:ascii="Times New Roman" w:hAnsi="Times New Roman" w:eastAsia="方正仿宋_GBK" w:cs="Times New Roman"/>
          <w:sz w:val="32"/>
          <w:szCs w:val="32"/>
        </w:rPr>
        <w:t>%，增幅原因主要是保障3所“民转公”学校正常运转和新增学校建设。</w:t>
      </w:r>
      <w:r>
        <w:rPr>
          <w:rFonts w:ascii="Times New Roman" w:hAnsi="Times New Roman" w:eastAsia="方正仿宋_GBK" w:cs="Times New Roman"/>
          <w:sz w:val="32"/>
          <w:szCs w:val="32"/>
        </w:rPr>
        <w:t>主要用于：</w:t>
      </w:r>
      <w:r>
        <w:rPr>
          <w:rFonts w:hint="eastAsia" w:ascii="Times New Roman" w:hAnsi="Times New Roman" w:eastAsia="方正仿宋_GBK" w:cs="Times New Roman"/>
          <w:sz w:val="32"/>
          <w:szCs w:val="32"/>
        </w:rPr>
        <w:t>保障教育行政事业单位正常运转，</w:t>
      </w:r>
      <w:r>
        <w:rPr>
          <w:rFonts w:ascii="Times New Roman" w:hAnsi="Times New Roman" w:eastAsia="方正仿宋_GBK" w:cs="Times New Roman"/>
          <w:sz w:val="32"/>
          <w:szCs w:val="32"/>
        </w:rPr>
        <w:t>弥补学前教育</w:t>
      </w:r>
      <w:r>
        <w:rPr>
          <w:rFonts w:hint="eastAsia" w:ascii="Times New Roman" w:hAnsi="Times New Roman" w:eastAsia="方正仿宋_GBK" w:cs="Times New Roman"/>
          <w:sz w:val="32"/>
          <w:szCs w:val="32"/>
        </w:rPr>
        <w:t>发展短板</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落实各</w:t>
      </w:r>
      <w:r>
        <w:rPr>
          <w:rFonts w:ascii="Times New Roman" w:hAnsi="Times New Roman" w:eastAsia="方正仿宋_GBK" w:cs="Times New Roman"/>
          <w:sz w:val="32"/>
          <w:szCs w:val="32"/>
        </w:rPr>
        <w:t>学段教育资助政策</w:t>
      </w:r>
      <w:r>
        <w:rPr>
          <w:rFonts w:hint="eastAsia" w:ascii="Times New Roman" w:hAnsi="Times New Roman" w:eastAsia="方正仿宋_GBK" w:cs="Times New Roman"/>
          <w:sz w:val="32"/>
          <w:szCs w:val="32"/>
        </w:rPr>
        <w:t>和“民转公”“两</w:t>
      </w:r>
      <w:r>
        <w:rPr>
          <w:rFonts w:ascii="Times New Roman" w:hAnsi="Times New Roman" w:eastAsia="方正仿宋_GBK" w:cs="Times New Roman"/>
          <w:sz w:val="32"/>
          <w:szCs w:val="32"/>
        </w:rPr>
        <w:t>自一包</w:t>
      </w:r>
      <w:r>
        <w:rPr>
          <w:rFonts w:hint="eastAsia" w:ascii="Times New Roman" w:hAnsi="Times New Roman" w:eastAsia="方正仿宋_GBK" w:cs="Times New Roman"/>
          <w:sz w:val="32"/>
          <w:szCs w:val="32"/>
        </w:rPr>
        <w:t>”政策</w:t>
      </w:r>
      <w:r>
        <w:rPr>
          <w:rFonts w:ascii="Times New Roman" w:hAnsi="Times New Roman" w:eastAsia="方正仿宋_GBK" w:cs="Times New Roman"/>
          <w:sz w:val="32"/>
          <w:szCs w:val="32"/>
        </w:rPr>
        <w:t>，支持</w:t>
      </w:r>
      <w:r>
        <w:rPr>
          <w:rFonts w:hint="eastAsia" w:ascii="Times New Roman" w:hAnsi="Times New Roman" w:eastAsia="方正仿宋_GBK" w:cs="Times New Roman"/>
          <w:sz w:val="32"/>
          <w:szCs w:val="32"/>
        </w:rPr>
        <w:t>“优质均衡”</w:t>
      </w:r>
      <w:r>
        <w:rPr>
          <w:rFonts w:ascii="Times New Roman" w:hAnsi="Times New Roman" w:eastAsia="方正仿宋_GBK" w:cs="Times New Roman"/>
          <w:sz w:val="32"/>
          <w:szCs w:val="32"/>
        </w:rPr>
        <w:t>学校发展</w:t>
      </w:r>
      <w:r>
        <w:rPr>
          <w:rFonts w:hint="eastAsia" w:ascii="Times New Roman" w:hAnsi="Times New Roman" w:eastAsia="方正仿宋_GBK" w:cs="Times New Roman"/>
          <w:sz w:val="32"/>
          <w:szCs w:val="32"/>
        </w:rPr>
        <w:t>与</w:t>
      </w:r>
      <w:r>
        <w:rPr>
          <w:rFonts w:ascii="Times New Roman" w:hAnsi="Times New Roman" w:eastAsia="方正仿宋_GBK" w:cs="Times New Roman"/>
          <w:sz w:val="32"/>
          <w:szCs w:val="32"/>
        </w:rPr>
        <w:t>学校</w:t>
      </w:r>
      <w:r>
        <w:rPr>
          <w:rFonts w:hint="eastAsia" w:ascii="Times New Roman" w:hAnsi="Times New Roman" w:eastAsia="方正仿宋_GBK" w:cs="Times New Roman"/>
          <w:sz w:val="32"/>
          <w:szCs w:val="32"/>
        </w:rPr>
        <w:t>建设</w:t>
      </w:r>
      <w:r>
        <w:rPr>
          <w:rFonts w:ascii="Times New Roman" w:hAnsi="Times New Roman" w:eastAsia="方正仿宋_GBK" w:cs="Times New Roman"/>
          <w:sz w:val="32"/>
          <w:szCs w:val="32"/>
        </w:rPr>
        <w:t>。其中</w:t>
      </w:r>
      <w:r>
        <w:rPr>
          <w:rFonts w:hint="eastAsia" w:ascii="Times New Roman" w:hAnsi="Times New Roman" w:eastAsia="方正仿宋_GBK" w:cs="Times New Roman"/>
          <w:sz w:val="32"/>
          <w:szCs w:val="32"/>
        </w:rPr>
        <w:t>，安排36000万元，用于区实验二小、巴国城小学、职教中心综合实训楼等9个新建和改扩建项目；安排15400万元，推动学前教育公办率达到57%、普惠率达到90%；安排</w:t>
      </w:r>
      <w:r>
        <w:rPr>
          <w:rFonts w:ascii="Times New Roman" w:hAnsi="Times New Roman" w:eastAsia="方正仿宋_GBK" w:cs="Times New Roman"/>
          <w:sz w:val="32"/>
          <w:szCs w:val="32"/>
        </w:rPr>
        <w:t>4350</w:t>
      </w:r>
      <w:r>
        <w:rPr>
          <w:rFonts w:hint="eastAsia" w:ascii="Times New Roman" w:hAnsi="Times New Roman" w:eastAsia="方正仿宋_GBK" w:cs="Times New Roman"/>
          <w:sz w:val="32"/>
          <w:szCs w:val="32"/>
        </w:rPr>
        <w:t>万元，用于扶助各教育阶段家庭经济困难学生。</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——科学</w:t>
      </w:r>
      <w:r>
        <w:rPr>
          <w:rFonts w:hint="eastAsia" w:ascii="Times New Roman" w:hAnsi="Times New Roman" w:eastAsia="方正仿宋_GBK" w:cs="Times New Roman"/>
          <w:sz w:val="32"/>
          <w:szCs w:val="32"/>
        </w:rPr>
        <w:t>技术支出336</w:t>
      </w:r>
      <w:r>
        <w:rPr>
          <w:rFonts w:ascii="Times New Roman" w:hAnsi="Times New Roman" w:eastAsia="方正仿宋_GBK" w:cs="Times New Roman"/>
          <w:sz w:val="32"/>
          <w:szCs w:val="32"/>
        </w:rPr>
        <w:t>85万元，同比增长1.8%</w:t>
      </w:r>
      <w:r>
        <w:rPr>
          <w:rFonts w:hint="eastAsia" w:ascii="Times New Roman" w:hAnsi="Times New Roman" w:eastAsia="方正仿宋_GBK" w:cs="Times New Roman"/>
          <w:sz w:val="32"/>
          <w:szCs w:val="32"/>
        </w:rPr>
        <w:t>，完成预算的</w:t>
      </w:r>
      <w:r>
        <w:rPr>
          <w:rFonts w:ascii="Times New Roman" w:hAnsi="Times New Roman" w:eastAsia="方正仿宋_GBK" w:cs="Times New Roman"/>
          <w:sz w:val="32"/>
          <w:szCs w:val="32"/>
        </w:rPr>
        <w:t>92.28</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。主要用于：</w:t>
      </w:r>
      <w:r>
        <w:rPr>
          <w:rFonts w:hint="eastAsia" w:ascii="Times New Roman" w:hAnsi="Times New Roman" w:eastAsia="方正仿宋_GBK" w:cs="Times New Roman"/>
          <w:sz w:val="32"/>
          <w:szCs w:val="32"/>
        </w:rPr>
        <w:t>支持产业技术创新、重点科研平台建设，资助科技计划项目，扶持科技企业，奖励科技创新专利等。其中，安排</w:t>
      </w:r>
      <w:r>
        <w:rPr>
          <w:rFonts w:ascii="Times New Roman" w:hAnsi="Times New Roman" w:eastAsia="方正仿宋_GBK" w:cs="Times New Roman"/>
          <w:sz w:val="32"/>
          <w:szCs w:val="32"/>
        </w:rPr>
        <w:t>15867</w:t>
      </w:r>
      <w:r>
        <w:rPr>
          <w:rFonts w:hint="eastAsia" w:ascii="Times New Roman" w:hAnsi="Times New Roman" w:eastAsia="方正仿宋_GBK" w:cs="Times New Roman"/>
          <w:sz w:val="32"/>
          <w:szCs w:val="32"/>
        </w:rPr>
        <w:t>万元，支持庆铃汽车、西南铝业、秦安机电等企业建立研发准备金、工业企业技改升级、重大新产品研发成本补助，鼓励和促进科技创新；安排5519万元，支持工业互联网平台、清研理工创业谷等重点区级创新平台建设及运营；安排2726万元，支持市级新型研发机构、基层智慧治理平台、基层科普行动等。</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——文化</w:t>
      </w:r>
      <w:r>
        <w:rPr>
          <w:rFonts w:hint="eastAsia" w:ascii="Times New Roman" w:hAnsi="Times New Roman" w:eastAsia="方正仿宋_GBK" w:cs="Times New Roman"/>
          <w:sz w:val="32"/>
          <w:szCs w:val="32"/>
        </w:rPr>
        <w:t>旅游</w:t>
      </w:r>
      <w:r>
        <w:rPr>
          <w:rFonts w:ascii="Times New Roman" w:hAnsi="Times New Roman" w:eastAsia="方正仿宋_GBK" w:cs="Times New Roman"/>
          <w:sz w:val="32"/>
          <w:szCs w:val="32"/>
        </w:rPr>
        <w:t>体育与传媒</w:t>
      </w:r>
      <w:r>
        <w:rPr>
          <w:rFonts w:hint="eastAsia" w:ascii="Times New Roman" w:hAnsi="Times New Roman" w:eastAsia="方正仿宋_GBK" w:cs="Times New Roman"/>
          <w:sz w:val="32"/>
          <w:szCs w:val="32"/>
        </w:rPr>
        <w:t>支出</w:t>
      </w:r>
      <w:r>
        <w:rPr>
          <w:rFonts w:ascii="Times New Roman" w:hAnsi="Times New Roman" w:eastAsia="方正仿宋_GBK" w:cs="Times New Roman"/>
          <w:sz w:val="32"/>
          <w:szCs w:val="32"/>
        </w:rPr>
        <w:t>16634万元，同比增长6.48%</w:t>
      </w:r>
      <w:r>
        <w:rPr>
          <w:rFonts w:hint="eastAsia" w:ascii="Times New Roman" w:hAnsi="Times New Roman" w:eastAsia="方正仿宋_GBK" w:cs="Times New Roman"/>
          <w:sz w:val="32"/>
          <w:szCs w:val="32"/>
        </w:rPr>
        <w:t>，完成预算的</w:t>
      </w:r>
      <w:r>
        <w:rPr>
          <w:rFonts w:ascii="Times New Roman" w:hAnsi="Times New Roman" w:eastAsia="方正仿宋_GBK" w:cs="Times New Roman"/>
          <w:sz w:val="32"/>
          <w:szCs w:val="32"/>
        </w:rPr>
        <w:t>93.91</w:t>
      </w:r>
      <w:r>
        <w:rPr>
          <w:rFonts w:hint="eastAsia" w:ascii="Times New Roman" w:hAnsi="Times New Roman" w:eastAsia="方正仿宋_GBK" w:cs="Times New Roman"/>
          <w:sz w:val="32"/>
          <w:szCs w:val="32"/>
        </w:rPr>
        <w:t>%。主要用于：保障公共文化服务建设，支持公共服务提档升级、文艺精品创作、融媒体和体育事业发展，开展各类文化旅游惠民活动。其中，安排2497万元，支持创建全国文明城区宣传推广；安排1488万元，支持文旅“暖企”行动和系列惠民消费活动；安排1170万元，支持“三馆一站”、巴人博物馆、刘伯承六店旧居、24小时自助图书馆免费开放和运转。</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——社会保障和就业</w:t>
      </w:r>
      <w:r>
        <w:rPr>
          <w:rFonts w:hint="eastAsia" w:ascii="Times New Roman" w:hAnsi="Times New Roman" w:eastAsia="方正仿宋_GBK" w:cs="Times New Roman"/>
          <w:sz w:val="32"/>
          <w:szCs w:val="32"/>
        </w:rPr>
        <w:t>支出15144</w:t>
      </w:r>
      <w:r>
        <w:rPr>
          <w:rFonts w:ascii="Times New Roman" w:hAnsi="Times New Roman" w:eastAsia="方正仿宋_GBK" w:cs="Times New Roman"/>
          <w:sz w:val="32"/>
          <w:szCs w:val="32"/>
        </w:rPr>
        <w:t>2万元，同比增长17.9%</w:t>
      </w:r>
      <w:r>
        <w:rPr>
          <w:rFonts w:hint="eastAsia" w:ascii="Times New Roman" w:hAnsi="Times New Roman" w:eastAsia="方正仿宋_GBK" w:cs="Times New Roman"/>
          <w:sz w:val="32"/>
          <w:szCs w:val="32"/>
        </w:rPr>
        <w:t>，完成预算的</w:t>
      </w:r>
      <w:r>
        <w:rPr>
          <w:rFonts w:ascii="Times New Roman" w:hAnsi="Times New Roman" w:eastAsia="方正仿宋_GBK" w:cs="Times New Roman"/>
          <w:sz w:val="32"/>
          <w:szCs w:val="32"/>
        </w:rPr>
        <w:t>91.34</w:t>
      </w:r>
      <w:r>
        <w:rPr>
          <w:rFonts w:hint="eastAsia" w:ascii="Times New Roman" w:hAnsi="Times New Roman" w:eastAsia="方正仿宋_GBK" w:cs="Times New Roman"/>
          <w:sz w:val="32"/>
          <w:szCs w:val="32"/>
        </w:rPr>
        <w:t>%，增幅原因主要是低保等特殊群体待遇提标。</w:t>
      </w:r>
      <w:r>
        <w:rPr>
          <w:rFonts w:ascii="Times New Roman" w:hAnsi="Times New Roman" w:eastAsia="方正仿宋_GBK" w:cs="Times New Roman"/>
          <w:sz w:val="32"/>
          <w:szCs w:val="32"/>
        </w:rPr>
        <w:t>主要用于：城乡低保和特困人员供养、重点优抚对象抚恤和补助、残疾人救助、退役安置、就业创业补贴等。其中，安排</w:t>
      </w:r>
      <w:r>
        <w:rPr>
          <w:rFonts w:hint="eastAsia" w:ascii="Times New Roman" w:hAnsi="Times New Roman" w:eastAsia="方正仿宋_GBK" w:cs="Times New Roman"/>
          <w:sz w:val="32"/>
          <w:szCs w:val="32"/>
        </w:rPr>
        <w:t>10057</w:t>
      </w:r>
      <w:r>
        <w:rPr>
          <w:rFonts w:ascii="Times New Roman" w:hAnsi="Times New Roman" w:eastAsia="方正仿宋_GBK" w:cs="Times New Roman"/>
          <w:sz w:val="32"/>
          <w:szCs w:val="32"/>
        </w:rPr>
        <w:t>万元，用于重点优抚对象抚恤和生活补助、退役安置、烈士纪念设施维护等；安排</w:t>
      </w:r>
      <w:r>
        <w:rPr>
          <w:rFonts w:hint="eastAsia" w:ascii="Times New Roman" w:hAnsi="Times New Roman" w:eastAsia="方正仿宋_GBK" w:cs="Times New Roman"/>
          <w:sz w:val="32"/>
          <w:szCs w:val="32"/>
        </w:rPr>
        <w:t>7925</w:t>
      </w:r>
      <w:r>
        <w:rPr>
          <w:rFonts w:ascii="Times New Roman" w:hAnsi="Times New Roman" w:eastAsia="方正仿宋_GBK" w:cs="Times New Roman"/>
          <w:sz w:val="32"/>
          <w:szCs w:val="32"/>
        </w:rPr>
        <w:t>万元，用于城乡低保、特困人员供养和临时救助；安排</w:t>
      </w:r>
      <w:r>
        <w:rPr>
          <w:rFonts w:hint="eastAsia" w:ascii="Times New Roman" w:hAnsi="Times New Roman" w:eastAsia="方正仿宋_GBK" w:cs="Times New Roman"/>
          <w:sz w:val="32"/>
          <w:szCs w:val="32"/>
        </w:rPr>
        <w:t>1780</w:t>
      </w:r>
      <w:r>
        <w:rPr>
          <w:rFonts w:ascii="Times New Roman" w:hAnsi="Times New Roman" w:eastAsia="方正仿宋_GBK" w:cs="Times New Roman"/>
          <w:sz w:val="32"/>
          <w:szCs w:val="32"/>
        </w:rPr>
        <w:t>万元，落实市区两级惠残政策和0</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6岁残疾儿童康复救助；安排</w:t>
      </w:r>
      <w:r>
        <w:rPr>
          <w:rFonts w:hint="eastAsia" w:ascii="Times New Roman" w:hAnsi="Times New Roman" w:eastAsia="方正仿宋_GBK" w:cs="Times New Roman"/>
          <w:sz w:val="32"/>
          <w:szCs w:val="32"/>
        </w:rPr>
        <w:t>1138</w:t>
      </w:r>
      <w:r>
        <w:rPr>
          <w:rFonts w:ascii="Times New Roman" w:hAnsi="Times New Roman" w:eastAsia="方正仿宋_GBK" w:cs="Times New Roman"/>
          <w:sz w:val="32"/>
          <w:szCs w:val="32"/>
        </w:rPr>
        <w:t>万元，推动和谐劳动关系综合试验区、</w:t>
      </w:r>
      <w:r>
        <w:rPr>
          <w:rFonts w:hint="eastAsia" w:ascii="Times New Roman" w:hAnsi="Times New Roman" w:eastAsia="方正仿宋_GBK" w:cs="Times New Roman"/>
          <w:sz w:val="32"/>
          <w:szCs w:val="32"/>
        </w:rPr>
        <w:t>人才引进</w:t>
      </w:r>
      <w:r>
        <w:rPr>
          <w:rFonts w:ascii="Times New Roman" w:hAnsi="Times New Roman" w:eastAsia="方正仿宋_GBK" w:cs="Times New Roman"/>
          <w:sz w:val="32"/>
          <w:szCs w:val="32"/>
        </w:rPr>
        <w:t>；安排</w:t>
      </w:r>
      <w:r>
        <w:rPr>
          <w:rFonts w:hint="eastAsia" w:ascii="Times New Roman" w:hAnsi="Times New Roman" w:eastAsia="方正仿宋_GBK" w:cs="Times New Roman"/>
          <w:sz w:val="32"/>
          <w:szCs w:val="32"/>
        </w:rPr>
        <w:t>742</w:t>
      </w:r>
      <w:r>
        <w:rPr>
          <w:rFonts w:ascii="Times New Roman" w:hAnsi="Times New Roman" w:eastAsia="方正仿宋_GBK" w:cs="Times New Roman"/>
          <w:sz w:val="32"/>
          <w:szCs w:val="32"/>
        </w:rPr>
        <w:t>万元，</w:t>
      </w:r>
      <w:r>
        <w:rPr>
          <w:rFonts w:hint="eastAsia" w:ascii="Times New Roman" w:hAnsi="Times New Roman" w:eastAsia="方正仿宋_GBK" w:cs="Times New Roman"/>
          <w:sz w:val="32"/>
          <w:szCs w:val="32"/>
        </w:rPr>
        <w:t>建设全国未成年人保护示范区</w:t>
      </w:r>
      <w:r>
        <w:rPr>
          <w:rFonts w:ascii="Times New Roman" w:hAnsi="Times New Roman" w:eastAsia="方正仿宋_GBK" w:cs="Times New Roman"/>
          <w:sz w:val="32"/>
          <w:szCs w:val="32"/>
        </w:rPr>
        <w:t>，装修改造</w:t>
      </w: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个便民服务中心。</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卫生健康</w:t>
      </w:r>
      <w:r>
        <w:rPr>
          <w:rFonts w:ascii="Times New Roman" w:hAnsi="Times New Roman" w:eastAsia="方正仿宋_GBK" w:cs="Times New Roman"/>
          <w:sz w:val="32"/>
          <w:szCs w:val="32"/>
        </w:rPr>
        <w:t>支出</w:t>
      </w:r>
      <w:r>
        <w:rPr>
          <w:rFonts w:hint="eastAsia" w:ascii="Times New Roman" w:hAnsi="Times New Roman" w:eastAsia="方正仿宋_GBK" w:cs="Times New Roman"/>
          <w:sz w:val="32"/>
          <w:szCs w:val="32"/>
        </w:rPr>
        <w:t>11</w:t>
      </w:r>
      <w:r>
        <w:rPr>
          <w:rFonts w:ascii="Times New Roman" w:hAnsi="Times New Roman" w:eastAsia="方正仿宋_GBK" w:cs="Times New Roman"/>
          <w:sz w:val="32"/>
          <w:szCs w:val="32"/>
        </w:rPr>
        <w:t>7646万元，同比增长51.11%</w:t>
      </w:r>
      <w:r>
        <w:rPr>
          <w:rFonts w:hint="eastAsia" w:ascii="Times New Roman" w:hAnsi="Times New Roman" w:eastAsia="方正仿宋_GBK" w:cs="Times New Roman"/>
          <w:sz w:val="32"/>
          <w:szCs w:val="32"/>
        </w:rPr>
        <w:t>，完成预算的</w:t>
      </w:r>
      <w:r>
        <w:rPr>
          <w:rFonts w:ascii="Times New Roman" w:hAnsi="Times New Roman" w:eastAsia="方正仿宋_GBK" w:cs="Times New Roman"/>
          <w:sz w:val="32"/>
          <w:szCs w:val="32"/>
        </w:rPr>
        <w:t>96.82</w:t>
      </w:r>
      <w:r>
        <w:rPr>
          <w:rFonts w:hint="eastAsia" w:ascii="Times New Roman" w:hAnsi="Times New Roman" w:eastAsia="方正仿宋_GBK" w:cs="Times New Roman"/>
          <w:sz w:val="32"/>
          <w:szCs w:val="32"/>
        </w:rPr>
        <w:t>%，增幅原因主要是疫情防控经费增加。</w:t>
      </w:r>
      <w:r>
        <w:rPr>
          <w:rFonts w:ascii="Times New Roman" w:hAnsi="Times New Roman" w:eastAsia="方正仿宋_GBK" w:cs="Times New Roman"/>
          <w:sz w:val="32"/>
          <w:szCs w:val="32"/>
        </w:rPr>
        <w:t>主要用于：</w:t>
      </w:r>
      <w:r>
        <w:rPr>
          <w:rFonts w:hint="eastAsia" w:ascii="Times New Roman" w:hAnsi="Times New Roman" w:eastAsia="方正仿宋_GBK" w:cs="Times New Roman"/>
          <w:sz w:val="32"/>
          <w:szCs w:val="32"/>
        </w:rPr>
        <w:t>新冠肺炎疫情常态化防控、全民医疗健康保障、卫生事业发展等</w:t>
      </w:r>
      <w:r>
        <w:rPr>
          <w:rFonts w:ascii="Times New Roman" w:hAnsi="Times New Roman" w:eastAsia="方正仿宋_GBK" w:cs="Times New Roman"/>
          <w:sz w:val="32"/>
          <w:szCs w:val="32"/>
        </w:rPr>
        <w:t>。其中，</w:t>
      </w:r>
      <w:r>
        <w:rPr>
          <w:rFonts w:hint="eastAsia" w:ascii="Times New Roman" w:hAnsi="Times New Roman" w:eastAsia="方正仿宋_GBK" w:cs="Times New Roman"/>
          <w:sz w:val="32"/>
          <w:szCs w:val="32"/>
        </w:rPr>
        <w:t>安排51678万元，用于新冠肺炎疫情核酸检测、设备物资采购、社区排查等；安排</w:t>
      </w:r>
      <w:r>
        <w:rPr>
          <w:rFonts w:ascii="Times New Roman" w:hAnsi="Times New Roman" w:eastAsia="方正仿宋_GBK" w:cs="Times New Roman"/>
          <w:sz w:val="32"/>
          <w:szCs w:val="32"/>
        </w:rPr>
        <w:t>12601</w:t>
      </w:r>
      <w:r>
        <w:rPr>
          <w:rFonts w:hint="eastAsia" w:ascii="Times New Roman" w:hAnsi="Times New Roman" w:eastAsia="方正仿宋_GBK" w:cs="Times New Roman"/>
          <w:sz w:val="32"/>
          <w:szCs w:val="32"/>
        </w:rPr>
        <w:t>万元，保障国家基本公共卫生服务项目实施；安排5514万元，用于计划生育家庭补助；安排4171万元，用于城乡居民医疗保险财政补助；安排1800万元，用于公立医院基础设施建设、大型设备购置等“六大投入”。</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——节能环保</w:t>
      </w:r>
      <w:r>
        <w:rPr>
          <w:rFonts w:hint="eastAsia" w:ascii="Times New Roman" w:hAnsi="Times New Roman" w:eastAsia="方正仿宋_GBK" w:cs="Times New Roman"/>
          <w:sz w:val="32"/>
          <w:szCs w:val="32"/>
        </w:rPr>
        <w:t>支出</w:t>
      </w:r>
      <w:r>
        <w:rPr>
          <w:rFonts w:ascii="Times New Roman" w:hAnsi="Times New Roman" w:eastAsia="方正仿宋_GBK" w:cs="Times New Roman"/>
          <w:sz w:val="32"/>
          <w:szCs w:val="32"/>
        </w:rPr>
        <w:t>37334万元，同比增长0.96%</w:t>
      </w:r>
      <w:r>
        <w:rPr>
          <w:rFonts w:hint="eastAsia" w:ascii="Times New Roman" w:hAnsi="Times New Roman" w:eastAsia="方正仿宋_GBK" w:cs="Times New Roman"/>
          <w:sz w:val="32"/>
          <w:szCs w:val="32"/>
        </w:rPr>
        <w:t>，完成预算的</w:t>
      </w:r>
      <w:r>
        <w:rPr>
          <w:rFonts w:ascii="Times New Roman" w:hAnsi="Times New Roman" w:eastAsia="方正仿宋_GBK" w:cs="Times New Roman"/>
          <w:sz w:val="32"/>
          <w:szCs w:val="32"/>
        </w:rPr>
        <w:t>64.69</w:t>
      </w:r>
      <w:r>
        <w:rPr>
          <w:rFonts w:hint="eastAsia" w:ascii="Times New Roman" w:hAnsi="Times New Roman" w:eastAsia="方正仿宋_GBK" w:cs="Times New Roman"/>
          <w:sz w:val="32"/>
          <w:szCs w:val="32"/>
        </w:rPr>
        <w:t>%，未完成预算的主要原因是受疫情影响项目实施进度放缓。</w:t>
      </w:r>
      <w:r>
        <w:rPr>
          <w:rFonts w:ascii="Times New Roman" w:hAnsi="Times New Roman" w:eastAsia="方正仿宋_GBK" w:cs="Times New Roman"/>
          <w:sz w:val="32"/>
          <w:szCs w:val="32"/>
        </w:rPr>
        <w:t>主要用于：打好污染防治攻坚战</w:t>
      </w:r>
      <w:r>
        <w:rPr>
          <w:rFonts w:hint="eastAsia" w:ascii="Times New Roman" w:hAnsi="Times New Roman" w:eastAsia="方正仿宋_GBK" w:cs="Times New Roman"/>
          <w:sz w:val="32"/>
          <w:szCs w:val="32"/>
        </w:rPr>
        <w:t>，推动排污降碳</w:t>
      </w:r>
      <w:r>
        <w:rPr>
          <w:rFonts w:ascii="Times New Roman" w:hAnsi="Times New Roman" w:eastAsia="方正仿宋_GBK" w:cs="Times New Roman"/>
          <w:sz w:val="32"/>
          <w:szCs w:val="32"/>
        </w:rPr>
        <w:t>，支持我区生态文明建设</w:t>
      </w:r>
      <w:r>
        <w:rPr>
          <w:rFonts w:hint="eastAsia" w:ascii="Times New Roman" w:hAnsi="Times New Roman" w:eastAsia="方正仿宋_GBK" w:cs="Times New Roman"/>
          <w:sz w:val="32"/>
          <w:szCs w:val="32"/>
        </w:rPr>
        <w:t>。其中，</w:t>
      </w:r>
      <w:r>
        <w:rPr>
          <w:rFonts w:ascii="Times New Roman" w:hAnsi="Times New Roman" w:eastAsia="方正仿宋_GBK" w:cs="Times New Roman"/>
          <w:sz w:val="32"/>
          <w:szCs w:val="32"/>
        </w:rPr>
        <w:t>安排</w:t>
      </w:r>
      <w:r>
        <w:rPr>
          <w:rFonts w:hint="eastAsia" w:ascii="Times New Roman" w:hAnsi="Times New Roman" w:eastAsia="方正仿宋_GBK" w:cs="Times New Roman"/>
          <w:sz w:val="32"/>
          <w:szCs w:val="32"/>
        </w:rPr>
        <w:t>9268</w:t>
      </w:r>
      <w:r>
        <w:rPr>
          <w:rFonts w:ascii="Times New Roman" w:hAnsi="Times New Roman" w:eastAsia="方正仿宋_GBK" w:cs="Times New Roman"/>
          <w:sz w:val="32"/>
          <w:szCs w:val="32"/>
        </w:rPr>
        <w:t>万元，用于生活垃圾分类、垃圾收运及处置等</w:t>
      </w:r>
      <w:r>
        <w:rPr>
          <w:rFonts w:hint="eastAsia" w:ascii="Times New Roman" w:hAnsi="Times New Roman" w:eastAsia="方正仿宋_GBK" w:cs="Times New Roman"/>
          <w:sz w:val="32"/>
          <w:szCs w:val="32"/>
        </w:rPr>
        <w:t>；安排5489万元，用于治理城市黑臭水体、</w:t>
      </w:r>
      <w:r>
        <w:rPr>
          <w:rFonts w:ascii="Times New Roman" w:hAnsi="Times New Roman" w:eastAsia="方正仿宋_GBK" w:cs="Times New Roman"/>
          <w:sz w:val="32"/>
          <w:szCs w:val="32"/>
        </w:rPr>
        <w:t>生态补水设施运行维护</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安排</w:t>
      </w:r>
      <w:r>
        <w:rPr>
          <w:rFonts w:hint="eastAsia" w:ascii="Times New Roman" w:hAnsi="Times New Roman" w:eastAsia="方正仿宋_GBK" w:cs="Times New Roman"/>
          <w:sz w:val="32"/>
          <w:szCs w:val="32"/>
        </w:rPr>
        <w:t>946</w:t>
      </w:r>
      <w:r>
        <w:rPr>
          <w:rFonts w:ascii="Times New Roman" w:hAnsi="Times New Roman" w:eastAsia="方正仿宋_GBK" w:cs="Times New Roman"/>
          <w:bCs/>
          <w:sz w:val="32"/>
          <w:szCs w:val="32"/>
        </w:rPr>
        <w:t>万元</w:t>
      </w:r>
      <w:r>
        <w:rPr>
          <w:rFonts w:ascii="Times New Roman" w:hAnsi="Times New Roman" w:eastAsia="方正仿宋_GBK" w:cs="Times New Roman"/>
          <w:sz w:val="32"/>
          <w:szCs w:val="32"/>
        </w:rPr>
        <w:t>，用于</w:t>
      </w:r>
      <w:r>
        <w:rPr>
          <w:rFonts w:hint="eastAsia" w:ascii="Times New Roman" w:hAnsi="Times New Roman" w:eastAsia="方正仿宋_GBK" w:cs="Times New Roman"/>
          <w:sz w:val="32"/>
          <w:szCs w:val="32"/>
        </w:rPr>
        <w:t>空气质量检测、</w:t>
      </w:r>
      <w:r>
        <w:rPr>
          <w:rFonts w:ascii="Times New Roman" w:hAnsi="Times New Roman" w:eastAsia="方正仿宋_GBK" w:cs="Times New Roman"/>
          <w:sz w:val="32"/>
          <w:szCs w:val="32"/>
        </w:rPr>
        <w:t>蓝天保卫攻坚战</w:t>
      </w:r>
      <w:r>
        <w:rPr>
          <w:rFonts w:hint="eastAsia" w:ascii="Times New Roman" w:hAnsi="Times New Roman" w:eastAsia="方正仿宋_GBK" w:cs="Times New Roman"/>
          <w:sz w:val="32"/>
          <w:szCs w:val="32"/>
        </w:rPr>
        <w:t>等。</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——城乡社区事务</w:t>
      </w:r>
      <w:r>
        <w:rPr>
          <w:rFonts w:hint="eastAsia" w:ascii="Times New Roman" w:hAnsi="Times New Roman" w:eastAsia="方正仿宋_GBK" w:cs="Times New Roman"/>
          <w:sz w:val="32"/>
          <w:szCs w:val="32"/>
        </w:rPr>
        <w:t>支出</w:t>
      </w:r>
      <w:r>
        <w:rPr>
          <w:rFonts w:ascii="Times New Roman" w:hAnsi="Times New Roman" w:eastAsia="方正仿宋_GBK" w:cs="Times New Roman"/>
          <w:sz w:val="32"/>
          <w:szCs w:val="32"/>
        </w:rPr>
        <w:t>79844万元，同比增长58.98%</w:t>
      </w:r>
      <w:r>
        <w:rPr>
          <w:rFonts w:hint="eastAsia" w:ascii="Times New Roman" w:hAnsi="Times New Roman" w:eastAsia="方正仿宋_GBK" w:cs="Times New Roman"/>
          <w:sz w:val="32"/>
          <w:szCs w:val="32"/>
        </w:rPr>
        <w:t>，完成预算的</w:t>
      </w:r>
      <w:r>
        <w:rPr>
          <w:rFonts w:ascii="Times New Roman" w:hAnsi="Times New Roman" w:eastAsia="方正仿宋_GBK" w:cs="Times New Roman"/>
          <w:sz w:val="32"/>
          <w:szCs w:val="32"/>
        </w:rPr>
        <w:t>74.92</w:t>
      </w:r>
      <w:r>
        <w:rPr>
          <w:rFonts w:hint="eastAsia" w:ascii="Times New Roman" w:hAnsi="Times New Roman" w:eastAsia="方正仿宋_GBK" w:cs="Times New Roman"/>
          <w:sz w:val="32"/>
          <w:szCs w:val="32"/>
        </w:rPr>
        <w:t>%，增幅原因主要是市级专款增加和新增一般债券资金对基础设施建设投入，未完成预算的主要原因是受疫情影响项目实施进度放缓。主要用于：精准管护市政基础设施，提升城市品质等。其中，安排20745万元，用于城市基础设施、公园建设及维护；安排11293万元，用于镇街城市长效管理；安排2077万元，用于排水设施建设及管护；安排1453万元，用于城市生态环境改造项目建设。</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——农林水</w:t>
      </w:r>
      <w:r>
        <w:rPr>
          <w:rFonts w:hint="eastAsia" w:ascii="Times New Roman" w:hAnsi="Times New Roman" w:eastAsia="方正仿宋_GBK" w:cs="Times New Roman"/>
          <w:sz w:val="32"/>
          <w:szCs w:val="32"/>
        </w:rPr>
        <w:t>支出18954</w:t>
      </w:r>
      <w:r>
        <w:rPr>
          <w:rFonts w:ascii="Times New Roman" w:hAnsi="Times New Roman" w:eastAsia="方正仿宋_GBK" w:cs="Times New Roman"/>
          <w:sz w:val="32"/>
          <w:szCs w:val="32"/>
        </w:rPr>
        <w:t>万元，同比增长</w:t>
      </w:r>
      <w:r>
        <w:rPr>
          <w:rFonts w:hint="eastAsia" w:ascii="Times New Roman" w:hAnsi="Times New Roman" w:eastAsia="方正仿宋_GBK" w:cs="Times New Roman"/>
          <w:sz w:val="32"/>
          <w:szCs w:val="32"/>
        </w:rPr>
        <w:t>4.4</w:t>
      </w: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，完成预算的7</w:t>
      </w:r>
      <w:r>
        <w:rPr>
          <w:rFonts w:ascii="Times New Roman" w:hAnsi="Times New Roman" w:eastAsia="方正仿宋_GBK" w:cs="Times New Roman"/>
          <w:sz w:val="32"/>
          <w:szCs w:val="32"/>
        </w:rPr>
        <w:t>7.0</w:t>
      </w:r>
      <w:r>
        <w:rPr>
          <w:rFonts w:hint="eastAsia" w:ascii="Times New Roman" w:hAnsi="Times New Roman" w:eastAsia="方正仿宋_GBK" w:cs="Times New Roman"/>
          <w:sz w:val="32"/>
          <w:szCs w:val="32"/>
        </w:rPr>
        <w:t>3%，未完成预算的主要原因是受疫情影响项目实施进度放缓。</w:t>
      </w:r>
      <w:r>
        <w:rPr>
          <w:rFonts w:ascii="Times New Roman" w:hAnsi="Times New Roman" w:eastAsia="方正仿宋_GBK" w:cs="Times New Roman"/>
          <w:sz w:val="32"/>
          <w:szCs w:val="32"/>
        </w:rPr>
        <w:t>主要用于：</w:t>
      </w:r>
      <w:r>
        <w:rPr>
          <w:rFonts w:hint="eastAsia" w:ascii="Times New Roman" w:hAnsi="Times New Roman" w:eastAsia="方正仿宋_GBK" w:cs="Times New Roman"/>
          <w:sz w:val="32"/>
          <w:szCs w:val="32"/>
        </w:rPr>
        <w:t>乡村振兴、农村公益事业发展和人居环境整治、林业生态保护、水利发展与运行维护、惠农补贴等。其中，安排10765万元，用于乡村振兴、村级公益事业建设、扶持壮大村级集体经济、粮食安全和耕地地力保护，推进一二三产业融合发展；安排3677万元，用于林业生态保护、森林防火等；安排1641万元，用于提升管河效率、水体环境和水质标准，推动河清、库清、岸清；安排202万元，用于创业担保贷款贴息。</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——交通运输</w:t>
      </w:r>
      <w:r>
        <w:rPr>
          <w:rFonts w:hint="eastAsia" w:ascii="Times New Roman" w:hAnsi="Times New Roman" w:eastAsia="方正仿宋_GBK" w:cs="Times New Roman"/>
          <w:sz w:val="32"/>
          <w:szCs w:val="32"/>
        </w:rPr>
        <w:t>支出</w:t>
      </w:r>
      <w:r>
        <w:rPr>
          <w:rFonts w:ascii="Times New Roman" w:hAnsi="Times New Roman" w:eastAsia="方正仿宋_GBK" w:cs="Times New Roman"/>
          <w:sz w:val="32"/>
          <w:szCs w:val="32"/>
        </w:rPr>
        <w:t>5962万元，同</w:t>
      </w:r>
      <w:r>
        <w:rPr>
          <w:rFonts w:hint="eastAsia" w:ascii="Times New Roman" w:hAnsi="Times New Roman" w:eastAsia="方正仿宋_GBK" w:cs="Times New Roman"/>
          <w:sz w:val="32"/>
          <w:szCs w:val="32"/>
        </w:rPr>
        <w:t>比下降4</w:t>
      </w:r>
      <w:r>
        <w:rPr>
          <w:rFonts w:ascii="Times New Roman" w:hAnsi="Times New Roman" w:eastAsia="方正仿宋_GBK" w:cs="Times New Roman"/>
          <w:sz w:val="32"/>
          <w:szCs w:val="32"/>
        </w:rPr>
        <w:t>.53%</w:t>
      </w:r>
      <w:r>
        <w:rPr>
          <w:rFonts w:hint="eastAsia" w:ascii="Times New Roman" w:hAnsi="Times New Roman" w:eastAsia="方正仿宋_GBK" w:cs="Times New Roman"/>
          <w:sz w:val="32"/>
          <w:szCs w:val="32"/>
        </w:rPr>
        <w:t>，完成预算的</w:t>
      </w:r>
      <w:r>
        <w:rPr>
          <w:rFonts w:ascii="Times New Roman" w:hAnsi="Times New Roman" w:eastAsia="方正仿宋_GBK" w:cs="Times New Roman"/>
          <w:sz w:val="32"/>
          <w:szCs w:val="32"/>
        </w:rPr>
        <w:t>39.23</w:t>
      </w:r>
      <w:r>
        <w:rPr>
          <w:rFonts w:hint="eastAsia" w:ascii="Times New Roman" w:hAnsi="Times New Roman" w:eastAsia="方正仿宋_GBK" w:cs="Times New Roman"/>
          <w:sz w:val="32"/>
          <w:szCs w:val="32"/>
        </w:rPr>
        <w:t>%，未完成预算的主要原因是受疫情影响项目实施进度放缓。</w:t>
      </w:r>
      <w:r>
        <w:rPr>
          <w:rFonts w:ascii="Times New Roman" w:hAnsi="Times New Roman" w:eastAsia="方正仿宋_GBK" w:cs="Times New Roman"/>
          <w:sz w:val="32"/>
          <w:szCs w:val="32"/>
        </w:rPr>
        <w:t>主要用于：</w:t>
      </w:r>
      <w:r>
        <w:rPr>
          <w:rFonts w:hint="eastAsia" w:ascii="Times New Roman" w:hAnsi="Times New Roman" w:eastAsia="方正仿宋_GBK" w:cs="Times New Roman"/>
          <w:sz w:val="32"/>
          <w:szCs w:val="32"/>
        </w:rPr>
        <w:t>城乡道路建设及养护。其中，安排1273万元，用于陶跳路、县道701、田西路、冬九路改造；安排594万元，用于道路设施及附属设施管护。</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——资源勘探</w:t>
      </w:r>
      <w:r>
        <w:rPr>
          <w:rFonts w:hint="eastAsia" w:ascii="Times New Roman" w:hAnsi="Times New Roman" w:eastAsia="方正仿宋_GBK" w:cs="Times New Roman"/>
          <w:sz w:val="32"/>
          <w:szCs w:val="32"/>
        </w:rPr>
        <w:t>工业</w:t>
      </w:r>
      <w:r>
        <w:rPr>
          <w:rFonts w:ascii="Times New Roman" w:hAnsi="Times New Roman" w:eastAsia="方正仿宋_GBK" w:cs="Times New Roman"/>
          <w:sz w:val="32"/>
          <w:szCs w:val="32"/>
        </w:rPr>
        <w:t>信息等</w:t>
      </w:r>
      <w:r>
        <w:rPr>
          <w:rFonts w:hint="eastAsia" w:ascii="Times New Roman" w:hAnsi="Times New Roman" w:eastAsia="方正仿宋_GBK" w:cs="Times New Roman"/>
          <w:sz w:val="32"/>
          <w:szCs w:val="32"/>
        </w:rPr>
        <w:t>支出361</w:t>
      </w:r>
      <w:r>
        <w:rPr>
          <w:rFonts w:ascii="Times New Roman" w:hAnsi="Times New Roman" w:eastAsia="方正仿宋_GBK" w:cs="Times New Roman"/>
          <w:sz w:val="32"/>
          <w:szCs w:val="32"/>
        </w:rPr>
        <w:t>3万元，同比</w:t>
      </w:r>
      <w:r>
        <w:rPr>
          <w:rFonts w:hint="eastAsia" w:ascii="Times New Roman" w:hAnsi="Times New Roman" w:eastAsia="方正仿宋_GBK" w:cs="Times New Roman"/>
          <w:sz w:val="32"/>
          <w:szCs w:val="32"/>
        </w:rPr>
        <w:t>下降69.</w:t>
      </w:r>
      <w:r>
        <w:rPr>
          <w:rFonts w:ascii="Times New Roman" w:hAnsi="Times New Roman" w:eastAsia="方正仿宋_GBK" w:cs="Times New Roman"/>
          <w:sz w:val="32"/>
          <w:szCs w:val="32"/>
        </w:rPr>
        <w:t>58%</w:t>
      </w:r>
      <w:r>
        <w:rPr>
          <w:rFonts w:hint="eastAsia" w:ascii="Times New Roman" w:hAnsi="Times New Roman" w:eastAsia="方正仿宋_GBK" w:cs="Times New Roman"/>
          <w:sz w:val="32"/>
          <w:szCs w:val="32"/>
        </w:rPr>
        <w:t>，降幅原因主要是市级专款减少。</w:t>
      </w:r>
      <w:r>
        <w:rPr>
          <w:rFonts w:ascii="Times New Roman" w:hAnsi="Times New Roman" w:eastAsia="方正仿宋_GBK" w:cs="Times New Roman"/>
          <w:sz w:val="32"/>
          <w:szCs w:val="32"/>
        </w:rPr>
        <w:t>主要用于</w:t>
      </w:r>
      <w:r>
        <w:rPr>
          <w:rFonts w:hint="eastAsia" w:ascii="Times New Roman" w:hAnsi="Times New Roman" w:eastAsia="方正仿宋_GBK" w:cs="Times New Roman"/>
          <w:sz w:val="32"/>
          <w:szCs w:val="32"/>
        </w:rPr>
        <w:t>：支持产业基础再造和制造业高质量发展、规模以上工业企业稳增长、民营企业成长发展等。其中，安排886万元，落实工业和信息化、中小微企业发展、大数据应用发展、汽车摩托车制造业促销稳产等重大专项政策；安排572万元，支持重点工业企业应对疫情平稳运行、公共服务示范平台建设等。</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——商业服务业等</w:t>
      </w:r>
      <w:r>
        <w:rPr>
          <w:rFonts w:hint="eastAsia" w:ascii="Times New Roman" w:hAnsi="Times New Roman" w:eastAsia="方正仿宋_GBK" w:cs="Times New Roman"/>
          <w:sz w:val="32"/>
          <w:szCs w:val="32"/>
        </w:rPr>
        <w:t>支出</w:t>
      </w:r>
      <w:r>
        <w:rPr>
          <w:rFonts w:ascii="Times New Roman" w:hAnsi="Times New Roman" w:eastAsia="方正仿宋_GBK" w:cs="Times New Roman"/>
          <w:sz w:val="32"/>
          <w:szCs w:val="32"/>
        </w:rPr>
        <w:t>3119万元，同比</w:t>
      </w:r>
      <w:r>
        <w:rPr>
          <w:rFonts w:hint="eastAsia" w:ascii="Times New Roman" w:hAnsi="Times New Roman" w:eastAsia="方正仿宋_GBK" w:cs="Times New Roman"/>
          <w:sz w:val="32"/>
          <w:szCs w:val="32"/>
        </w:rPr>
        <w:t>下降</w:t>
      </w:r>
      <w:r>
        <w:rPr>
          <w:rFonts w:ascii="Times New Roman" w:hAnsi="Times New Roman" w:eastAsia="方正仿宋_GBK" w:cs="Times New Roman"/>
          <w:sz w:val="32"/>
          <w:szCs w:val="32"/>
        </w:rPr>
        <w:t>11.79%</w:t>
      </w:r>
      <w:r>
        <w:rPr>
          <w:rFonts w:hint="eastAsia" w:ascii="Times New Roman" w:hAnsi="Times New Roman" w:eastAsia="方正仿宋_GBK" w:cs="Times New Roman"/>
          <w:sz w:val="32"/>
          <w:szCs w:val="32"/>
        </w:rPr>
        <w:t>，完成预算的</w:t>
      </w:r>
      <w:r>
        <w:rPr>
          <w:rFonts w:ascii="Times New Roman" w:hAnsi="Times New Roman" w:eastAsia="方正仿宋_GBK" w:cs="Times New Roman"/>
          <w:sz w:val="32"/>
          <w:szCs w:val="32"/>
        </w:rPr>
        <w:t>65.69</w:t>
      </w:r>
      <w:r>
        <w:rPr>
          <w:rFonts w:hint="eastAsia" w:ascii="Times New Roman" w:hAnsi="Times New Roman" w:eastAsia="方正仿宋_GBK" w:cs="Times New Roman"/>
          <w:sz w:val="32"/>
          <w:szCs w:val="32"/>
        </w:rPr>
        <w:t>%，降幅及未完成预算的主要原因是受疫情影响，商务商业项目实施放缓。</w:t>
      </w:r>
      <w:r>
        <w:rPr>
          <w:rFonts w:ascii="Times New Roman" w:hAnsi="Times New Roman" w:eastAsia="方正仿宋_GBK" w:cs="Times New Roman"/>
          <w:sz w:val="32"/>
          <w:szCs w:val="32"/>
        </w:rPr>
        <w:t>主要用于：</w:t>
      </w:r>
      <w:r>
        <w:rPr>
          <w:rFonts w:hint="eastAsia" w:ascii="Times New Roman" w:hAnsi="Times New Roman" w:eastAsia="方正仿宋_GBK" w:cs="Times New Roman"/>
          <w:sz w:val="32"/>
          <w:szCs w:val="32"/>
        </w:rPr>
        <w:t>促进构建开放型经济体系，支持全区中小企业国际市场开拓和内贸稳定发展，应对疫情稳产保供、商贸促销。其中，安排866万元，落实国际市场开拓、国际服务贸易、加工贸易等项目补助和小微企业出口信用保险补贴等专项政策；安排788万元，支持服务业企业、限上商贸企业稳增长，开展汽车促销、“国际消费季</w:t>
      </w:r>
      <w:r>
        <w:rPr>
          <w:rFonts w:hint="cs" w:ascii="Times New Roman" w:hAnsi="Times New Roman" w:eastAsia="方正仿宋_GBK" w:cs="Times New Roman"/>
          <w:sz w:val="32"/>
          <w:szCs w:val="32"/>
        </w:rPr>
        <w:t>•</w:t>
      </w:r>
      <w:r>
        <w:rPr>
          <w:rFonts w:hint="eastAsia" w:ascii="Times New Roman" w:hAnsi="Times New Roman" w:eastAsia="方正仿宋_GBK" w:cs="方正仿宋_GBK"/>
          <w:sz w:val="32"/>
          <w:szCs w:val="32"/>
        </w:rPr>
        <w:t>品质生活节”等活动，激发消费潜力，促进消费持续恢复</w:t>
      </w:r>
      <w:r>
        <w:rPr>
          <w:rFonts w:hint="eastAsia" w:ascii="Times New Roman" w:hAnsi="Times New Roman" w:eastAsia="方正仿宋_GBK" w:cs="Times New Roman"/>
          <w:sz w:val="32"/>
          <w:szCs w:val="32"/>
        </w:rPr>
        <w:t>。</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——住房保障</w:t>
      </w:r>
      <w:r>
        <w:rPr>
          <w:rFonts w:hint="eastAsia" w:ascii="Times New Roman" w:hAnsi="Times New Roman" w:eastAsia="方正仿宋_GBK" w:cs="Times New Roman"/>
          <w:sz w:val="32"/>
          <w:szCs w:val="32"/>
        </w:rPr>
        <w:t>支出</w:t>
      </w:r>
      <w:r>
        <w:rPr>
          <w:rFonts w:ascii="Times New Roman" w:hAnsi="Times New Roman" w:eastAsia="方正仿宋_GBK" w:cs="Times New Roman"/>
          <w:sz w:val="32"/>
          <w:szCs w:val="32"/>
        </w:rPr>
        <w:t>38660万元，同比增长27.31%</w:t>
      </w:r>
      <w:r>
        <w:rPr>
          <w:rFonts w:hint="eastAsia" w:ascii="Times New Roman" w:hAnsi="Times New Roman" w:eastAsia="方正仿宋_GBK" w:cs="Times New Roman"/>
          <w:sz w:val="32"/>
          <w:szCs w:val="32"/>
        </w:rPr>
        <w:t>，完成预算的</w:t>
      </w:r>
      <w:r>
        <w:rPr>
          <w:rFonts w:ascii="Times New Roman" w:hAnsi="Times New Roman" w:eastAsia="方正仿宋_GBK" w:cs="Times New Roman"/>
          <w:sz w:val="32"/>
          <w:szCs w:val="32"/>
        </w:rPr>
        <w:t>68.94</w:t>
      </w:r>
      <w:r>
        <w:rPr>
          <w:rFonts w:hint="eastAsia" w:ascii="Times New Roman" w:hAnsi="Times New Roman" w:eastAsia="方正仿宋_GBK" w:cs="Times New Roman"/>
          <w:sz w:val="32"/>
          <w:szCs w:val="32"/>
        </w:rPr>
        <w:t>%，增幅原因主要是上级专款增加，未完成预算的主要原因是受疫情影响项目实施进度放缓。</w:t>
      </w:r>
      <w:r>
        <w:rPr>
          <w:rFonts w:ascii="Times New Roman" w:hAnsi="Times New Roman" w:eastAsia="方正仿宋_GBK" w:cs="Times New Roman"/>
          <w:sz w:val="32"/>
          <w:szCs w:val="32"/>
        </w:rPr>
        <w:t>主要用于：</w:t>
      </w:r>
      <w:r>
        <w:rPr>
          <w:rFonts w:hint="eastAsia" w:ascii="Times New Roman" w:hAnsi="Times New Roman" w:eastAsia="方正仿宋_GBK" w:cs="Times New Roman"/>
          <w:sz w:val="32"/>
          <w:szCs w:val="32"/>
        </w:rPr>
        <w:t>老旧小区改造，</w:t>
      </w:r>
      <w:r>
        <w:rPr>
          <w:rFonts w:ascii="Times New Roman" w:hAnsi="Times New Roman" w:eastAsia="方正仿宋_GBK" w:cs="Times New Roman"/>
          <w:sz w:val="32"/>
          <w:szCs w:val="32"/>
        </w:rPr>
        <w:t>城镇保障性安居工程建设，公（廉）租房日常维护，机关事业单位人员住房保障等。其中，安排</w:t>
      </w:r>
      <w:r>
        <w:rPr>
          <w:rFonts w:hint="eastAsia" w:ascii="Times New Roman" w:hAnsi="Times New Roman" w:eastAsia="方正仿宋_GBK" w:cs="Times New Roman"/>
          <w:sz w:val="32"/>
          <w:szCs w:val="32"/>
        </w:rPr>
        <w:t>4522</w:t>
      </w:r>
      <w:r>
        <w:rPr>
          <w:rFonts w:ascii="Times New Roman" w:hAnsi="Times New Roman" w:eastAsia="方正仿宋_GBK" w:cs="Times New Roman"/>
          <w:sz w:val="32"/>
          <w:szCs w:val="32"/>
        </w:rPr>
        <w:t>万元，用于C、D级危房排危改造；</w:t>
      </w:r>
      <w:r>
        <w:rPr>
          <w:rFonts w:hint="eastAsia" w:ascii="Times New Roman" w:hAnsi="Times New Roman" w:eastAsia="方正仿宋_GBK" w:cs="Times New Roman"/>
          <w:sz w:val="32"/>
          <w:szCs w:val="32"/>
        </w:rPr>
        <w:t>安排2384万元，用于“三无”小区消防设施改造和老旧小区改造提升；安排2283万元，用于财政支持租赁市场发展；</w:t>
      </w:r>
      <w:r>
        <w:rPr>
          <w:rFonts w:ascii="Times New Roman" w:hAnsi="Times New Roman" w:eastAsia="方正仿宋_GBK" w:cs="Times New Roman"/>
          <w:sz w:val="32"/>
          <w:szCs w:val="32"/>
        </w:rPr>
        <w:t>安排</w:t>
      </w:r>
      <w:r>
        <w:rPr>
          <w:rFonts w:hint="eastAsia" w:ascii="Times New Roman" w:hAnsi="Times New Roman" w:eastAsia="方正仿宋_GBK" w:cs="Times New Roman"/>
          <w:sz w:val="32"/>
          <w:szCs w:val="32"/>
        </w:rPr>
        <w:t>386</w:t>
      </w:r>
      <w:r>
        <w:rPr>
          <w:rFonts w:ascii="Times New Roman" w:hAnsi="Times New Roman" w:eastAsia="方正仿宋_GBK" w:cs="Times New Roman"/>
          <w:sz w:val="32"/>
          <w:szCs w:val="32"/>
        </w:rPr>
        <w:t>万元，用于廉租房、公租房、人才公寓管理。</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——灾害防治及应急管理</w:t>
      </w:r>
      <w:r>
        <w:rPr>
          <w:rFonts w:hint="eastAsia" w:ascii="Times New Roman" w:hAnsi="Times New Roman" w:eastAsia="方正仿宋_GBK" w:cs="Times New Roman"/>
          <w:sz w:val="32"/>
          <w:szCs w:val="32"/>
        </w:rPr>
        <w:t>支出</w:t>
      </w:r>
      <w:r>
        <w:rPr>
          <w:rFonts w:ascii="Times New Roman" w:hAnsi="Times New Roman" w:eastAsia="方正仿宋_GBK" w:cs="Times New Roman"/>
          <w:sz w:val="32"/>
          <w:szCs w:val="32"/>
        </w:rPr>
        <w:t>8793万元，同比</w:t>
      </w:r>
      <w:r>
        <w:rPr>
          <w:rFonts w:hint="eastAsia" w:ascii="Times New Roman" w:hAnsi="Times New Roman" w:eastAsia="方正仿宋_GBK" w:cs="Times New Roman"/>
          <w:sz w:val="32"/>
          <w:szCs w:val="32"/>
        </w:rPr>
        <w:t>下降1</w:t>
      </w:r>
      <w:r>
        <w:rPr>
          <w:rFonts w:ascii="Times New Roman" w:hAnsi="Times New Roman" w:eastAsia="方正仿宋_GBK" w:cs="Times New Roman"/>
          <w:sz w:val="32"/>
          <w:szCs w:val="32"/>
        </w:rPr>
        <w:t>.47%</w:t>
      </w:r>
      <w:r>
        <w:rPr>
          <w:rFonts w:hint="eastAsia" w:ascii="Times New Roman" w:hAnsi="Times New Roman" w:eastAsia="方正仿宋_GBK" w:cs="Times New Roman"/>
          <w:sz w:val="32"/>
          <w:szCs w:val="32"/>
        </w:rPr>
        <w:t>。主要用于：安全宣传、安全生产、安全执法和应急救援力量建设</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保障应急</w:t>
      </w:r>
      <w:r>
        <w:rPr>
          <w:rFonts w:ascii="Times New Roman" w:hAnsi="Times New Roman" w:eastAsia="方正仿宋_GBK" w:cs="Times New Roman"/>
          <w:sz w:val="32"/>
          <w:szCs w:val="32"/>
        </w:rPr>
        <w:t>物资仓库</w:t>
      </w:r>
      <w:r>
        <w:rPr>
          <w:rFonts w:hint="eastAsia" w:ascii="Times New Roman" w:hAnsi="Times New Roman" w:eastAsia="方正仿宋_GBK" w:cs="Times New Roman"/>
          <w:sz w:val="32"/>
          <w:szCs w:val="32"/>
        </w:rPr>
        <w:t>和防汛</w:t>
      </w:r>
      <w:r>
        <w:rPr>
          <w:rFonts w:ascii="Times New Roman" w:hAnsi="Times New Roman" w:eastAsia="方正仿宋_GBK" w:cs="Times New Roman"/>
          <w:sz w:val="32"/>
          <w:szCs w:val="32"/>
        </w:rPr>
        <w:t>抗旱指挥部</w:t>
      </w:r>
      <w:r>
        <w:rPr>
          <w:rFonts w:hint="eastAsia" w:ascii="Times New Roman" w:hAnsi="Times New Roman" w:eastAsia="方正仿宋_GBK" w:cs="Times New Roman"/>
          <w:sz w:val="32"/>
          <w:szCs w:val="32"/>
        </w:rPr>
        <w:t>建设，保障消防部门运转，聘请政府专职消防员和防火装备购置等。其中，安排5522万元，用于保障区消防救援支队日常演练、消防物资购置、消防员工资等正常运转经费；安排691万元，用于应急救援力量建设。</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公共安全支出8</w:t>
      </w:r>
      <w:r>
        <w:rPr>
          <w:rFonts w:ascii="Times New Roman" w:hAnsi="Times New Roman" w:eastAsia="方正仿宋_GBK" w:cs="Times New Roman"/>
          <w:sz w:val="32"/>
          <w:szCs w:val="32"/>
        </w:rPr>
        <w:t>0460</w:t>
      </w:r>
      <w:r>
        <w:rPr>
          <w:rFonts w:hint="eastAsia" w:ascii="Times New Roman" w:hAnsi="Times New Roman" w:eastAsia="方正仿宋_GBK" w:cs="Times New Roman"/>
          <w:sz w:val="32"/>
          <w:szCs w:val="32"/>
        </w:rPr>
        <w:t>万元，同比下降</w:t>
      </w:r>
      <w:r>
        <w:rPr>
          <w:rFonts w:ascii="Times New Roman" w:hAnsi="Times New Roman" w:eastAsia="方正仿宋_GBK" w:cs="Times New Roman"/>
          <w:sz w:val="32"/>
          <w:szCs w:val="32"/>
        </w:rPr>
        <w:t>4.81</w:t>
      </w:r>
      <w:r>
        <w:rPr>
          <w:rFonts w:hint="eastAsia" w:ascii="Times New Roman" w:hAnsi="Times New Roman" w:eastAsia="方正仿宋_GBK" w:cs="Times New Roman"/>
          <w:sz w:val="32"/>
          <w:szCs w:val="32"/>
        </w:rPr>
        <w:t>%，完成预算的9</w:t>
      </w:r>
      <w:r>
        <w:rPr>
          <w:rFonts w:ascii="Times New Roman" w:hAnsi="Times New Roman" w:eastAsia="方正仿宋_GBK" w:cs="Times New Roman"/>
          <w:sz w:val="32"/>
          <w:szCs w:val="32"/>
        </w:rPr>
        <w:t>3.47</w:t>
      </w:r>
      <w:r>
        <w:rPr>
          <w:rFonts w:hint="eastAsia" w:ascii="Times New Roman" w:hAnsi="Times New Roman" w:eastAsia="方正仿宋_GBK" w:cs="Times New Roman"/>
          <w:sz w:val="32"/>
          <w:szCs w:val="32"/>
        </w:rPr>
        <w:t>%。主要用于：维护社会公共安全，政法机关运转，平安综合治理，公共法律服务体系建设等。其中，安排14000万元，保障常态化扫黑除恶、执法办案、监所、装备和警力配备等；安排2184万元，用于人民调解、法律援助、司法救助和社区矫正、平安建设、行政复议、普法宣传等；安排1968万元，支持“一标三实”基础信息采集、雪亮工程、应指工程和大数据建设。</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一般公共服务支出</w:t>
      </w:r>
      <w:r>
        <w:rPr>
          <w:rFonts w:ascii="Times New Roman" w:hAnsi="Times New Roman" w:eastAsia="方正仿宋_GBK" w:cs="Times New Roman"/>
          <w:sz w:val="32"/>
          <w:szCs w:val="32"/>
        </w:rPr>
        <w:t>67226</w:t>
      </w:r>
      <w:r>
        <w:rPr>
          <w:rFonts w:hint="eastAsia" w:ascii="Times New Roman" w:hAnsi="Times New Roman" w:eastAsia="方正仿宋_GBK" w:cs="Times New Roman"/>
          <w:sz w:val="32"/>
          <w:szCs w:val="32"/>
        </w:rPr>
        <w:t>万元，同比下降5</w:t>
      </w:r>
      <w:r>
        <w:rPr>
          <w:rFonts w:ascii="Times New Roman" w:hAnsi="Times New Roman" w:eastAsia="方正仿宋_GBK" w:cs="Times New Roman"/>
          <w:sz w:val="32"/>
          <w:szCs w:val="32"/>
        </w:rPr>
        <w:t>.08</w:t>
      </w:r>
      <w:r>
        <w:rPr>
          <w:rFonts w:hint="eastAsia" w:ascii="Times New Roman" w:hAnsi="Times New Roman" w:eastAsia="方正仿宋_GBK" w:cs="Times New Roman"/>
          <w:sz w:val="32"/>
          <w:szCs w:val="32"/>
        </w:rPr>
        <w:t>%，完成预算的9</w:t>
      </w:r>
      <w:r>
        <w:rPr>
          <w:rFonts w:ascii="Times New Roman" w:hAnsi="Times New Roman" w:eastAsia="方正仿宋_GBK" w:cs="Times New Roman"/>
          <w:sz w:val="32"/>
          <w:szCs w:val="32"/>
        </w:rPr>
        <w:t>5.46</w:t>
      </w:r>
      <w:r>
        <w:rPr>
          <w:rFonts w:hint="eastAsia" w:ascii="Times New Roman" w:hAnsi="Times New Roman" w:eastAsia="方正仿宋_GBK" w:cs="Times New Roman"/>
          <w:sz w:val="32"/>
          <w:szCs w:val="32"/>
        </w:rPr>
        <w:t>%。主要用于：保障党政机关、人大、政协和民主党派、人民团体履职，政府信息化建设。其中，安排135万元，支持基层网络社会治理；安排110万元，支持区重点寺观、重点教堂保护修缮。</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债务付息支出2803</w:t>
      </w: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万元。主要用于：地方政府一般债券付息。</w:t>
      </w:r>
    </w:p>
    <w:p>
      <w:pPr>
        <w:adjustRightInd w:val="0"/>
        <w:snapToGrid w:val="0"/>
        <w:spacing w:line="594"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）政府性基金预算执行情况</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政府性基金预算区级收入0万元，上级补助收入</w:t>
      </w:r>
      <w:r>
        <w:rPr>
          <w:rFonts w:ascii="Times New Roman" w:hAnsi="Times New Roman" w:eastAsia="方正仿宋_GBK" w:cs="Times New Roman"/>
          <w:sz w:val="32"/>
          <w:szCs w:val="32"/>
        </w:rPr>
        <w:t>1014897</w:t>
      </w:r>
      <w:r>
        <w:rPr>
          <w:rFonts w:hint="eastAsia" w:ascii="Times New Roman" w:hAnsi="Times New Roman" w:eastAsia="方正仿宋_GBK" w:cs="Times New Roman"/>
          <w:sz w:val="32"/>
          <w:szCs w:val="32"/>
        </w:rPr>
        <w:t>万元、地方政府专项债务转贷收入</w:t>
      </w:r>
      <w:r>
        <w:rPr>
          <w:rFonts w:ascii="Times New Roman" w:hAnsi="Times New Roman" w:eastAsia="方正仿宋_GBK" w:cs="Times New Roman"/>
          <w:sz w:val="32"/>
          <w:szCs w:val="32"/>
        </w:rPr>
        <w:t>511500</w:t>
      </w:r>
      <w:r>
        <w:rPr>
          <w:rFonts w:hint="eastAsia" w:ascii="Times New Roman" w:hAnsi="Times New Roman" w:eastAsia="方正仿宋_GBK" w:cs="Times New Roman"/>
          <w:sz w:val="32"/>
          <w:szCs w:val="32"/>
        </w:rPr>
        <w:t>万元、上年结转收入</w:t>
      </w:r>
      <w:r>
        <w:rPr>
          <w:rFonts w:ascii="Times New Roman" w:hAnsi="Times New Roman" w:eastAsia="方正仿宋_GBK" w:cs="Times New Roman"/>
          <w:sz w:val="32"/>
          <w:szCs w:val="32"/>
        </w:rPr>
        <w:t>65837</w:t>
      </w:r>
      <w:r>
        <w:rPr>
          <w:rFonts w:hint="eastAsia" w:ascii="Times New Roman" w:hAnsi="Times New Roman" w:eastAsia="方正仿宋_GBK" w:cs="Times New Roman"/>
          <w:sz w:val="32"/>
          <w:szCs w:val="32"/>
        </w:rPr>
        <w:t>万元，收入总计</w:t>
      </w:r>
      <w:r>
        <w:rPr>
          <w:rFonts w:ascii="Times New Roman" w:hAnsi="Times New Roman" w:eastAsia="方正仿宋_GBK" w:cs="Times New Roman"/>
          <w:sz w:val="32"/>
          <w:szCs w:val="32"/>
        </w:rPr>
        <w:t>1592234</w:t>
      </w:r>
      <w:r>
        <w:rPr>
          <w:rFonts w:hint="eastAsia" w:ascii="Times New Roman" w:hAnsi="Times New Roman" w:eastAsia="方正仿宋_GBK" w:cs="Times New Roman"/>
          <w:sz w:val="32"/>
          <w:szCs w:val="32"/>
        </w:rPr>
        <w:t>万元。政府性基金预算区级支出1</w:t>
      </w:r>
      <w:r>
        <w:rPr>
          <w:rFonts w:ascii="Times New Roman" w:hAnsi="Times New Roman" w:eastAsia="方正仿宋_GBK" w:cs="Times New Roman"/>
          <w:sz w:val="32"/>
          <w:szCs w:val="32"/>
        </w:rPr>
        <w:t>081967</w:t>
      </w:r>
      <w:r>
        <w:rPr>
          <w:rFonts w:hint="eastAsia" w:ascii="Times New Roman" w:hAnsi="Times New Roman" w:eastAsia="方正仿宋_GBK" w:cs="Times New Roman"/>
          <w:sz w:val="32"/>
          <w:szCs w:val="32"/>
        </w:rPr>
        <w:t>万元，加上地方政府专项债务还本支出</w:t>
      </w:r>
      <w:r>
        <w:rPr>
          <w:rFonts w:ascii="Times New Roman" w:hAnsi="Times New Roman" w:eastAsia="方正仿宋_GBK" w:cs="Times New Roman"/>
          <w:sz w:val="32"/>
          <w:szCs w:val="32"/>
        </w:rPr>
        <w:t>181500</w:t>
      </w:r>
      <w:r>
        <w:rPr>
          <w:rFonts w:hint="eastAsia" w:ascii="Times New Roman" w:hAnsi="Times New Roman" w:eastAsia="方正仿宋_GBK" w:cs="Times New Roman"/>
          <w:sz w:val="32"/>
          <w:szCs w:val="32"/>
        </w:rPr>
        <w:t>万元、上解支出</w:t>
      </w:r>
      <w:r>
        <w:rPr>
          <w:rFonts w:ascii="Times New Roman" w:hAnsi="Times New Roman" w:eastAsia="方正仿宋_GBK" w:cs="Times New Roman"/>
          <w:sz w:val="32"/>
          <w:szCs w:val="32"/>
        </w:rPr>
        <w:t>538</w:t>
      </w:r>
      <w:r>
        <w:rPr>
          <w:rFonts w:hint="eastAsia" w:ascii="Times New Roman" w:hAnsi="Times New Roman" w:eastAsia="方正仿宋_GBK" w:cs="Times New Roman"/>
          <w:sz w:val="32"/>
          <w:szCs w:val="32"/>
        </w:rPr>
        <w:t>万元、调出资金</w:t>
      </w:r>
      <w:r>
        <w:rPr>
          <w:rFonts w:ascii="Times New Roman" w:hAnsi="Times New Roman" w:eastAsia="方正仿宋_GBK" w:cs="Times New Roman"/>
          <w:sz w:val="32"/>
          <w:szCs w:val="32"/>
        </w:rPr>
        <w:t>189391</w:t>
      </w:r>
      <w:r>
        <w:rPr>
          <w:rFonts w:hint="eastAsia" w:ascii="Times New Roman" w:hAnsi="Times New Roman" w:eastAsia="方正仿宋_GBK" w:cs="Times New Roman"/>
          <w:sz w:val="32"/>
          <w:szCs w:val="32"/>
        </w:rPr>
        <w:t>万元、结转下年</w:t>
      </w:r>
      <w:r>
        <w:rPr>
          <w:rFonts w:ascii="Times New Roman" w:hAnsi="Times New Roman" w:eastAsia="方正仿宋_GBK" w:cs="Times New Roman"/>
          <w:sz w:val="32"/>
          <w:szCs w:val="32"/>
        </w:rPr>
        <w:t>138838</w:t>
      </w:r>
      <w:r>
        <w:rPr>
          <w:rFonts w:hint="eastAsia" w:ascii="Times New Roman" w:hAnsi="Times New Roman" w:eastAsia="方正仿宋_GBK" w:cs="Times New Roman"/>
          <w:sz w:val="32"/>
          <w:szCs w:val="32"/>
        </w:rPr>
        <w:t>万元，支出总计</w:t>
      </w:r>
      <w:r>
        <w:rPr>
          <w:rFonts w:ascii="Times New Roman" w:hAnsi="Times New Roman" w:eastAsia="方正仿宋_GBK" w:cs="Times New Roman"/>
          <w:sz w:val="32"/>
          <w:szCs w:val="32"/>
        </w:rPr>
        <w:t>1592234</w:t>
      </w:r>
      <w:r>
        <w:rPr>
          <w:rFonts w:hint="eastAsia" w:ascii="Times New Roman" w:hAnsi="Times New Roman" w:eastAsia="方正仿宋_GBK" w:cs="Times New Roman"/>
          <w:sz w:val="32"/>
          <w:szCs w:val="32"/>
        </w:rPr>
        <w:t>万元。其中，区级支出1</w:t>
      </w:r>
      <w:r>
        <w:rPr>
          <w:rFonts w:ascii="Times New Roman" w:hAnsi="Times New Roman" w:eastAsia="方正仿宋_GBK" w:cs="Times New Roman"/>
          <w:sz w:val="32"/>
          <w:szCs w:val="32"/>
        </w:rPr>
        <w:t>081967</w:t>
      </w:r>
      <w:r>
        <w:rPr>
          <w:rFonts w:hint="eastAsia" w:ascii="Times New Roman" w:hAnsi="Times New Roman" w:eastAsia="方正仿宋_GBK" w:cs="Times New Roman"/>
          <w:sz w:val="32"/>
          <w:szCs w:val="32"/>
        </w:rPr>
        <w:t>万元主要用于以下方面：</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——城乡社区支出702885万元，同比增长20.37%</w:t>
      </w:r>
      <w:r>
        <w:rPr>
          <w:rFonts w:hint="eastAsia" w:ascii="Times New Roman" w:hAnsi="Times New Roman" w:eastAsia="方正仿宋_GBK" w:cs="Times New Roman"/>
          <w:sz w:val="32"/>
          <w:szCs w:val="32"/>
        </w:rPr>
        <w:t>，完成预算的</w:t>
      </w:r>
      <w:r>
        <w:rPr>
          <w:rFonts w:ascii="Times New Roman" w:hAnsi="Times New Roman" w:eastAsia="方正仿宋_GBK" w:cs="Times New Roman"/>
          <w:sz w:val="32"/>
          <w:szCs w:val="32"/>
        </w:rPr>
        <w:t>85.8</w:t>
      </w:r>
      <w:r>
        <w:rPr>
          <w:rFonts w:hint="eastAsia" w:ascii="Times New Roman" w:hAnsi="Times New Roman" w:eastAsia="方正仿宋_GBK" w:cs="Times New Roman"/>
          <w:sz w:val="32"/>
          <w:szCs w:val="32"/>
        </w:rPr>
        <w:t>%，增幅原因主要是土地收入增加。</w:t>
      </w:r>
      <w:r>
        <w:rPr>
          <w:rFonts w:ascii="Times New Roman" w:hAnsi="Times New Roman" w:eastAsia="方正仿宋_GBK" w:cs="Times New Roman"/>
          <w:sz w:val="32"/>
          <w:szCs w:val="32"/>
        </w:rPr>
        <w:t>主要用于：</w:t>
      </w:r>
      <w:r>
        <w:rPr>
          <w:rFonts w:hint="eastAsia" w:ascii="Times New Roman" w:hAnsi="Times New Roman" w:eastAsia="方正仿宋_GBK" w:cs="Times New Roman"/>
          <w:sz w:val="32"/>
          <w:szCs w:val="32"/>
        </w:rPr>
        <w:t>改善城市基础设施建设，有序开展土地整治和储备。其中：安排105100万元，支付政府购买服务资金；安排42765万元，用于全区城市更新项目建设、科学城大道征拆、科学城谢家湾校区建设。</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债务付息支出60100万元。主要用于：地方政府专项债券付息。</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——其他支出318687万元</w:t>
      </w:r>
      <w:r>
        <w:rPr>
          <w:rFonts w:hint="eastAsia" w:ascii="Times New Roman" w:hAnsi="Times New Roman" w:eastAsia="方正仿宋_GBK" w:cs="Times New Roman"/>
          <w:sz w:val="32"/>
          <w:szCs w:val="32"/>
        </w:rPr>
        <w:t>，主要是地方政府专项债券、体彩公益金、福彩公益金相关支出。其中，安排126900万元，用于白市驿隧道、渝昆高铁、江泸北线高速建设；安排72000万元，用于城市更新暨老旧小区改造；安排45877万元，用于成渝地区双城经济圈新型城镇化及基础设施提档升级；安排37600万元，用于长江文化艺术湾区九龙半岛美术产业园；安排10386万元，用于污水处理与水环境整治工程。</w:t>
      </w:r>
      <w:r>
        <w:rPr>
          <w:rFonts w:ascii="Times New Roman" w:hAnsi="Times New Roman" w:eastAsia="方正仿宋_GBK" w:cs="Times New Roman"/>
          <w:sz w:val="32"/>
          <w:szCs w:val="32"/>
        </w:rPr>
        <w:t>安排福彩公益金</w:t>
      </w:r>
      <w:r>
        <w:rPr>
          <w:rFonts w:hint="eastAsia" w:ascii="Times New Roman" w:hAnsi="Times New Roman" w:eastAsia="方正仿宋_GBK" w:cs="Times New Roman"/>
          <w:sz w:val="32"/>
          <w:szCs w:val="32"/>
        </w:rPr>
        <w:t>3094</w:t>
      </w:r>
      <w:r>
        <w:rPr>
          <w:rFonts w:ascii="Times New Roman" w:hAnsi="Times New Roman" w:eastAsia="方正仿宋_GBK" w:cs="Times New Roman"/>
          <w:sz w:val="32"/>
          <w:szCs w:val="32"/>
        </w:rPr>
        <w:t>万元，用于养老关怀、智慧养老信息服务平台、社区养老服务设施建设及社会化运营，推进家庭养老床位</w:t>
      </w:r>
      <w:r>
        <w:rPr>
          <w:rFonts w:hint="eastAsia" w:ascii="Times New Roman" w:hAnsi="Times New Roman" w:eastAsia="方正仿宋_GBK" w:cs="Times New Roman"/>
          <w:sz w:val="32"/>
          <w:szCs w:val="32"/>
        </w:rPr>
        <w:t>。安排体彩公益金</w:t>
      </w:r>
      <w:r>
        <w:rPr>
          <w:rFonts w:ascii="Times New Roman" w:hAnsi="Times New Roman" w:eastAsia="方正仿宋_GBK" w:cs="Times New Roman"/>
          <w:sz w:val="32"/>
          <w:szCs w:val="32"/>
        </w:rPr>
        <w:t>2668</w:t>
      </w:r>
      <w:r>
        <w:rPr>
          <w:rFonts w:hint="eastAsia" w:ascii="Times New Roman" w:hAnsi="Times New Roman" w:eastAsia="方正仿宋_GBK" w:cs="Times New Roman"/>
          <w:sz w:val="32"/>
          <w:szCs w:val="32"/>
        </w:rPr>
        <w:t>万元，用于体育场地设施、竞技体育品牌建设，培养青少年体育后备人才，开展全民建设活动。</w:t>
      </w:r>
    </w:p>
    <w:p>
      <w:pPr>
        <w:adjustRightInd w:val="0"/>
        <w:snapToGrid w:val="0"/>
        <w:spacing w:line="594"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三</w:t>
      </w:r>
      <w:r>
        <w:rPr>
          <w:rFonts w:ascii="Times New Roman" w:hAnsi="Times New Roman" w:eastAsia="方正楷体_GBK" w:cs="Times New Roman"/>
          <w:sz w:val="32"/>
          <w:szCs w:val="32"/>
        </w:rPr>
        <w:t>）国有资本经营预算执行情况</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全区国有资本经营预算收入完成11423万元，加上上年结转</w:t>
      </w: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rPr>
        <w:t>万元，收入总计</w:t>
      </w:r>
      <w:r>
        <w:rPr>
          <w:rFonts w:ascii="Times New Roman" w:hAnsi="Times New Roman" w:eastAsia="方正仿宋_GBK" w:cs="Times New Roman"/>
          <w:sz w:val="32"/>
          <w:szCs w:val="32"/>
        </w:rPr>
        <w:t>11431</w:t>
      </w:r>
      <w:r>
        <w:rPr>
          <w:rFonts w:hint="eastAsia" w:ascii="Times New Roman" w:hAnsi="Times New Roman" w:eastAsia="方正仿宋_GBK" w:cs="Times New Roman"/>
          <w:sz w:val="32"/>
          <w:szCs w:val="32"/>
        </w:rPr>
        <w:t>万元。全区国有资本经营预算支出完成</w:t>
      </w:r>
      <w:r>
        <w:rPr>
          <w:rFonts w:ascii="Times New Roman" w:hAnsi="Times New Roman" w:eastAsia="方正仿宋_GBK" w:cs="Times New Roman"/>
          <w:sz w:val="32"/>
          <w:szCs w:val="32"/>
        </w:rPr>
        <w:t>0</w:t>
      </w:r>
      <w:r>
        <w:rPr>
          <w:rFonts w:hint="eastAsia" w:ascii="Times New Roman" w:hAnsi="Times New Roman" w:eastAsia="方正仿宋_GBK" w:cs="Times New Roman"/>
          <w:sz w:val="32"/>
          <w:szCs w:val="32"/>
        </w:rPr>
        <w:t>万元，调出资金</w:t>
      </w:r>
      <w:r>
        <w:rPr>
          <w:rFonts w:ascii="Times New Roman" w:hAnsi="Times New Roman" w:eastAsia="方正仿宋_GBK" w:cs="Times New Roman"/>
          <w:sz w:val="32"/>
          <w:szCs w:val="32"/>
        </w:rPr>
        <w:t>11431</w:t>
      </w:r>
      <w:r>
        <w:rPr>
          <w:rFonts w:hint="eastAsia" w:ascii="Times New Roman" w:hAnsi="Times New Roman" w:eastAsia="方正仿宋_GBK" w:cs="Times New Roman"/>
          <w:sz w:val="32"/>
          <w:szCs w:val="32"/>
        </w:rPr>
        <w:t>万元，结转下年</w:t>
      </w:r>
      <w:r>
        <w:rPr>
          <w:rFonts w:ascii="Times New Roman" w:hAnsi="Times New Roman" w:eastAsia="方正仿宋_GBK" w:cs="Times New Roman"/>
          <w:sz w:val="32"/>
          <w:szCs w:val="32"/>
        </w:rPr>
        <w:t>0</w:t>
      </w:r>
      <w:r>
        <w:rPr>
          <w:rFonts w:hint="eastAsia" w:ascii="Times New Roman" w:hAnsi="Times New Roman" w:eastAsia="方正仿宋_GBK" w:cs="Times New Roman"/>
          <w:sz w:val="32"/>
          <w:szCs w:val="32"/>
        </w:rPr>
        <w:t>万元，支出总计</w:t>
      </w:r>
      <w:r>
        <w:rPr>
          <w:rFonts w:ascii="Times New Roman" w:hAnsi="Times New Roman" w:eastAsia="方正仿宋_GBK" w:cs="Times New Roman"/>
          <w:sz w:val="32"/>
          <w:szCs w:val="32"/>
        </w:rPr>
        <w:t>11431</w:t>
      </w:r>
      <w:r>
        <w:rPr>
          <w:rFonts w:hint="eastAsia" w:ascii="Times New Roman" w:hAnsi="Times New Roman" w:eastAsia="方正仿宋_GBK" w:cs="Times New Roman"/>
          <w:sz w:val="32"/>
          <w:szCs w:val="32"/>
        </w:rPr>
        <w:t>万元。</w:t>
      </w:r>
    </w:p>
    <w:p>
      <w:pPr>
        <w:adjustRightInd w:val="0"/>
        <w:snapToGrid w:val="0"/>
        <w:spacing w:line="594"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（四）重点报告事项</w:t>
      </w:r>
    </w:p>
    <w:p>
      <w:pPr>
        <w:adjustRightInd w:val="0"/>
        <w:snapToGrid w:val="0"/>
        <w:spacing w:line="594" w:lineRule="exact"/>
        <w:ind w:firstLine="643" w:firstLineChars="20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1.中央直达资金使用情况</w:t>
      </w:r>
      <w:r>
        <w:rPr>
          <w:rFonts w:hint="eastAsia" w:ascii="Times New Roman" w:hAnsi="Times New Roman" w:eastAsia="方正仿宋_GBK" w:cs="Times New Roman"/>
          <w:sz w:val="32"/>
          <w:szCs w:val="32"/>
        </w:rPr>
        <w:t>。2022年我区共接收中央及市级下达当年直达资金、参照直达资金预算86446.96万元，其中直达资金85201.96万元（含中央直达资金82770.96万元、市级资金2431万元）、参照直达资金1245万元。直达资金85201.96万元已分配85201.96万元，分配进度100%，形成支出78373.86万元，支付进度92%。参照直达资金1245万元已分配1245万元，分配进度100%，形成支出734.1万元，支付进度59%。主要用于教育、社保、就业、卫生、疫情防控等支出。</w:t>
      </w:r>
    </w:p>
    <w:p>
      <w:pPr>
        <w:adjustRightInd w:val="0"/>
        <w:snapToGrid w:val="0"/>
        <w:spacing w:line="594" w:lineRule="exact"/>
        <w:ind w:firstLine="643" w:firstLineChars="20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2.财政存量资金盘活情况</w:t>
      </w:r>
      <w:r>
        <w:rPr>
          <w:rFonts w:hint="eastAsia" w:ascii="Times New Roman" w:hAnsi="Times New Roman" w:eastAsia="方正仿宋_GBK" w:cs="Times New Roman"/>
          <w:sz w:val="32"/>
          <w:szCs w:val="32"/>
        </w:rPr>
        <w:t>。2021年财政存量资金结余</w:t>
      </w:r>
      <w:r>
        <w:rPr>
          <w:rFonts w:ascii="Times New Roman" w:hAnsi="Times New Roman" w:eastAsia="方正仿宋_GBK" w:cs="Times New Roman"/>
          <w:sz w:val="32"/>
          <w:szCs w:val="32"/>
        </w:rPr>
        <w:t>43680</w:t>
      </w:r>
      <w:r>
        <w:rPr>
          <w:rFonts w:hint="eastAsia" w:ascii="Times New Roman" w:hAnsi="Times New Roman" w:eastAsia="方正仿宋_GBK" w:cs="Times New Roman"/>
          <w:sz w:val="32"/>
          <w:szCs w:val="32"/>
        </w:rPr>
        <w:t>万元，2022年收回结余资金109303万元，全年可安排财政存量资金共计152983万元。实际安排使用122495万元，结余3</w:t>
      </w:r>
      <w:r>
        <w:rPr>
          <w:rFonts w:ascii="Times New Roman" w:hAnsi="Times New Roman" w:eastAsia="方正仿宋_GBK" w:cs="Times New Roman"/>
          <w:sz w:val="32"/>
          <w:szCs w:val="32"/>
        </w:rPr>
        <w:t>0488</w:t>
      </w:r>
      <w:r>
        <w:rPr>
          <w:rFonts w:hint="eastAsia" w:ascii="Times New Roman" w:hAnsi="Times New Roman" w:eastAsia="方正仿宋_GBK" w:cs="Times New Roman"/>
          <w:sz w:val="32"/>
          <w:szCs w:val="32"/>
        </w:rPr>
        <w:t>万元，结余的存量资金在2023年继续统筹用于亟需资金的项目。</w:t>
      </w:r>
    </w:p>
    <w:p>
      <w:pPr>
        <w:adjustRightInd w:val="0"/>
        <w:snapToGrid w:val="0"/>
        <w:spacing w:line="594" w:lineRule="exact"/>
        <w:ind w:firstLine="643" w:firstLineChars="20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3.地方政府债务限额及余额情况</w:t>
      </w:r>
      <w:r>
        <w:rPr>
          <w:rFonts w:hint="eastAsia" w:ascii="Times New Roman" w:hAnsi="Times New Roman" w:eastAsia="方正仿宋_GBK" w:cs="Times New Roman"/>
          <w:bCs/>
          <w:sz w:val="32"/>
          <w:szCs w:val="32"/>
        </w:rPr>
        <w:t>。</w:t>
      </w:r>
      <w:r>
        <w:rPr>
          <w:rFonts w:hint="eastAsia" w:ascii="Times New Roman" w:hAnsi="Times New Roman" w:eastAsia="方正仿宋_GBK" w:cs="Times New Roman"/>
          <w:sz w:val="32"/>
          <w:szCs w:val="32"/>
        </w:rPr>
        <w:t>预计2022年我区政府债务限额271.2亿元，其中一般债务限额84.3亿元、专项债务限额186.9亿元。2022年全区政府债务余额271.03亿元，其中一般债务余额84.21亿元、专项债务余额186.82亿元，在核定限额以内。</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各位代表，刚刚过去的2022年，百年未有之大变局加速演进，世纪疫情反复、超出预期，宏观经济经受需求收缩、供给冲击、预期转弱“三重压力”，形势环境复杂性严峻性、肩负任务繁重性艰巨性历史少见，叠加大规模减税降费、留抵退税影响，财政“紧平衡”矛盾异常突出。回顾这一年，在区委的坚强领导和区人大政协的监督支持下，我们坚持主动识变应变，全力以赴开源挖潜，综合财力水平大幅提升；我们坚持实施积极有为的财政政策，综合施策应对超预期因素冲击，跨周期和逆周期调节有力有效；我们坚持服务中心大局，保证合理支出强度，稳投资稳大盘及能源集团收储、</w:t>
      </w:r>
      <w:r>
        <w:rPr>
          <w:rFonts w:ascii="Times New Roman" w:hAnsi="Times New Roman" w:eastAsia="方正仿宋_GBK" w:cs="Times New Roman"/>
          <w:sz w:val="32"/>
          <w:szCs w:val="32"/>
        </w:rPr>
        <w:t>ABB</w:t>
      </w:r>
      <w:r>
        <w:rPr>
          <w:rFonts w:hint="eastAsia" w:ascii="Times New Roman" w:hAnsi="Times New Roman" w:eastAsia="方正仿宋_GBK" w:cs="Times New Roman"/>
          <w:sz w:val="32"/>
          <w:szCs w:val="32"/>
        </w:rPr>
        <w:t>搬迁、疫情防控等重大战略任务支撑有力；我们坚持底线思维，千方百计融资控债，政府债务率控制稳扎稳打。</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同时，我们也清醒看到，当前财经形势依然严峻复杂，财政工作正面临着不容忽视的困难和挑战：比如国际环境风高浪急，宏观经济不稳定不确定性因素增多，我区经济高质量发展的基础尚不牢固，稳增长压力加大，而支出端刚性增长、稳投资增量扩面，预算“紧平衡”“难平衡”问题客观存在；财政支出结构固化与预算执行绩效不够的现象并存，财税政策与产业政策的协同性有待提高，财政资金的使用效益仍有提升空间；偿债压力持续存在，结构性、局部性债务风险还需密切关注。对此，我们将高度重视，切实采取有力措施，努力加以解决。</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三、2023年工作安排</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2023年，全区财政工作将坚持以习近平新时代中国特色社会主义思想为指导，全面贯彻党的二十大精神，扎实落实中央和市、区经济工作会议精神，深刻领悟“两个确立”的决定性意义，坚持稳中求进工作总基调，完整、准确、全面贯彻新发展理念，更好统筹疫情防控和经济社会发展，更好统筹发展和安全，聚焦现代化新重庆建设、“三高三宜三率先”总愿景和稳增长、稳就业、稳物价各项工作，加力提效实施积极的财政政策，深入实施党政机关过紧日子，大力挖掘增收节支潜力，保持必要的财政支出强度，全力增强国家、市、区重大战略任务保障，有效防范化解重大风险，</w:t>
      </w:r>
      <w:r>
        <w:rPr>
          <w:rFonts w:ascii="Times New Roman" w:hAnsi="Times New Roman" w:eastAsia="方正仿宋_GBK" w:cs="Times New Roman"/>
          <w:sz w:val="32"/>
          <w:szCs w:val="32"/>
        </w:rPr>
        <w:t>为</w:t>
      </w:r>
      <w:r>
        <w:rPr>
          <w:rFonts w:hint="eastAsia" w:ascii="Times New Roman" w:hAnsi="Times New Roman" w:eastAsia="方正仿宋_GBK" w:cs="Times New Roman"/>
          <w:sz w:val="32"/>
          <w:szCs w:val="32"/>
        </w:rPr>
        <w:t>稳定全区</w:t>
      </w:r>
      <w:r>
        <w:rPr>
          <w:rFonts w:ascii="Times New Roman" w:hAnsi="Times New Roman" w:eastAsia="方正仿宋_GBK" w:cs="Times New Roman"/>
          <w:sz w:val="32"/>
          <w:szCs w:val="32"/>
        </w:rPr>
        <w:t>经济</w:t>
      </w:r>
      <w:r>
        <w:rPr>
          <w:rFonts w:hint="eastAsia" w:ascii="Times New Roman" w:hAnsi="Times New Roman" w:eastAsia="方正仿宋_GBK" w:cs="Times New Roman"/>
          <w:sz w:val="32"/>
          <w:szCs w:val="32"/>
        </w:rPr>
        <w:t>大局提供坚强财力支撑</w:t>
      </w:r>
      <w:r>
        <w:rPr>
          <w:rFonts w:ascii="Times New Roman" w:hAnsi="Times New Roman" w:eastAsia="方正仿宋_GBK" w:cs="Times New Roman"/>
          <w:sz w:val="32"/>
          <w:szCs w:val="32"/>
        </w:rPr>
        <w:t>。</w:t>
      </w:r>
    </w:p>
    <w:p>
      <w:pPr>
        <w:adjustRightInd w:val="0"/>
        <w:snapToGrid w:val="0"/>
        <w:spacing w:line="594"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hint="eastAsia" w:ascii="Times New Roman" w:hAnsi="Times New Roman" w:eastAsia="方正黑体_GBK" w:cs="Times New Roman"/>
          <w:sz w:val="32"/>
          <w:szCs w:val="32"/>
        </w:rPr>
        <w:t>2023</w:t>
      </w:r>
      <w:r>
        <w:rPr>
          <w:rFonts w:hint="eastAsia" w:ascii="Times New Roman" w:hAnsi="Times New Roman" w:eastAsia="方正楷体_GBK" w:cs="Times New Roman"/>
          <w:sz w:val="32"/>
          <w:szCs w:val="32"/>
        </w:rPr>
        <w:t>年预算编制原则</w:t>
      </w:r>
    </w:p>
    <w:p>
      <w:pPr>
        <w:adjustRightInd w:val="0"/>
        <w:snapToGrid w:val="0"/>
        <w:spacing w:line="594" w:lineRule="exact"/>
        <w:ind w:firstLine="643" w:firstLineChars="200"/>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一是</w:t>
      </w:r>
      <w:r>
        <w:rPr>
          <w:rFonts w:hint="eastAsia" w:ascii="Times New Roman" w:hAnsi="Times New Roman" w:eastAsia="方正仿宋_GBK" w:cs="Times New Roman"/>
          <w:sz w:val="32"/>
          <w:szCs w:val="32"/>
        </w:rPr>
        <w:t>坚持稳字当头、稳中求进。积极财政政策要加力提效，科学稳妥、实事求是安排收支预算指标，保证财政支出强度，加快支出进度，积极带动扩大有效投资，兜牢民生底线，保持经济运行在合理区间。</w:t>
      </w:r>
      <w:r>
        <w:rPr>
          <w:rFonts w:hint="eastAsia" w:ascii="Times New Roman" w:hAnsi="Times New Roman" w:eastAsia="方正仿宋_GBK" w:cs="Times New Roman"/>
          <w:b/>
          <w:sz w:val="32"/>
          <w:szCs w:val="32"/>
        </w:rPr>
        <w:t>二是</w:t>
      </w:r>
      <w:r>
        <w:rPr>
          <w:rFonts w:hint="eastAsia" w:ascii="Times New Roman" w:hAnsi="Times New Roman" w:eastAsia="方正仿宋_GBK" w:cs="Times New Roman"/>
          <w:sz w:val="32"/>
          <w:szCs w:val="32"/>
        </w:rPr>
        <w:t>坚持统筹兼顾、突出重点。深化大财政理念，加大各类别、各层次资金统筹力度，强化财政预算资金、单位自有收入和政府资产资源统筹整合，加大对重点领域倾斜支持，确保重点支出保障有力。</w:t>
      </w:r>
      <w:r>
        <w:rPr>
          <w:rFonts w:hint="eastAsia" w:ascii="Times New Roman" w:hAnsi="Times New Roman" w:eastAsia="方正仿宋_GBK" w:cs="Times New Roman"/>
          <w:b/>
          <w:sz w:val="32"/>
          <w:szCs w:val="32"/>
        </w:rPr>
        <w:t>三是</w:t>
      </w:r>
      <w:r>
        <w:rPr>
          <w:rFonts w:hint="eastAsia" w:ascii="Times New Roman" w:hAnsi="Times New Roman" w:eastAsia="方正仿宋_GBK" w:cs="Times New Roman"/>
          <w:sz w:val="32"/>
          <w:szCs w:val="32"/>
        </w:rPr>
        <w:t>坚持绩效导向、激励约束。注重节用裕民，坚决反对铺张浪费，落实部门和单位主体责任，推动预算绩效管理提质增效，完善预算安排多层次紧密挂钩机制，注重投入产出比，全面提升政策效能和资金效益。</w:t>
      </w:r>
      <w:r>
        <w:rPr>
          <w:rFonts w:hint="eastAsia" w:ascii="Times New Roman" w:hAnsi="Times New Roman" w:eastAsia="方正仿宋_GBK" w:cs="Times New Roman"/>
          <w:b/>
          <w:sz w:val="32"/>
          <w:szCs w:val="32"/>
        </w:rPr>
        <w:t>四是</w:t>
      </w:r>
      <w:r>
        <w:rPr>
          <w:rFonts w:hint="eastAsia" w:ascii="Times New Roman" w:hAnsi="Times New Roman" w:eastAsia="方正仿宋_GBK" w:cs="Times New Roman"/>
          <w:sz w:val="32"/>
          <w:szCs w:val="32"/>
        </w:rPr>
        <w:t>坚持尽力而为、量力而行。统筹平衡发展与安全、建设与负债，精打细算“过紧日子”，增强财政预算的可持续性，防范化解重大财政运行风险。</w:t>
      </w:r>
    </w:p>
    <w:p>
      <w:pPr>
        <w:adjustRightInd w:val="0"/>
        <w:snapToGrid w:val="0"/>
        <w:spacing w:line="594"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hint="eastAsia" w:ascii="Times New Roman" w:hAnsi="Times New Roman" w:eastAsia="方正黑体_GBK" w:cs="Times New Roman"/>
          <w:sz w:val="32"/>
          <w:szCs w:val="32"/>
        </w:rPr>
        <w:t>2023</w:t>
      </w:r>
      <w:r>
        <w:rPr>
          <w:rFonts w:hint="eastAsia" w:ascii="Times New Roman" w:hAnsi="Times New Roman" w:eastAsia="方正楷体_GBK" w:cs="Times New Roman"/>
          <w:sz w:val="32"/>
          <w:szCs w:val="32"/>
        </w:rPr>
        <w:t>年重点工作</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2023</w:t>
      </w:r>
      <w:r>
        <w:rPr>
          <w:rFonts w:hint="eastAsia" w:ascii="Times New Roman" w:hAnsi="Times New Roman" w:eastAsia="方正仿宋_GBK" w:cs="Times New Roman"/>
          <w:sz w:val="32"/>
          <w:szCs w:val="32"/>
        </w:rPr>
        <w:t>年，全区财政将围绕中心、服务大局，坚定信心、锐意进取，充分发挥财政在稳定经济中的关键作用，确保</w:t>
      </w:r>
      <w:r>
        <w:rPr>
          <w:rFonts w:hint="eastAsia" w:ascii="Times New Roman" w:hAnsi="Times New Roman" w:eastAsia="方正黑体_GBK" w:cs="Times New Roman"/>
          <w:sz w:val="32"/>
          <w:szCs w:val="32"/>
        </w:rPr>
        <w:t>2023</w:t>
      </w:r>
      <w:r>
        <w:rPr>
          <w:rFonts w:hint="eastAsia" w:ascii="Times New Roman" w:hAnsi="Times New Roman" w:eastAsia="方正仿宋_GBK" w:cs="Times New Roman"/>
          <w:sz w:val="32"/>
          <w:szCs w:val="32"/>
        </w:rPr>
        <w:t>年各项预算任务顺利完成。</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第一，以“大财政”理念统筹财源，夯实财力基础</w:t>
      </w:r>
      <w:r>
        <w:rPr>
          <w:rFonts w:hint="eastAsia" w:ascii="Times New Roman" w:hAnsi="Times New Roman" w:eastAsia="方正仿宋_GBK" w:cs="Times New Roman"/>
          <w:sz w:val="32"/>
          <w:szCs w:val="32"/>
        </w:rPr>
        <w:t>。</w:t>
      </w:r>
      <w:r>
        <w:rPr>
          <w:rFonts w:hint="eastAsia" w:ascii="Times New Roman" w:hAnsi="Times New Roman" w:eastAsia="方正仿宋_GBK" w:cs="宋体"/>
          <w:kern w:val="0"/>
          <w:sz w:val="32"/>
          <w:szCs w:val="32"/>
        </w:rPr>
        <w:t>科学预测分析财政收支形势，完善跨年度预算平衡机制，提高财政资源跨周期配置效率</w:t>
      </w:r>
      <w:r>
        <w:rPr>
          <w:rFonts w:hint="eastAsia" w:ascii="Times New Roman" w:hAnsi="Times New Roman" w:eastAsia="方正仿宋_GBK" w:cs="Times New Roman"/>
          <w:sz w:val="32"/>
          <w:szCs w:val="32"/>
        </w:rPr>
        <w:t>。强化</w:t>
      </w:r>
      <w:r>
        <w:rPr>
          <w:rFonts w:hint="eastAsia" w:ascii="Times New Roman" w:hAnsi="Times New Roman" w:eastAsia="方正仿宋_GBK" w:cs="宋体"/>
          <w:kern w:val="0"/>
          <w:sz w:val="32"/>
          <w:szCs w:val="32"/>
        </w:rPr>
        <w:t>收支“一个盘子”管理，增强“三本预算”有效衔接、“三资”统筹使用。</w:t>
      </w:r>
      <w:r>
        <w:rPr>
          <w:rFonts w:hint="eastAsia" w:ascii="Times New Roman" w:hAnsi="Times New Roman" w:eastAsia="方正仿宋_GBK" w:cs="Times New Roman"/>
          <w:sz w:val="32"/>
          <w:szCs w:val="32"/>
        </w:rPr>
        <w:t>综合运用财政贴息、租金减免、税费优惠等政策工具，释放红利惠企利民，涵养税源新增长点。强化综合治税，协调联动、依法依规组织收入，既应减尽减、又“颗粒归仓”。积极向上向外开源，全力争取</w:t>
      </w:r>
      <w:r>
        <w:rPr>
          <w:rFonts w:hint="eastAsia" w:ascii="Times New Roman" w:hAnsi="Times New Roman" w:eastAsia="方正仿宋_GBK"/>
          <w:sz w:val="32"/>
          <w:szCs w:val="32"/>
        </w:rPr>
        <w:t>债券资金、直达资金和转移支付</w:t>
      </w:r>
      <w:r>
        <w:rPr>
          <w:rFonts w:hint="eastAsia" w:ascii="Times New Roman" w:hAnsi="Times New Roman" w:eastAsia="方正仿宋_GBK" w:cs="Times New Roman"/>
          <w:sz w:val="32"/>
          <w:szCs w:val="32"/>
        </w:rPr>
        <w:t>，创新投融资模式撬动社会资本，集聚财力缓解压力。</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第二，以“联动式”政策共促发展，焕活经济动能</w:t>
      </w:r>
      <w:r>
        <w:rPr>
          <w:rFonts w:hint="eastAsia" w:ascii="Times New Roman" w:hAnsi="Times New Roman" w:eastAsia="方正仿宋_GBK" w:cs="Times New Roman"/>
          <w:sz w:val="32"/>
          <w:szCs w:val="32"/>
        </w:rPr>
        <w:t>。积极的财政政策加力提效，充分发挥财政投入的乘数和引导效应，加快构建现代产业体系，激发市场活力，推动经济提振。深化财金领域务实合作，财政政策、金融政策协同发力，支持科技创新、小微企业、绿色发展，缓解融资难、融资贵、经营难</w:t>
      </w:r>
      <w:r>
        <w:rPr>
          <w:rFonts w:hint="eastAsia" w:ascii="Times New Roman" w:hAnsi="Times New Roman" w:eastAsia="方正仿宋_GBK"/>
          <w:sz w:val="32"/>
          <w:szCs w:val="32"/>
        </w:rPr>
        <w:t>。持续做大做强金融产业，加强金融业招商引资，全力推进企业上市，力争主要金融指标持续向好。进一步优化财税金融营商环境，</w:t>
      </w:r>
      <w:r>
        <w:rPr>
          <w:rFonts w:hint="eastAsia" w:ascii="Times New Roman" w:hAnsi="Times New Roman" w:eastAsia="方正仿宋_GBK" w:cs="Times New Roman"/>
          <w:sz w:val="32"/>
          <w:szCs w:val="32"/>
        </w:rPr>
        <w:t>公开公正政府采购，支撑经济发展大局。</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第三，以“增绩效”导向优化支出，突出重点保障</w:t>
      </w:r>
      <w:r>
        <w:rPr>
          <w:rFonts w:hint="eastAsia" w:ascii="Times New Roman" w:hAnsi="Times New Roman" w:eastAsia="方正仿宋_GBK" w:cs="Times New Roman"/>
          <w:sz w:val="32"/>
          <w:szCs w:val="32"/>
        </w:rPr>
        <w:t>。持续优化支出结构</w:t>
      </w:r>
      <w:r>
        <w:rPr>
          <w:rFonts w:hint="eastAsia" w:ascii="Times New Roman" w:hAnsi="Times New Roman" w:eastAsia="方正仿宋_GBK" w:cs="宋体"/>
          <w:kern w:val="0"/>
          <w:sz w:val="32"/>
          <w:szCs w:val="32"/>
        </w:rPr>
        <w:t>，打破部门基数概念和支出固化僵化格局，精准聚焦兜底保重。</w:t>
      </w:r>
      <w:r>
        <w:rPr>
          <w:rFonts w:hint="eastAsia" w:ascii="Times New Roman" w:hAnsi="Times New Roman" w:eastAsia="方正仿宋_GBK" w:cs="Times New Roman"/>
          <w:sz w:val="32"/>
          <w:szCs w:val="32"/>
        </w:rPr>
        <w:t>坚持以人民为中心，确保一般公共预算支出的</w:t>
      </w:r>
      <w:r>
        <w:rPr>
          <w:rFonts w:ascii="Times New Roman" w:hAnsi="Times New Roman" w:eastAsia="方正仿宋_GBK" w:cs="Times New Roman"/>
          <w:sz w:val="32"/>
          <w:szCs w:val="32"/>
        </w:rPr>
        <w:t>80</w:t>
      </w:r>
      <w:r>
        <w:rPr>
          <w:rFonts w:ascii="Times New Roman" w:hAnsi="Times New Roman" w:eastAsia="方正小标宋_GBK" w:cs="Times New Roman"/>
          <w:sz w:val="32"/>
          <w:szCs w:val="32"/>
        </w:rPr>
        <w:t>%</w:t>
      </w:r>
      <w:r>
        <w:rPr>
          <w:rFonts w:hint="eastAsia" w:ascii="Times New Roman" w:hAnsi="Times New Roman" w:eastAsia="方正仿宋_GBK" w:cs="Times New Roman"/>
          <w:sz w:val="32"/>
          <w:szCs w:val="32"/>
        </w:rPr>
        <w:t>以上用于教育、医疗、卫生、社保和就业等民生事业。坚持扩大有效投资，全力以赴稳投资、促消费，保证必要的支出强度，支撑重大战略、重点项目落地。坚持提升资金绩效，严控“三公”经费、一般性支出，腾退非急需、非刚性支出，用政府过“紧日子”换百姓过“好日子”。</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第四，以“稳节奏”步伐改革创新，促进财政发展</w:t>
      </w:r>
      <w:r>
        <w:rPr>
          <w:rFonts w:hint="eastAsia" w:ascii="Times New Roman" w:hAnsi="Times New Roman" w:eastAsia="方正仿宋_GBK" w:cs="Times New Roman"/>
          <w:sz w:val="32"/>
          <w:szCs w:val="32"/>
        </w:rPr>
        <w:t>。继续强化预算刚性约束，严格“零结转”、预决算公开、预算公开评审等制度执行。稳步推进财政体制改革，建立财权与事权、财力与事权相协调的财政管理体制。全面深化预算管理一体化系统，加快完善预算、决算、政府综合财报、直达资金、资产管理等功能。持续提升预算绩效管理质量，推动预算管理与绩效管理深度融合，夯实全过程绩效管理，强化结果应用。抓实行政事业单位国有资产管理，提高国有资产配置和监管效率。向深挖潜政府采购制度改革、国库集中支付电子化改革，强化财政投入项目评审、国有投资项目结（决）算审核工作。逗硬财政资金监管，严密财政法治监督体系，加强财务知识培训，严肃财经纪律。</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第五，以“守底线”思维防控风险，维护财经安全</w:t>
      </w:r>
      <w:r>
        <w:rPr>
          <w:rFonts w:hint="eastAsia" w:ascii="Times New Roman" w:hAnsi="Times New Roman" w:eastAsia="方正仿宋_GBK" w:cs="Times New Roman"/>
          <w:sz w:val="32"/>
          <w:szCs w:val="32"/>
        </w:rPr>
        <w:t>。严控政府债务风险，加强政府债务限额管理、预算管理、风险预警管理，认真做好债务风险防范化解工作，坚决遏制隐性债务增量，按计划化解隐性债务存量。加强经营性融资管理、全口径债务动态监测，保障平台公司资金链接。严防金融领域风险，坚决打击经济金融领域违法犯罪活动，强化非法集资宣传、打击力度，牢牢守住不发生系统性风险的底线，维护全区金融安全、经济安全和社会稳定。</w:t>
      </w:r>
    </w:p>
    <w:p>
      <w:pPr>
        <w:adjustRightInd w:val="0"/>
        <w:snapToGrid w:val="0"/>
        <w:spacing w:line="594" w:lineRule="exact"/>
        <w:ind w:firstLine="640" w:firstLineChars="200"/>
        <w:rPr>
          <w:rFonts w:ascii="Times New Roman" w:hAnsi="Times New Roman" w:eastAsia="方正黑体_GBK" w:cs="Times New Roman"/>
          <w:sz w:val="32"/>
          <w:szCs w:val="32"/>
        </w:rPr>
      </w:pPr>
      <w:r>
        <w:rPr>
          <w:rFonts w:hint="eastAsia" w:ascii="Times New Roman" w:hAnsi="Times New Roman" w:eastAsia="方正黑体_GBK" w:cs="Times New Roman"/>
          <w:sz w:val="32"/>
          <w:szCs w:val="32"/>
        </w:rPr>
        <w:t>四、2023年预算草案</w:t>
      </w:r>
    </w:p>
    <w:p>
      <w:pPr>
        <w:adjustRightInd w:val="0"/>
        <w:snapToGrid w:val="0"/>
        <w:spacing w:line="594"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（一）一般公共预算草案</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区本级一般公共预算收入预计</w:t>
      </w:r>
      <w:r>
        <w:rPr>
          <w:rFonts w:ascii="Times New Roman" w:hAnsi="Times New Roman" w:eastAsia="方正仿宋_GBK" w:cs="Times New Roman"/>
          <w:sz w:val="32"/>
          <w:szCs w:val="32"/>
        </w:rPr>
        <w:t>617141</w:t>
      </w:r>
      <w:r>
        <w:rPr>
          <w:rFonts w:hint="eastAsia" w:ascii="Times New Roman" w:hAnsi="Times New Roman" w:eastAsia="方正仿宋_GBK" w:cs="Times New Roman"/>
          <w:sz w:val="32"/>
          <w:szCs w:val="32"/>
        </w:rPr>
        <w:t>万元，同比增长</w:t>
      </w: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rPr>
        <w:t>%。其中税收收入预计</w:t>
      </w:r>
      <w:r>
        <w:rPr>
          <w:rFonts w:ascii="Times New Roman" w:hAnsi="Times New Roman" w:eastAsia="方正仿宋_GBK" w:cs="Times New Roman"/>
          <w:sz w:val="32"/>
          <w:szCs w:val="32"/>
        </w:rPr>
        <w:t>431999</w:t>
      </w:r>
      <w:r>
        <w:rPr>
          <w:rFonts w:hint="eastAsia" w:ascii="Times New Roman" w:hAnsi="Times New Roman" w:eastAsia="方正仿宋_GBK" w:cs="Times New Roman"/>
          <w:sz w:val="32"/>
          <w:szCs w:val="32"/>
        </w:rPr>
        <w:t>万元、同比增长</w:t>
      </w:r>
      <w:r>
        <w:rPr>
          <w:rFonts w:ascii="Times New Roman" w:hAnsi="Times New Roman" w:eastAsia="方正仿宋_GBK" w:cs="Times New Roman"/>
          <w:sz w:val="32"/>
          <w:szCs w:val="32"/>
        </w:rPr>
        <w:t>10.41</w:t>
      </w:r>
      <w:r>
        <w:rPr>
          <w:rFonts w:hint="eastAsia" w:ascii="Times New Roman" w:hAnsi="Times New Roman" w:eastAsia="方正仿宋_GBK" w:cs="Times New Roman"/>
          <w:sz w:val="32"/>
          <w:szCs w:val="32"/>
        </w:rPr>
        <w:t>%，非税收入</w:t>
      </w:r>
      <w:r>
        <w:rPr>
          <w:rFonts w:ascii="Times New Roman" w:hAnsi="Times New Roman" w:eastAsia="方正仿宋_GBK" w:cs="Times New Roman"/>
          <w:sz w:val="32"/>
          <w:szCs w:val="32"/>
        </w:rPr>
        <w:t>18514</w:t>
      </w:r>
      <w:r>
        <w:rPr>
          <w:rFonts w:hint="eastAsia" w:ascii="Times New Roman" w:hAnsi="Times New Roman" w:eastAsia="方正仿宋_GBK" w:cs="Times New Roman"/>
          <w:sz w:val="32"/>
          <w:szCs w:val="32"/>
        </w:rPr>
        <w:t>2万元、同比增长9</w:t>
      </w:r>
      <w:r>
        <w:rPr>
          <w:rFonts w:ascii="Times New Roman" w:hAnsi="Times New Roman" w:eastAsia="方正仿宋_GBK" w:cs="Times New Roman"/>
          <w:sz w:val="32"/>
          <w:szCs w:val="32"/>
        </w:rPr>
        <w:t>.05</w:t>
      </w:r>
      <w:r>
        <w:rPr>
          <w:rFonts w:hint="eastAsia" w:ascii="Times New Roman" w:hAnsi="Times New Roman" w:eastAsia="方正仿宋_GBK" w:cs="Times New Roman"/>
          <w:sz w:val="32"/>
          <w:szCs w:val="32"/>
        </w:rPr>
        <w:t>%。加上上级补助收入2</w:t>
      </w:r>
      <w:r>
        <w:rPr>
          <w:rFonts w:ascii="Times New Roman" w:hAnsi="Times New Roman" w:eastAsia="方正仿宋_GBK" w:cs="Times New Roman"/>
          <w:sz w:val="32"/>
          <w:szCs w:val="32"/>
        </w:rPr>
        <w:t>14957</w:t>
      </w:r>
      <w:r>
        <w:rPr>
          <w:rFonts w:hint="eastAsia" w:ascii="Times New Roman" w:hAnsi="Times New Roman" w:eastAsia="方正仿宋_GBK" w:cs="Times New Roman"/>
          <w:sz w:val="32"/>
          <w:szCs w:val="32"/>
        </w:rPr>
        <w:t>万元、地方政府一般债务转贷收入1</w:t>
      </w:r>
      <w:r>
        <w:rPr>
          <w:rFonts w:ascii="Times New Roman" w:hAnsi="Times New Roman" w:eastAsia="方正仿宋_GBK" w:cs="Times New Roman"/>
          <w:sz w:val="32"/>
          <w:szCs w:val="32"/>
        </w:rPr>
        <w:t>4100</w:t>
      </w:r>
      <w:r>
        <w:rPr>
          <w:rFonts w:hint="eastAsia" w:ascii="Times New Roman" w:hAnsi="Times New Roman" w:eastAsia="方正仿宋_GBK" w:cs="Times New Roman"/>
          <w:sz w:val="32"/>
          <w:szCs w:val="32"/>
        </w:rPr>
        <w:t>万元、调入资金</w:t>
      </w:r>
      <w:r>
        <w:rPr>
          <w:rFonts w:ascii="Times New Roman" w:hAnsi="Times New Roman" w:eastAsia="方正仿宋_GBK" w:cs="Times New Roman"/>
          <w:sz w:val="32"/>
          <w:szCs w:val="32"/>
        </w:rPr>
        <w:t>170507</w:t>
      </w:r>
      <w:r>
        <w:rPr>
          <w:rFonts w:hint="eastAsia" w:ascii="Times New Roman" w:hAnsi="Times New Roman" w:eastAsia="方正仿宋_GBK" w:cs="Times New Roman"/>
          <w:sz w:val="32"/>
          <w:szCs w:val="32"/>
        </w:rPr>
        <w:t>万元、动用预算稳定调节基金</w:t>
      </w:r>
      <w:r>
        <w:rPr>
          <w:rFonts w:ascii="Times New Roman" w:hAnsi="Times New Roman" w:eastAsia="方正仿宋_GBK" w:cs="Times New Roman"/>
          <w:sz w:val="32"/>
          <w:szCs w:val="32"/>
        </w:rPr>
        <w:t>84</w:t>
      </w:r>
      <w:r>
        <w:rPr>
          <w:rFonts w:hint="eastAsia" w:ascii="Times New Roman" w:hAnsi="Times New Roman" w:eastAsia="方正仿宋_GBK" w:cs="Times New Roman"/>
          <w:sz w:val="32"/>
          <w:szCs w:val="32"/>
        </w:rPr>
        <w:t>67</w:t>
      </w: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万元、上年结转8</w:t>
      </w:r>
      <w:r>
        <w:rPr>
          <w:rFonts w:ascii="Times New Roman" w:hAnsi="Times New Roman" w:eastAsia="方正仿宋_GBK" w:cs="Times New Roman"/>
          <w:sz w:val="32"/>
          <w:szCs w:val="32"/>
        </w:rPr>
        <w:t>49</w:t>
      </w:r>
      <w:r>
        <w:rPr>
          <w:rFonts w:hint="eastAsia" w:ascii="Times New Roman" w:hAnsi="Times New Roman" w:eastAsia="方正仿宋_GBK" w:cs="Times New Roman"/>
          <w:sz w:val="32"/>
          <w:szCs w:val="32"/>
        </w:rPr>
        <w:t>9</w:t>
      </w: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rPr>
        <w:t>万元，收入总计</w:t>
      </w:r>
      <w:r>
        <w:rPr>
          <w:rFonts w:ascii="Times New Roman" w:hAnsi="Times New Roman" w:eastAsia="方正仿宋_GBK" w:cs="Times New Roman"/>
          <w:sz w:val="32"/>
          <w:szCs w:val="32"/>
        </w:rPr>
        <w:t>1186376</w:t>
      </w:r>
      <w:r>
        <w:rPr>
          <w:rFonts w:hint="eastAsia" w:ascii="Times New Roman" w:hAnsi="Times New Roman" w:eastAsia="方正仿宋_GBK" w:cs="Times New Roman"/>
          <w:sz w:val="32"/>
          <w:szCs w:val="32"/>
        </w:rPr>
        <w:t>万元。区本级一般公共预算支出预计安排</w:t>
      </w:r>
      <w:r>
        <w:rPr>
          <w:rFonts w:ascii="Times New Roman" w:hAnsi="Times New Roman" w:eastAsia="方正仿宋_GBK" w:cs="Times New Roman"/>
          <w:sz w:val="32"/>
          <w:szCs w:val="32"/>
        </w:rPr>
        <w:t>1091731</w:t>
      </w:r>
      <w:r>
        <w:rPr>
          <w:rFonts w:hint="eastAsia" w:ascii="Times New Roman" w:hAnsi="Times New Roman" w:eastAsia="方正仿宋_GBK" w:cs="Times New Roman"/>
          <w:sz w:val="32"/>
          <w:szCs w:val="32"/>
        </w:rPr>
        <w:t>万元，加上地方政府一般债务还本支出</w:t>
      </w:r>
      <w:r>
        <w:rPr>
          <w:rFonts w:ascii="Times New Roman" w:hAnsi="Times New Roman" w:eastAsia="方正仿宋_GBK" w:cs="Times New Roman"/>
          <w:sz w:val="32"/>
          <w:szCs w:val="32"/>
        </w:rPr>
        <w:t>14100</w:t>
      </w:r>
      <w:r>
        <w:rPr>
          <w:rFonts w:hint="eastAsia" w:ascii="Times New Roman" w:hAnsi="Times New Roman" w:eastAsia="方正仿宋_GBK" w:cs="Times New Roman"/>
          <w:sz w:val="32"/>
          <w:szCs w:val="32"/>
        </w:rPr>
        <w:t>万元、上解支出</w:t>
      </w:r>
      <w:r>
        <w:rPr>
          <w:rFonts w:ascii="Times New Roman" w:hAnsi="Times New Roman" w:eastAsia="方正仿宋_GBK" w:cs="Times New Roman"/>
          <w:sz w:val="32"/>
          <w:szCs w:val="32"/>
        </w:rPr>
        <w:t>80545</w:t>
      </w:r>
      <w:r>
        <w:rPr>
          <w:rFonts w:hint="eastAsia" w:ascii="Times New Roman" w:hAnsi="Times New Roman" w:eastAsia="方正仿宋_GBK" w:cs="Times New Roman"/>
          <w:sz w:val="32"/>
          <w:szCs w:val="32"/>
        </w:rPr>
        <w:t>万元后，支出总计1</w:t>
      </w:r>
      <w:r>
        <w:rPr>
          <w:rFonts w:ascii="Times New Roman" w:hAnsi="Times New Roman" w:eastAsia="方正仿宋_GBK" w:cs="Times New Roman"/>
          <w:sz w:val="32"/>
          <w:szCs w:val="32"/>
        </w:rPr>
        <w:t>186376</w:t>
      </w:r>
      <w:r>
        <w:rPr>
          <w:rFonts w:hint="eastAsia" w:ascii="Times New Roman" w:hAnsi="Times New Roman" w:eastAsia="方正仿宋_GBK" w:cs="Times New Roman"/>
          <w:sz w:val="32"/>
          <w:szCs w:val="32"/>
        </w:rPr>
        <w:t>万元。其中，区本级</w:t>
      </w:r>
      <w:r>
        <w:rPr>
          <w:rFonts w:ascii="Times New Roman" w:hAnsi="Times New Roman" w:eastAsia="方正仿宋_GBK" w:cs="Times New Roman"/>
          <w:sz w:val="32"/>
          <w:szCs w:val="32"/>
        </w:rPr>
        <w:t>一般公共预算支出1091731</w:t>
      </w:r>
      <w:r>
        <w:rPr>
          <w:rFonts w:hint="eastAsia" w:ascii="Times New Roman" w:hAnsi="Times New Roman" w:eastAsia="方正仿宋_GBK" w:cs="Times New Roman"/>
          <w:sz w:val="32"/>
          <w:szCs w:val="32"/>
        </w:rPr>
        <w:t>万元</w:t>
      </w:r>
      <w:r>
        <w:rPr>
          <w:rFonts w:ascii="Times New Roman" w:hAnsi="Times New Roman" w:eastAsia="方正仿宋_GBK" w:cs="Times New Roman"/>
          <w:sz w:val="32"/>
          <w:szCs w:val="32"/>
        </w:rPr>
        <w:t>，拟</w:t>
      </w:r>
      <w:r>
        <w:rPr>
          <w:rFonts w:hint="eastAsia" w:ascii="Times New Roman" w:hAnsi="Times New Roman" w:eastAsia="方正仿宋_GBK" w:cs="Times New Roman"/>
          <w:sz w:val="32"/>
          <w:szCs w:val="32"/>
        </w:rPr>
        <w:t>主要</w:t>
      </w:r>
      <w:r>
        <w:rPr>
          <w:rFonts w:ascii="Times New Roman" w:hAnsi="Times New Roman" w:eastAsia="方正仿宋_GBK" w:cs="Times New Roman"/>
          <w:sz w:val="32"/>
          <w:szCs w:val="32"/>
        </w:rPr>
        <w:t>安排</w:t>
      </w:r>
      <w:r>
        <w:rPr>
          <w:rFonts w:hint="eastAsia" w:ascii="Times New Roman" w:hAnsi="Times New Roman" w:eastAsia="方正仿宋_GBK" w:cs="Times New Roman"/>
          <w:sz w:val="32"/>
          <w:szCs w:val="32"/>
        </w:rPr>
        <w:t>如下</w:t>
      </w:r>
      <w:r>
        <w:rPr>
          <w:rFonts w:ascii="Times New Roman" w:hAnsi="Times New Roman" w:eastAsia="方正仿宋_GBK" w:cs="Times New Roman"/>
          <w:sz w:val="32"/>
          <w:szCs w:val="32"/>
        </w:rPr>
        <w:t>：</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——教育支出</w:t>
      </w:r>
      <w:r>
        <w:rPr>
          <w:rFonts w:hint="eastAsia" w:ascii="Times New Roman" w:hAnsi="Times New Roman" w:eastAsia="方正仿宋_GBK" w:cs="Times New Roman"/>
          <w:sz w:val="32"/>
          <w:szCs w:val="32"/>
        </w:rPr>
        <w:t>安排</w:t>
      </w:r>
      <w:r>
        <w:rPr>
          <w:rFonts w:ascii="Times New Roman" w:hAnsi="Times New Roman" w:eastAsia="方正仿宋_GBK" w:cs="Times New Roman"/>
          <w:sz w:val="32"/>
          <w:szCs w:val="32"/>
        </w:rPr>
        <w:t>250182</w:t>
      </w:r>
      <w:r>
        <w:rPr>
          <w:rFonts w:hint="eastAsia" w:ascii="Times New Roman" w:hAnsi="Times New Roman" w:eastAsia="方正仿宋_GBK" w:cs="Times New Roman"/>
          <w:sz w:val="32"/>
          <w:szCs w:val="32"/>
        </w:rPr>
        <w:t>万元，同比增长</w:t>
      </w:r>
      <w:r>
        <w:rPr>
          <w:rFonts w:ascii="Times New Roman" w:hAnsi="Times New Roman" w:eastAsia="方正仿宋_GBK" w:cs="Times New Roman"/>
          <w:sz w:val="32"/>
          <w:szCs w:val="32"/>
        </w:rPr>
        <w:t>0.45</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主要用于：保障学前教育发展，落实义务教育免费政策。改善办学条件，加快农村薄弱学校改造。支持全区教师培训，保障学校聘用人员经费。支持学校基础设施建设、学校新建及改扩建项目。</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——科学技术支出</w:t>
      </w:r>
      <w:r>
        <w:rPr>
          <w:rFonts w:hint="eastAsia" w:ascii="Times New Roman" w:hAnsi="Times New Roman" w:eastAsia="方正仿宋_GBK" w:cs="Times New Roman"/>
          <w:sz w:val="32"/>
          <w:szCs w:val="32"/>
        </w:rPr>
        <w:t>安排</w:t>
      </w:r>
      <w:r>
        <w:rPr>
          <w:rFonts w:ascii="Times New Roman" w:hAnsi="Times New Roman" w:eastAsia="方正仿宋_GBK" w:cs="Times New Roman"/>
          <w:sz w:val="32"/>
          <w:szCs w:val="32"/>
        </w:rPr>
        <w:t>15788</w:t>
      </w:r>
      <w:r>
        <w:rPr>
          <w:rFonts w:hint="eastAsia" w:ascii="Times New Roman" w:hAnsi="Times New Roman" w:eastAsia="方正仿宋_GBK" w:cs="Times New Roman"/>
          <w:sz w:val="32"/>
          <w:szCs w:val="32"/>
        </w:rPr>
        <w:t>万元，同比增长</w:t>
      </w:r>
      <w:r>
        <w:rPr>
          <w:rFonts w:ascii="Times New Roman" w:hAnsi="Times New Roman" w:eastAsia="方正仿宋_GBK" w:cs="Times New Roman"/>
          <w:sz w:val="32"/>
          <w:szCs w:val="32"/>
        </w:rPr>
        <w:t>14.46</w:t>
      </w:r>
      <w:r>
        <w:rPr>
          <w:rFonts w:hint="eastAsia" w:ascii="Times New Roman" w:hAnsi="Times New Roman" w:eastAsia="方正仿宋_GBK" w:cs="Times New Roman"/>
          <w:sz w:val="32"/>
          <w:szCs w:val="32"/>
        </w:rPr>
        <w:t>%，增幅原因为科技类产业扶持预算增加</w:t>
      </w:r>
      <w:r>
        <w:rPr>
          <w:rFonts w:ascii="Times New Roman" w:hAnsi="Times New Roman" w:eastAsia="方正仿宋_GBK" w:cs="Times New Roman"/>
          <w:sz w:val="32"/>
          <w:szCs w:val="32"/>
        </w:rPr>
        <w:t>。主要用于：</w:t>
      </w:r>
      <w:r>
        <w:rPr>
          <w:rFonts w:hint="eastAsia" w:ascii="Times New Roman" w:hAnsi="Times New Roman" w:eastAsia="方正仿宋_GBK" w:cs="Times New Roman"/>
          <w:sz w:val="32"/>
          <w:szCs w:val="32"/>
        </w:rPr>
        <w:t>落实科技自主创新战略，聚焦R&amp;D投入短板培育以企业为主的创新主体，支持重点研发项目，提升全区科技创新能力。聚焦构建现代产业体系，打造产业链协同创新平台、轻量化材料应用产业基地、汽摩产业研发协同平台，支持工业企业转型升级。</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文化旅游体育与传媒支出安排</w:t>
      </w:r>
      <w:r>
        <w:rPr>
          <w:rFonts w:ascii="Times New Roman" w:hAnsi="Times New Roman" w:eastAsia="方正仿宋_GBK" w:cs="Times New Roman"/>
          <w:sz w:val="32"/>
          <w:szCs w:val="32"/>
        </w:rPr>
        <w:t>9563</w:t>
      </w:r>
      <w:r>
        <w:rPr>
          <w:rFonts w:hint="eastAsia" w:ascii="Times New Roman" w:hAnsi="Times New Roman" w:eastAsia="方正仿宋_GBK" w:cs="Times New Roman"/>
          <w:sz w:val="32"/>
          <w:szCs w:val="32"/>
        </w:rPr>
        <w:t>万元，同比增长</w:t>
      </w:r>
      <w:r>
        <w:rPr>
          <w:rFonts w:ascii="Times New Roman" w:hAnsi="Times New Roman" w:eastAsia="方正仿宋_GBK" w:cs="Times New Roman"/>
          <w:sz w:val="32"/>
          <w:szCs w:val="32"/>
        </w:rPr>
        <w:t>14.93</w:t>
      </w:r>
      <w:r>
        <w:rPr>
          <w:rFonts w:hint="eastAsia" w:ascii="Times New Roman" w:hAnsi="Times New Roman" w:eastAsia="方正仿宋_GBK" w:cs="Times New Roman"/>
          <w:sz w:val="32"/>
          <w:szCs w:val="32"/>
        </w:rPr>
        <w:t>%，增幅原因主要为支持全国文明城区创建。主要用于：保障基层公共文化服务机构运行，提升免费开放博物馆等公益文化机构的服务能力。支持群众文化活动、文化产业发展、文物保护和体育事业发展。大力开展文博研学、文化产业博览会、惠民电影放映等文化惠民活动。</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——社会保障和就业支出</w:t>
      </w:r>
      <w:r>
        <w:rPr>
          <w:rFonts w:hint="eastAsia" w:ascii="Times New Roman" w:hAnsi="Times New Roman" w:eastAsia="方正仿宋_GBK" w:cs="Times New Roman"/>
          <w:sz w:val="32"/>
          <w:szCs w:val="32"/>
        </w:rPr>
        <w:t>安排177871万元，同比下降3.16%，降幅原因为上年结转资金规模减少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主要用于：城乡低保和特困人员供养、重点优抚对象抚恤和补助、残疾人救助、退役安置、就业创业补贴、农转非人员养老待遇等。</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——卫生</w:t>
      </w:r>
      <w:r>
        <w:rPr>
          <w:rFonts w:hint="eastAsia" w:ascii="Times New Roman" w:hAnsi="Times New Roman" w:eastAsia="方正仿宋_GBK" w:cs="Times New Roman"/>
          <w:sz w:val="32"/>
          <w:szCs w:val="32"/>
        </w:rPr>
        <w:t>健康</w:t>
      </w:r>
      <w:r>
        <w:rPr>
          <w:rFonts w:ascii="Times New Roman" w:hAnsi="Times New Roman" w:eastAsia="方正仿宋_GBK" w:cs="Times New Roman"/>
          <w:sz w:val="32"/>
          <w:szCs w:val="32"/>
        </w:rPr>
        <w:t>支出安排97</w:t>
      </w:r>
      <w:r>
        <w:rPr>
          <w:rFonts w:hint="eastAsia" w:ascii="Times New Roman" w:hAnsi="Times New Roman" w:eastAsia="方正仿宋_GBK" w:cs="Times New Roman"/>
          <w:sz w:val="32"/>
          <w:szCs w:val="32"/>
        </w:rPr>
        <w:t>868万元，同比增长</w:t>
      </w:r>
      <w:r>
        <w:rPr>
          <w:rFonts w:ascii="Times New Roman" w:hAnsi="Times New Roman" w:eastAsia="方正仿宋_GBK" w:cs="Times New Roman"/>
          <w:sz w:val="32"/>
          <w:szCs w:val="32"/>
        </w:rPr>
        <w:t>47.</w:t>
      </w:r>
      <w:r>
        <w:rPr>
          <w:rFonts w:hint="eastAsia" w:ascii="Times New Roman" w:hAnsi="Times New Roman" w:eastAsia="方正仿宋_GBK" w:cs="Times New Roman"/>
          <w:sz w:val="32"/>
          <w:szCs w:val="32"/>
        </w:rPr>
        <w:t>51%，增幅原因为加强公共卫生建设</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主要用于：公立医院“六大投入”、城乡居民医保财政补助、基本公共卫生服务和计划生育扶助等。</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——节能环保支出</w:t>
      </w:r>
      <w:r>
        <w:rPr>
          <w:rFonts w:hint="eastAsia" w:ascii="Times New Roman" w:hAnsi="Times New Roman" w:eastAsia="方正仿宋_GBK" w:cs="Times New Roman"/>
          <w:sz w:val="32"/>
          <w:szCs w:val="32"/>
        </w:rPr>
        <w:t>安排</w:t>
      </w:r>
      <w:r>
        <w:rPr>
          <w:rFonts w:ascii="Times New Roman" w:hAnsi="Times New Roman" w:eastAsia="方正仿宋_GBK" w:cs="Times New Roman"/>
          <w:sz w:val="32"/>
          <w:szCs w:val="32"/>
        </w:rPr>
        <w:t>42543</w:t>
      </w:r>
      <w:r>
        <w:rPr>
          <w:rFonts w:hint="eastAsia" w:ascii="Times New Roman" w:hAnsi="Times New Roman" w:eastAsia="方正仿宋_GBK" w:cs="Times New Roman"/>
          <w:sz w:val="32"/>
          <w:szCs w:val="32"/>
        </w:rPr>
        <w:t>万元，同比增长5</w:t>
      </w:r>
      <w:r>
        <w:rPr>
          <w:rFonts w:ascii="Times New Roman" w:hAnsi="Times New Roman" w:eastAsia="方正仿宋_GBK" w:cs="Times New Roman"/>
          <w:sz w:val="32"/>
          <w:szCs w:val="32"/>
        </w:rPr>
        <w:t>4.62</w:t>
      </w:r>
      <w:r>
        <w:rPr>
          <w:rFonts w:hint="eastAsia" w:ascii="Times New Roman" w:hAnsi="Times New Roman" w:eastAsia="方正仿宋_GBK" w:cs="Times New Roman"/>
          <w:sz w:val="32"/>
          <w:szCs w:val="32"/>
        </w:rPr>
        <w:t>%，增幅原因为受疫情影响项目实施进度放缓，上年结转专款规模较大</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主要用于：大气污染治理、水环境保护、土地污染防治、环境执法、保境保护能力建设，实施库、塘、河、生态环境监控等。</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——城乡社区支出</w:t>
      </w:r>
      <w:r>
        <w:rPr>
          <w:rFonts w:hint="eastAsia" w:ascii="Times New Roman" w:hAnsi="Times New Roman" w:eastAsia="方正仿宋_GBK" w:cs="Times New Roman"/>
          <w:sz w:val="32"/>
          <w:szCs w:val="32"/>
        </w:rPr>
        <w:t>安排</w:t>
      </w:r>
      <w:r>
        <w:rPr>
          <w:rFonts w:ascii="Times New Roman" w:hAnsi="Times New Roman" w:eastAsia="方正仿宋_GBK" w:cs="Times New Roman"/>
          <w:sz w:val="32"/>
          <w:szCs w:val="32"/>
        </w:rPr>
        <w:t>11</w:t>
      </w:r>
      <w:r>
        <w:rPr>
          <w:rFonts w:hint="eastAsia" w:ascii="Times New Roman" w:hAnsi="Times New Roman" w:eastAsia="方正仿宋_GBK" w:cs="Times New Roman"/>
          <w:sz w:val="32"/>
          <w:szCs w:val="32"/>
        </w:rPr>
        <w:t>9012万元，同比增长</w:t>
      </w:r>
      <w:r>
        <w:rPr>
          <w:rFonts w:ascii="Times New Roman" w:hAnsi="Times New Roman" w:eastAsia="方正仿宋_GBK" w:cs="Times New Roman"/>
          <w:sz w:val="32"/>
          <w:szCs w:val="32"/>
        </w:rPr>
        <w:t>56.</w:t>
      </w:r>
      <w:r>
        <w:rPr>
          <w:rFonts w:hint="eastAsia" w:ascii="Times New Roman" w:hAnsi="Times New Roman" w:eastAsia="方正仿宋_GBK" w:cs="Times New Roman"/>
          <w:sz w:val="32"/>
          <w:szCs w:val="32"/>
        </w:rPr>
        <w:t>62%，增幅原因为受疫情影响项目实施进度放缓，上年结转专款规模较大</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主要用于：支持住房租赁市场发展、城市有机更新、城市基础设施建设和市容环境综合整治，保障城市清扫保洁、绿化和设施维护，城市建设规划设计。</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——农林水支出</w:t>
      </w:r>
      <w:r>
        <w:rPr>
          <w:rFonts w:hint="eastAsia" w:ascii="Times New Roman" w:hAnsi="Times New Roman" w:eastAsia="方正仿宋_GBK" w:cs="Times New Roman"/>
          <w:sz w:val="32"/>
          <w:szCs w:val="32"/>
        </w:rPr>
        <w:t>安排</w:t>
      </w:r>
      <w:r>
        <w:rPr>
          <w:rFonts w:ascii="Times New Roman" w:hAnsi="Times New Roman" w:eastAsia="方正仿宋_GBK" w:cs="Times New Roman"/>
          <w:sz w:val="32"/>
          <w:szCs w:val="32"/>
        </w:rPr>
        <w:t>26760</w:t>
      </w:r>
      <w:r>
        <w:rPr>
          <w:rFonts w:hint="eastAsia" w:ascii="Times New Roman" w:hAnsi="Times New Roman" w:eastAsia="方正仿宋_GBK" w:cs="Times New Roman"/>
          <w:sz w:val="32"/>
          <w:szCs w:val="32"/>
        </w:rPr>
        <w:t>万元，同比增长</w:t>
      </w:r>
      <w:r>
        <w:rPr>
          <w:rFonts w:ascii="Times New Roman" w:hAnsi="Times New Roman" w:eastAsia="方正仿宋_GBK" w:cs="Times New Roman"/>
          <w:sz w:val="32"/>
          <w:szCs w:val="32"/>
        </w:rPr>
        <w:t>4.23</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主要用于：乡村振兴，重点推进“长江花果山</w:t>
      </w:r>
      <w:r>
        <w:rPr>
          <w:rFonts w:hint="cs" w:ascii="Times New Roman" w:hAnsi="Times New Roman" w:eastAsia="方正仿宋_GBK" w:cs="Times New Roman"/>
          <w:sz w:val="32"/>
          <w:szCs w:val="32"/>
        </w:rPr>
        <w:t>•</w:t>
      </w:r>
      <w:r>
        <w:rPr>
          <w:rFonts w:hint="eastAsia" w:ascii="Times New Roman" w:hAnsi="Times New Roman" w:eastAsia="方正仿宋_GBK" w:cs="方正仿宋_GBK"/>
          <w:sz w:val="32"/>
          <w:szCs w:val="32"/>
        </w:rPr>
        <w:t>四季花果乡”农旅综合体、久农原乡九农谷等项目建设，支持“一环一廊四片六村”乡村振兴空间规划布局落地实施</w:t>
      </w:r>
      <w:r>
        <w:rPr>
          <w:rFonts w:hint="eastAsia" w:ascii="Times New Roman" w:hAnsi="Times New Roman" w:eastAsia="方正仿宋_GBK" w:cs="Times New Roman"/>
          <w:sz w:val="32"/>
          <w:szCs w:val="32"/>
        </w:rPr>
        <w:t>。</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——交通运输支出</w:t>
      </w:r>
      <w:r>
        <w:rPr>
          <w:rFonts w:hint="eastAsia" w:ascii="Times New Roman" w:hAnsi="Times New Roman" w:eastAsia="方正仿宋_GBK" w:cs="Times New Roman"/>
          <w:sz w:val="32"/>
          <w:szCs w:val="32"/>
        </w:rPr>
        <w:t>安排</w:t>
      </w:r>
      <w:r>
        <w:rPr>
          <w:rFonts w:ascii="Times New Roman" w:hAnsi="Times New Roman" w:eastAsia="方正仿宋_GBK" w:cs="Times New Roman"/>
          <w:sz w:val="32"/>
          <w:szCs w:val="32"/>
        </w:rPr>
        <w:t>14230</w:t>
      </w:r>
      <w:r>
        <w:rPr>
          <w:rFonts w:hint="eastAsia" w:ascii="Times New Roman" w:hAnsi="Times New Roman" w:eastAsia="方正仿宋_GBK" w:cs="Times New Roman"/>
          <w:sz w:val="32"/>
          <w:szCs w:val="32"/>
        </w:rPr>
        <w:t>万元，同比增长</w:t>
      </w:r>
      <w:r>
        <w:rPr>
          <w:rFonts w:ascii="Times New Roman" w:hAnsi="Times New Roman" w:eastAsia="方正仿宋_GBK" w:cs="Times New Roman"/>
          <w:sz w:val="32"/>
          <w:szCs w:val="32"/>
        </w:rPr>
        <w:t>19.42</w:t>
      </w:r>
      <w:r>
        <w:rPr>
          <w:rFonts w:hint="eastAsia" w:ascii="Times New Roman" w:hAnsi="Times New Roman" w:eastAsia="方正仿宋_GBK" w:cs="Times New Roman"/>
          <w:sz w:val="32"/>
          <w:szCs w:val="32"/>
        </w:rPr>
        <w:t>%，增幅原因为受疫情影响项目实施进度放缓，上年结转专款规模较大</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主要用于：国道及农村公路建设、养护及相关设施设备维护。</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——资源勘探</w:t>
      </w:r>
      <w:r>
        <w:rPr>
          <w:rFonts w:hint="eastAsia" w:ascii="Times New Roman" w:hAnsi="Times New Roman" w:eastAsia="方正仿宋_GBK" w:cs="Times New Roman"/>
          <w:sz w:val="32"/>
          <w:szCs w:val="32"/>
        </w:rPr>
        <w:t>工业</w:t>
      </w:r>
      <w:r>
        <w:rPr>
          <w:rFonts w:ascii="Times New Roman" w:hAnsi="Times New Roman" w:eastAsia="方正仿宋_GBK" w:cs="Times New Roman"/>
          <w:sz w:val="32"/>
          <w:szCs w:val="32"/>
        </w:rPr>
        <w:t>信息等支出安排8209</w:t>
      </w:r>
      <w:r>
        <w:rPr>
          <w:rFonts w:hint="eastAsia" w:ascii="Times New Roman" w:hAnsi="Times New Roman" w:eastAsia="方正仿宋_GBK" w:cs="Times New Roman"/>
          <w:sz w:val="32"/>
          <w:szCs w:val="32"/>
        </w:rPr>
        <w:t>万元，同比下降</w:t>
      </w:r>
      <w:r>
        <w:rPr>
          <w:rFonts w:ascii="Times New Roman" w:hAnsi="Times New Roman" w:eastAsia="方正仿宋_GBK" w:cs="Times New Roman"/>
          <w:sz w:val="32"/>
          <w:szCs w:val="32"/>
        </w:rPr>
        <w:t>73.72</w:t>
      </w:r>
      <w:r>
        <w:rPr>
          <w:rFonts w:hint="eastAsia" w:ascii="Times New Roman" w:hAnsi="Times New Roman" w:eastAsia="方正仿宋_GBK" w:cs="Times New Roman"/>
          <w:sz w:val="32"/>
          <w:szCs w:val="32"/>
        </w:rPr>
        <w:t>%，降幅原因为结转资金减少及加大国有经营预算收入对公共财政的统筹支持力度。主要用于：支撑产业转型升级，推动两化融合、产城融合，促进工业提质增效、服务业升级换代。保障工业产业政策执行和招商引资项目落地。</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——商业服务业等支出</w:t>
      </w:r>
      <w:r>
        <w:rPr>
          <w:rFonts w:hint="eastAsia" w:ascii="Times New Roman" w:hAnsi="Times New Roman" w:eastAsia="方正仿宋_GBK" w:cs="Times New Roman"/>
          <w:sz w:val="32"/>
          <w:szCs w:val="32"/>
        </w:rPr>
        <w:t>安排</w:t>
      </w:r>
      <w:r>
        <w:rPr>
          <w:rFonts w:ascii="Times New Roman" w:hAnsi="Times New Roman" w:eastAsia="方正仿宋_GBK" w:cs="Times New Roman"/>
          <w:sz w:val="32"/>
          <w:szCs w:val="32"/>
        </w:rPr>
        <w:t>4086</w:t>
      </w:r>
      <w:r>
        <w:rPr>
          <w:rFonts w:hint="eastAsia" w:ascii="Times New Roman" w:hAnsi="Times New Roman" w:eastAsia="方正仿宋_GBK" w:cs="Times New Roman"/>
          <w:sz w:val="32"/>
          <w:szCs w:val="32"/>
        </w:rPr>
        <w:t>万元，同比增长2</w:t>
      </w:r>
      <w:r>
        <w:rPr>
          <w:rFonts w:ascii="Times New Roman" w:hAnsi="Times New Roman" w:eastAsia="方正仿宋_GBK" w:cs="Times New Roman"/>
          <w:sz w:val="32"/>
          <w:szCs w:val="32"/>
        </w:rPr>
        <w:t>.48</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。主要用于：</w:t>
      </w:r>
      <w:r>
        <w:rPr>
          <w:rFonts w:hint="eastAsia" w:ascii="Times New Roman" w:hAnsi="Times New Roman" w:eastAsia="方正仿宋_GBK" w:cs="Times New Roman"/>
          <w:sz w:val="32"/>
          <w:szCs w:val="32"/>
        </w:rPr>
        <w:t>打造内陆开放高地，培育开放市场主体，构建更加完善的开放型经济体系。支持九龙新商圈高品质提升、电子商务及跨境电商、外贸综合服务、服务贸易等产业发展。支持国际消费中心城市建设，举办各类促销活动，培育更具活力的消费市场。</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——住房保障</w:t>
      </w:r>
      <w:r>
        <w:rPr>
          <w:rFonts w:hint="eastAsia" w:ascii="Times New Roman" w:hAnsi="Times New Roman" w:eastAsia="方正仿宋_GBK" w:cs="Times New Roman"/>
          <w:sz w:val="32"/>
          <w:szCs w:val="32"/>
        </w:rPr>
        <w:t>安排</w:t>
      </w:r>
      <w:r>
        <w:rPr>
          <w:rFonts w:ascii="Times New Roman" w:hAnsi="Times New Roman" w:eastAsia="方正仿宋_GBK" w:cs="Times New Roman"/>
          <w:sz w:val="32"/>
          <w:szCs w:val="32"/>
        </w:rPr>
        <w:t>41119</w:t>
      </w:r>
      <w:r>
        <w:rPr>
          <w:rFonts w:hint="eastAsia" w:ascii="Times New Roman" w:hAnsi="Times New Roman" w:eastAsia="方正仿宋_GBK" w:cs="Times New Roman"/>
          <w:sz w:val="32"/>
          <w:szCs w:val="32"/>
        </w:rPr>
        <w:t>万元，同比下降</w:t>
      </w:r>
      <w:r>
        <w:rPr>
          <w:rFonts w:ascii="Times New Roman" w:hAnsi="Times New Roman" w:eastAsia="方正仿宋_GBK" w:cs="Times New Roman"/>
          <w:sz w:val="32"/>
          <w:szCs w:val="32"/>
        </w:rPr>
        <w:t>18.6</w:t>
      </w:r>
      <w:r>
        <w:rPr>
          <w:rFonts w:hint="eastAsia" w:ascii="Times New Roman" w:hAnsi="Times New Roman" w:eastAsia="方正仿宋_GBK" w:cs="Times New Roman"/>
          <w:sz w:val="32"/>
          <w:szCs w:val="32"/>
        </w:rPr>
        <w:t>%，降幅原因为保障性安居工程等上级专款减少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主要用于：保障性安居工程，保障公租房和廉租房管理、机关事业人员住房公积金及住房补贴。</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——灾害防治及应急管理支出</w:t>
      </w:r>
      <w:r>
        <w:rPr>
          <w:rFonts w:hint="eastAsia" w:ascii="Times New Roman" w:hAnsi="Times New Roman" w:eastAsia="方正仿宋_GBK" w:cs="Times New Roman"/>
          <w:sz w:val="32"/>
          <w:szCs w:val="32"/>
        </w:rPr>
        <w:t>安排</w:t>
      </w:r>
      <w:r>
        <w:rPr>
          <w:rFonts w:ascii="Times New Roman" w:hAnsi="Times New Roman" w:eastAsia="方正仿宋_GBK" w:cs="Times New Roman"/>
          <w:sz w:val="32"/>
          <w:szCs w:val="32"/>
        </w:rPr>
        <w:t>11</w:t>
      </w:r>
      <w:r>
        <w:rPr>
          <w:rFonts w:hint="eastAsia" w:ascii="Times New Roman" w:hAnsi="Times New Roman" w:eastAsia="方正仿宋_GBK" w:cs="Times New Roman"/>
          <w:sz w:val="32"/>
          <w:szCs w:val="32"/>
        </w:rPr>
        <w:t>95</w:t>
      </w: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rPr>
        <w:t>万元，同比增长</w:t>
      </w: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96%</w:t>
      </w:r>
      <w:r>
        <w:rPr>
          <w:rFonts w:ascii="Times New Roman" w:hAnsi="Times New Roman" w:eastAsia="方正仿宋_GBK" w:cs="Times New Roman"/>
          <w:sz w:val="32"/>
          <w:szCs w:val="32"/>
        </w:rPr>
        <w:t>。主要用于：支持安全生产和自然灾害的监督执法，保障事故灾害预警和应急救援</w:t>
      </w:r>
      <w:r>
        <w:rPr>
          <w:rFonts w:hint="eastAsia" w:ascii="Times New Roman" w:hAnsi="Times New Roman" w:eastAsia="方正仿宋_GBK" w:cs="Times New Roman"/>
          <w:sz w:val="32"/>
          <w:szCs w:val="32"/>
        </w:rPr>
        <w:t>。</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——公共安全支出</w:t>
      </w:r>
      <w:r>
        <w:rPr>
          <w:rFonts w:hint="eastAsia" w:ascii="Times New Roman" w:hAnsi="Times New Roman" w:eastAsia="方正仿宋_GBK" w:cs="Times New Roman"/>
          <w:sz w:val="32"/>
          <w:szCs w:val="32"/>
        </w:rPr>
        <w:t>安排</w:t>
      </w:r>
      <w:r>
        <w:rPr>
          <w:rFonts w:ascii="Times New Roman" w:hAnsi="Times New Roman" w:eastAsia="方正仿宋_GBK" w:cs="Times New Roman"/>
          <w:sz w:val="32"/>
          <w:szCs w:val="32"/>
        </w:rPr>
        <w:t>73763</w:t>
      </w:r>
      <w:r>
        <w:rPr>
          <w:rFonts w:hint="eastAsia" w:ascii="Times New Roman" w:hAnsi="Times New Roman" w:eastAsia="方正仿宋_GBK" w:cs="Times New Roman"/>
          <w:sz w:val="32"/>
          <w:szCs w:val="32"/>
        </w:rPr>
        <w:t>万元，同比下降</w:t>
      </w:r>
      <w:r>
        <w:rPr>
          <w:rFonts w:ascii="Times New Roman" w:hAnsi="Times New Roman" w:eastAsia="方正仿宋_GBK" w:cs="Times New Roman"/>
          <w:sz w:val="32"/>
          <w:szCs w:val="32"/>
        </w:rPr>
        <w:t>7.81</w:t>
      </w:r>
      <w:r>
        <w:rPr>
          <w:rFonts w:hint="eastAsia" w:ascii="Times New Roman" w:hAnsi="Times New Roman" w:eastAsia="方正仿宋_GBK" w:cs="Times New Roman"/>
          <w:sz w:val="32"/>
          <w:szCs w:val="32"/>
        </w:rPr>
        <w:t>%，降幅原因为平衡财力压减常年性项目规模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主要用于：支持公安大数据建设，落实政法办案、装备经费。继续深化平安建设，加强安全防控智能化建设，支持现有公共安全设施的修缮和更新。</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——一般公共服务支出</w:t>
      </w:r>
      <w:r>
        <w:rPr>
          <w:rFonts w:hint="eastAsia" w:ascii="Times New Roman" w:hAnsi="Times New Roman" w:eastAsia="方正仿宋_GBK" w:cs="Times New Roman"/>
          <w:sz w:val="32"/>
          <w:szCs w:val="32"/>
        </w:rPr>
        <w:t>安排</w:t>
      </w: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rPr>
        <w:t>8033万元，同比增长15.59%，增幅原因为机关事业单位正常人员变动增加支出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主要用于：保障党政机关、人大、政协和民主党派、人民团体履职。</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债务付息支出安排</w:t>
      </w:r>
      <w:r>
        <w:rPr>
          <w:rFonts w:ascii="Times New Roman" w:hAnsi="Times New Roman" w:eastAsia="方正仿宋_GBK" w:cs="Times New Roman"/>
          <w:sz w:val="32"/>
          <w:szCs w:val="32"/>
        </w:rPr>
        <w:t>2823</w:t>
      </w:r>
      <w:r>
        <w:rPr>
          <w:rFonts w:hint="eastAsia" w:ascii="Times New Roman" w:hAnsi="Times New Roman" w:eastAsia="方正仿宋_GBK" w:cs="Times New Roman"/>
          <w:sz w:val="32"/>
          <w:szCs w:val="32"/>
        </w:rPr>
        <w:t>8万元</w:t>
      </w:r>
      <w:r>
        <w:rPr>
          <w:rFonts w:ascii="Times New Roman" w:hAnsi="Times New Roman" w:eastAsia="方正仿宋_GBK" w:cs="Times New Roman"/>
          <w:sz w:val="32"/>
          <w:szCs w:val="32"/>
        </w:rPr>
        <w:t>。主要用于：</w:t>
      </w:r>
      <w:r>
        <w:rPr>
          <w:rFonts w:hint="eastAsia" w:ascii="Times New Roman" w:hAnsi="Times New Roman" w:eastAsia="方正仿宋_GBK" w:cs="Times New Roman"/>
          <w:sz w:val="32"/>
          <w:szCs w:val="32"/>
        </w:rPr>
        <w:t>地方政府</w:t>
      </w:r>
      <w:r>
        <w:rPr>
          <w:rFonts w:ascii="Times New Roman" w:hAnsi="Times New Roman" w:eastAsia="方正仿宋_GBK" w:cs="Times New Roman"/>
          <w:sz w:val="32"/>
          <w:szCs w:val="32"/>
        </w:rPr>
        <w:t>一般债券付息。</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——预备费支出</w:t>
      </w:r>
      <w:r>
        <w:rPr>
          <w:rFonts w:hint="eastAsia" w:ascii="Times New Roman" w:hAnsi="Times New Roman" w:eastAsia="方正仿宋_GBK" w:cs="Times New Roman"/>
          <w:sz w:val="32"/>
          <w:szCs w:val="32"/>
        </w:rPr>
        <w:t>安排</w:t>
      </w:r>
      <w:r>
        <w:rPr>
          <w:rFonts w:ascii="Times New Roman" w:hAnsi="Times New Roman" w:eastAsia="方正仿宋_GBK" w:cs="Times New Roman"/>
          <w:sz w:val="32"/>
          <w:szCs w:val="32"/>
        </w:rPr>
        <w:t>30000</w:t>
      </w:r>
      <w:r>
        <w:rPr>
          <w:rFonts w:hint="eastAsia" w:ascii="Times New Roman" w:hAnsi="Times New Roman" w:eastAsia="方正仿宋_GBK" w:cs="Times New Roman"/>
          <w:sz w:val="32"/>
          <w:szCs w:val="32"/>
        </w:rPr>
        <w:t>万元</w:t>
      </w:r>
      <w:r>
        <w:rPr>
          <w:rFonts w:ascii="Times New Roman" w:hAnsi="Times New Roman" w:eastAsia="方正仿宋_GBK" w:cs="Times New Roman"/>
          <w:sz w:val="32"/>
          <w:szCs w:val="32"/>
        </w:rPr>
        <w:t>。主要用于：</w:t>
      </w:r>
      <w:r>
        <w:rPr>
          <w:rFonts w:hint="eastAsia" w:ascii="Times New Roman" w:hAnsi="Times New Roman" w:eastAsia="方正仿宋_GBK" w:cs="Times New Roman"/>
          <w:sz w:val="32"/>
          <w:szCs w:val="32"/>
        </w:rPr>
        <w:t>自然灾害等突发事件处置所增加的支出及其他难以预见的开支。</w:t>
      </w:r>
    </w:p>
    <w:p>
      <w:pPr>
        <w:adjustRightInd w:val="0"/>
        <w:snapToGrid w:val="0"/>
        <w:spacing w:line="594"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（二）政府性基金预算草案</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预计政府性基金预算上级补助收入</w:t>
      </w:r>
      <w:r>
        <w:rPr>
          <w:rFonts w:ascii="Times New Roman" w:hAnsi="Times New Roman" w:eastAsia="方正仿宋_GBK" w:cs="Times New Roman"/>
          <w:sz w:val="32"/>
          <w:szCs w:val="32"/>
        </w:rPr>
        <w:t>464441</w:t>
      </w:r>
      <w:r>
        <w:rPr>
          <w:rFonts w:hint="eastAsia" w:ascii="Times New Roman" w:hAnsi="Times New Roman" w:eastAsia="方正仿宋_GBK" w:cs="Times New Roman"/>
          <w:sz w:val="32"/>
          <w:szCs w:val="32"/>
        </w:rPr>
        <w:t>万元，地方政府专项债务转贷收入</w:t>
      </w:r>
      <w:r>
        <w:rPr>
          <w:rFonts w:ascii="Times New Roman" w:hAnsi="Times New Roman" w:eastAsia="方正仿宋_GBK" w:cs="Times New Roman"/>
          <w:sz w:val="32"/>
          <w:szCs w:val="32"/>
        </w:rPr>
        <w:t>282000</w:t>
      </w:r>
      <w:r>
        <w:rPr>
          <w:rFonts w:hint="eastAsia" w:ascii="Times New Roman" w:hAnsi="Times New Roman" w:eastAsia="方正仿宋_GBK" w:cs="Times New Roman"/>
          <w:sz w:val="32"/>
          <w:szCs w:val="32"/>
        </w:rPr>
        <w:t>万元，上年结转</w:t>
      </w:r>
      <w:r>
        <w:rPr>
          <w:rFonts w:ascii="Times New Roman" w:hAnsi="Times New Roman" w:eastAsia="方正仿宋_GBK" w:cs="Times New Roman"/>
          <w:sz w:val="32"/>
          <w:szCs w:val="32"/>
        </w:rPr>
        <w:t>138838</w:t>
      </w:r>
      <w:r>
        <w:rPr>
          <w:rFonts w:hint="eastAsia" w:ascii="Times New Roman" w:hAnsi="Times New Roman" w:eastAsia="方正仿宋_GBK" w:cs="Times New Roman"/>
          <w:sz w:val="32"/>
          <w:szCs w:val="32"/>
        </w:rPr>
        <w:t>万元，收入总计8</w:t>
      </w:r>
      <w:r>
        <w:rPr>
          <w:rFonts w:ascii="Times New Roman" w:hAnsi="Times New Roman" w:eastAsia="方正仿宋_GBK" w:cs="Times New Roman"/>
          <w:sz w:val="32"/>
          <w:szCs w:val="32"/>
        </w:rPr>
        <w:t>85279</w:t>
      </w:r>
      <w:r>
        <w:rPr>
          <w:rFonts w:hint="eastAsia" w:ascii="Times New Roman" w:hAnsi="Times New Roman" w:eastAsia="方正仿宋_GBK" w:cs="Times New Roman"/>
          <w:sz w:val="32"/>
          <w:szCs w:val="32"/>
        </w:rPr>
        <w:t>万元。全区政府性基金预算支出预计安排</w:t>
      </w:r>
      <w:r>
        <w:rPr>
          <w:rFonts w:ascii="Times New Roman" w:hAnsi="Times New Roman" w:eastAsia="方正仿宋_GBK" w:cs="Times New Roman"/>
          <w:sz w:val="32"/>
          <w:szCs w:val="32"/>
        </w:rPr>
        <w:t>453279</w:t>
      </w:r>
      <w:r>
        <w:rPr>
          <w:rFonts w:hint="eastAsia" w:ascii="Times New Roman" w:hAnsi="Times New Roman" w:eastAsia="方正仿宋_GBK" w:cs="Times New Roman"/>
          <w:sz w:val="32"/>
          <w:szCs w:val="32"/>
        </w:rPr>
        <w:t>万元，加上地方政府专项债务还本支出2</w:t>
      </w:r>
      <w:r>
        <w:rPr>
          <w:rFonts w:ascii="Times New Roman" w:hAnsi="Times New Roman" w:eastAsia="方正仿宋_GBK" w:cs="Times New Roman"/>
          <w:sz w:val="32"/>
          <w:szCs w:val="32"/>
        </w:rPr>
        <w:t>82000</w:t>
      </w:r>
      <w:r>
        <w:rPr>
          <w:rFonts w:hint="eastAsia" w:ascii="Times New Roman" w:hAnsi="Times New Roman" w:eastAsia="方正仿宋_GBK" w:cs="Times New Roman"/>
          <w:sz w:val="32"/>
          <w:szCs w:val="32"/>
        </w:rPr>
        <w:t>万元、调出资金1</w:t>
      </w:r>
      <w:r>
        <w:rPr>
          <w:rFonts w:ascii="Times New Roman" w:hAnsi="Times New Roman" w:eastAsia="方正仿宋_GBK" w:cs="Times New Roman"/>
          <w:sz w:val="32"/>
          <w:szCs w:val="32"/>
        </w:rPr>
        <w:t>50000</w:t>
      </w:r>
      <w:r>
        <w:rPr>
          <w:rFonts w:hint="eastAsia" w:ascii="Times New Roman" w:hAnsi="Times New Roman" w:eastAsia="方正仿宋_GBK" w:cs="Times New Roman"/>
          <w:sz w:val="32"/>
          <w:szCs w:val="32"/>
        </w:rPr>
        <w:t>万元，支出总计8</w:t>
      </w:r>
      <w:r>
        <w:rPr>
          <w:rFonts w:ascii="Times New Roman" w:hAnsi="Times New Roman" w:eastAsia="方正仿宋_GBK" w:cs="Times New Roman"/>
          <w:sz w:val="32"/>
          <w:szCs w:val="32"/>
        </w:rPr>
        <w:t>85279</w:t>
      </w:r>
      <w:r>
        <w:rPr>
          <w:rFonts w:hint="eastAsia" w:ascii="Times New Roman" w:hAnsi="Times New Roman" w:eastAsia="方正仿宋_GBK" w:cs="Times New Roman"/>
          <w:sz w:val="32"/>
          <w:szCs w:val="32"/>
        </w:rPr>
        <w:t>万元。拟主要安排如下：</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城乡社区支出</w:t>
      </w:r>
      <w:r>
        <w:rPr>
          <w:rFonts w:ascii="Times New Roman" w:hAnsi="Times New Roman" w:eastAsia="方正仿宋_GBK" w:cs="Times New Roman"/>
          <w:sz w:val="32"/>
          <w:szCs w:val="32"/>
        </w:rPr>
        <w:t>36</w:t>
      </w:r>
      <w:r>
        <w:rPr>
          <w:rFonts w:hint="eastAsia" w:ascii="Times New Roman" w:hAnsi="Times New Roman" w:eastAsia="方正仿宋_GBK" w:cs="Times New Roman"/>
          <w:sz w:val="32"/>
          <w:szCs w:val="32"/>
        </w:rPr>
        <w:t>4248万元，同比增长</w:t>
      </w:r>
      <w:r>
        <w:rPr>
          <w:rFonts w:ascii="Times New Roman" w:hAnsi="Times New Roman" w:eastAsia="方正仿宋_GBK" w:cs="Times New Roman"/>
          <w:sz w:val="32"/>
          <w:szCs w:val="32"/>
        </w:rPr>
        <w:t>77.</w:t>
      </w:r>
      <w:r>
        <w:rPr>
          <w:rFonts w:hint="eastAsia" w:ascii="Times New Roman" w:hAnsi="Times New Roman" w:eastAsia="方正仿宋_GBK" w:cs="Times New Roman"/>
          <w:sz w:val="32"/>
          <w:szCs w:val="32"/>
        </w:rPr>
        <w:t>90%，增幅原因为土地成本等结转规模较大</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主要用于保障城市更新项目建设、政府购买服务。</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债务付息支出</w:t>
      </w:r>
      <w:r>
        <w:rPr>
          <w:rFonts w:ascii="Times New Roman" w:hAnsi="Times New Roman" w:eastAsia="方正仿宋_GBK" w:cs="Times New Roman"/>
          <w:sz w:val="32"/>
          <w:szCs w:val="32"/>
        </w:rPr>
        <w:t>63239</w:t>
      </w:r>
      <w:r>
        <w:rPr>
          <w:rFonts w:hint="eastAsia" w:ascii="Times New Roman" w:hAnsi="Times New Roman" w:eastAsia="方正仿宋_GBK" w:cs="Times New Roman"/>
          <w:sz w:val="32"/>
          <w:szCs w:val="32"/>
        </w:rPr>
        <w:t>万元</w:t>
      </w:r>
      <w:r>
        <w:rPr>
          <w:rFonts w:ascii="Times New Roman" w:hAnsi="Times New Roman" w:eastAsia="方正仿宋_GBK" w:cs="Times New Roman"/>
          <w:sz w:val="32"/>
          <w:szCs w:val="32"/>
        </w:rPr>
        <w:t>。主要用于：地方政府专项债券付息。</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其他支出</w:t>
      </w:r>
      <w:r>
        <w:rPr>
          <w:rFonts w:ascii="Times New Roman" w:hAnsi="Times New Roman" w:eastAsia="方正仿宋_GBK" w:cs="Times New Roman"/>
          <w:sz w:val="32"/>
          <w:szCs w:val="32"/>
        </w:rPr>
        <w:t>239</w:t>
      </w:r>
      <w:r>
        <w:rPr>
          <w:rFonts w:hint="eastAsia" w:ascii="Times New Roman" w:hAnsi="Times New Roman" w:eastAsia="方正仿宋_GBK" w:cs="Times New Roman"/>
          <w:sz w:val="32"/>
          <w:szCs w:val="32"/>
        </w:rPr>
        <w:t>73万元</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主要用于：养老服务、体育事业、教育事业等。</w:t>
      </w:r>
    </w:p>
    <w:p>
      <w:pPr>
        <w:adjustRightInd w:val="0"/>
        <w:snapToGrid w:val="0"/>
        <w:spacing w:line="594"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（三）国有资本经营预算草案</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全区国有资本经营预算收入预计完成</w:t>
      </w:r>
      <w:r>
        <w:rPr>
          <w:rFonts w:ascii="Times New Roman" w:hAnsi="Times New Roman" w:eastAsia="方正仿宋_GBK" w:cs="Times New Roman"/>
          <w:sz w:val="32"/>
          <w:szCs w:val="32"/>
        </w:rPr>
        <w:t>20507</w:t>
      </w:r>
      <w:r>
        <w:rPr>
          <w:rFonts w:hint="eastAsia" w:ascii="Times New Roman" w:hAnsi="Times New Roman" w:eastAsia="方正仿宋_GBK" w:cs="Times New Roman"/>
          <w:sz w:val="32"/>
          <w:szCs w:val="32"/>
        </w:rPr>
        <w:t>万元，上年结转</w:t>
      </w:r>
      <w:r>
        <w:rPr>
          <w:rFonts w:ascii="Times New Roman" w:hAnsi="Times New Roman" w:eastAsia="方正仿宋_GBK" w:cs="Times New Roman"/>
          <w:sz w:val="32"/>
          <w:szCs w:val="32"/>
        </w:rPr>
        <w:t>0</w:t>
      </w:r>
      <w:r>
        <w:rPr>
          <w:rFonts w:hint="eastAsia" w:ascii="Times New Roman" w:hAnsi="Times New Roman" w:eastAsia="方正仿宋_GBK" w:cs="Times New Roman"/>
          <w:sz w:val="32"/>
          <w:szCs w:val="32"/>
        </w:rPr>
        <w:t>万元，收入总计</w:t>
      </w:r>
      <w:r>
        <w:rPr>
          <w:rFonts w:ascii="Times New Roman" w:hAnsi="Times New Roman" w:eastAsia="方正仿宋_GBK" w:cs="Times New Roman"/>
          <w:sz w:val="32"/>
          <w:szCs w:val="32"/>
        </w:rPr>
        <w:t>20507</w:t>
      </w:r>
      <w:r>
        <w:rPr>
          <w:rFonts w:hint="eastAsia" w:ascii="Times New Roman" w:hAnsi="Times New Roman" w:eastAsia="方正仿宋_GBK" w:cs="Times New Roman"/>
          <w:sz w:val="32"/>
          <w:szCs w:val="32"/>
        </w:rPr>
        <w:t>万元。全区国有资本经营预算支出预计安排</w:t>
      </w:r>
      <w:r>
        <w:rPr>
          <w:rFonts w:ascii="Times New Roman" w:hAnsi="Times New Roman" w:eastAsia="方正仿宋_GBK" w:cs="Times New Roman"/>
          <w:sz w:val="32"/>
          <w:szCs w:val="32"/>
        </w:rPr>
        <w:t>0</w:t>
      </w:r>
      <w:r>
        <w:rPr>
          <w:rFonts w:hint="eastAsia" w:ascii="Times New Roman" w:hAnsi="Times New Roman" w:eastAsia="方正仿宋_GBK" w:cs="Times New Roman"/>
          <w:sz w:val="32"/>
          <w:szCs w:val="32"/>
        </w:rPr>
        <w:t>万元，调出资金</w:t>
      </w:r>
      <w:r>
        <w:rPr>
          <w:rFonts w:ascii="Times New Roman" w:hAnsi="Times New Roman" w:eastAsia="方正仿宋_GBK" w:cs="Times New Roman"/>
          <w:sz w:val="32"/>
          <w:szCs w:val="32"/>
        </w:rPr>
        <w:t>20507</w:t>
      </w:r>
      <w:r>
        <w:rPr>
          <w:rFonts w:hint="eastAsia" w:ascii="Times New Roman" w:hAnsi="Times New Roman" w:eastAsia="方正仿宋_GBK" w:cs="Times New Roman"/>
          <w:sz w:val="32"/>
          <w:szCs w:val="32"/>
        </w:rPr>
        <w:t>万元，支出总计</w:t>
      </w:r>
      <w:r>
        <w:rPr>
          <w:rFonts w:ascii="Times New Roman" w:hAnsi="Times New Roman" w:eastAsia="方正仿宋_GBK" w:cs="Times New Roman"/>
          <w:sz w:val="32"/>
          <w:szCs w:val="32"/>
        </w:rPr>
        <w:t>20507</w:t>
      </w:r>
      <w:r>
        <w:rPr>
          <w:rFonts w:hint="eastAsia" w:ascii="Times New Roman" w:hAnsi="Times New Roman" w:eastAsia="方正仿宋_GBK" w:cs="Times New Roman"/>
          <w:sz w:val="32"/>
          <w:szCs w:val="32"/>
        </w:rPr>
        <w:t>万元。</w:t>
      </w:r>
    </w:p>
    <w:p>
      <w:pPr>
        <w:adjustRightInd w:val="0"/>
        <w:snapToGrid w:val="0"/>
        <w:spacing w:line="594"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（四）部门决算结转资金情况</w:t>
      </w:r>
    </w:p>
    <w:p>
      <w:pPr>
        <w:adjustRightInd w:val="0"/>
        <w:snapToGrid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由于202</w:t>
      </w: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年部门决算编制时间晚于本次人代会召开时间，部门决算结转资金情况将同202</w:t>
      </w: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rPr>
        <w:t>年半年预算执行情况一并向区人大常委会报告。</w:t>
      </w:r>
    </w:p>
    <w:p>
      <w:pPr>
        <w:adjustRightInd w:val="0"/>
        <w:snapToGrid w:val="0"/>
        <w:spacing w:line="594"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各位代表，</w:t>
      </w:r>
      <w:r>
        <w:rPr>
          <w:rFonts w:hint="eastAsia" w:ascii="Times New Roman" w:hAnsi="Times New Roman" w:eastAsia="方正仿宋_GBK"/>
          <w:sz w:val="32"/>
          <w:szCs w:val="32"/>
        </w:rPr>
        <w:t>奋斗创造历史，实干成就未来。2023年，</w:t>
      </w:r>
      <w:r>
        <w:rPr>
          <w:rFonts w:hint="eastAsia" w:ascii="Times New Roman" w:hAnsi="Times New Roman" w:eastAsia="方正仿宋_GBK" w:cs="Times New Roman"/>
          <w:sz w:val="32"/>
          <w:szCs w:val="32"/>
        </w:rPr>
        <w:t>我们将更加紧密地团结在以习近平同志为核心的党中央周围，在区委的坚强领导下，自觉接受区人大法律监督，主动接受区政协民主监督，</w:t>
      </w:r>
      <w:r>
        <w:rPr>
          <w:rFonts w:hint="eastAsia" w:ascii="Times New Roman" w:hAnsi="Times New Roman" w:eastAsia="方正仿宋_GBK"/>
          <w:sz w:val="32"/>
          <w:szCs w:val="32"/>
        </w:rPr>
        <w:t>坚定信心、团结奋斗、攻坚克难，以昂扬向上的精神面貌和奋发有为的务实行动，扎实做好财政各项工作，</w:t>
      </w:r>
      <w:r>
        <w:rPr>
          <w:rFonts w:hint="eastAsia" w:ascii="Times New Roman" w:hAnsi="Times New Roman" w:eastAsia="方正仿宋_GBK" w:cs="Times New Roman"/>
          <w:sz w:val="32"/>
          <w:szCs w:val="32"/>
        </w:rPr>
        <w:t>为开创新时代新征程九龙坡发展新境界贡献财政力量和担当！</w:t>
      </w:r>
    </w:p>
    <w:p>
      <w:pPr>
        <w:adjustRightInd w:val="0"/>
        <w:snapToGrid w:val="0"/>
        <w:spacing w:line="594" w:lineRule="exact"/>
        <w:ind w:firstLine="640"/>
        <w:rPr>
          <w:rFonts w:ascii="Times New Roman" w:hAnsi="Times New Roman" w:eastAsia="方正仿宋_GBK" w:cs="Times New Roman"/>
          <w:sz w:val="32"/>
          <w:szCs w:val="32"/>
        </w:rPr>
      </w:pPr>
    </w:p>
    <w:p>
      <w:pPr>
        <w:adjustRightInd w:val="0"/>
        <w:snapToGrid w:val="0"/>
        <w:spacing w:line="594" w:lineRule="exact"/>
        <w:ind w:left="1598" w:leftChars="304" w:hanging="960" w:hangingChars="300"/>
        <w:rPr>
          <w:rFonts w:ascii="Times New Roman" w:hAnsi="Times New Roman" w:eastAsia="方正仿宋_GBK" w:cs="宋体"/>
          <w:kern w:val="0"/>
          <w:sz w:val="32"/>
          <w:szCs w:val="32"/>
          <w:lang w:val="zh-CN"/>
        </w:rPr>
      </w:pPr>
      <w:r>
        <w:rPr>
          <w:rFonts w:hint="eastAsia" w:ascii="Times New Roman" w:hAnsi="Times New Roman" w:eastAsia="方正仿宋_GBK" w:cs="Times New Roman"/>
          <w:color w:val="000000" w:themeColor="text1"/>
          <w:sz w:val="32"/>
          <w:szCs w:val="32"/>
        </w:rPr>
        <w:t>附件：1.</w:t>
      </w:r>
      <w:r>
        <w:rPr>
          <w:rFonts w:hint="eastAsia" w:ascii="Times New Roman" w:hAnsi="Times New Roman" w:eastAsia="方正仿宋_GBK" w:cs="宋体"/>
          <w:kern w:val="0"/>
          <w:sz w:val="32"/>
          <w:szCs w:val="32"/>
          <w:lang w:val="zh-CN"/>
        </w:rPr>
        <w:t>重庆市九龙坡区202</w:t>
      </w:r>
      <w:r>
        <w:rPr>
          <w:rFonts w:hint="eastAsia" w:ascii="Times New Roman" w:hAnsi="Times New Roman" w:eastAsia="方正仿宋_GBK" w:cs="宋体"/>
          <w:kern w:val="0"/>
          <w:sz w:val="32"/>
          <w:szCs w:val="32"/>
        </w:rPr>
        <w:t>2</w:t>
      </w:r>
      <w:r>
        <w:rPr>
          <w:rFonts w:hint="eastAsia" w:ascii="Times New Roman" w:hAnsi="Times New Roman" w:eastAsia="方正仿宋_GBK" w:cs="宋体"/>
          <w:kern w:val="0"/>
          <w:sz w:val="32"/>
          <w:szCs w:val="32"/>
          <w:lang w:val="zh-CN"/>
        </w:rPr>
        <w:t>年预算执行情况和202</w:t>
      </w:r>
      <w:r>
        <w:rPr>
          <w:rFonts w:hint="eastAsia" w:ascii="Times New Roman" w:hAnsi="Times New Roman" w:eastAsia="方正仿宋_GBK" w:cs="宋体"/>
          <w:kern w:val="0"/>
          <w:sz w:val="32"/>
          <w:szCs w:val="32"/>
        </w:rPr>
        <w:t>3</w:t>
      </w:r>
      <w:r>
        <w:rPr>
          <w:rFonts w:hint="eastAsia" w:ascii="Times New Roman" w:hAnsi="Times New Roman" w:eastAsia="方正仿宋_GBK" w:cs="宋体"/>
          <w:kern w:val="0"/>
          <w:sz w:val="32"/>
          <w:szCs w:val="32"/>
          <w:lang w:val="zh-CN"/>
        </w:rPr>
        <w:t>年预算草案报告附表</w:t>
      </w:r>
    </w:p>
    <w:p>
      <w:pPr>
        <w:adjustRightInd w:val="0"/>
        <w:snapToGrid w:val="0"/>
        <w:spacing w:line="594" w:lineRule="exact"/>
        <w:ind w:left="1598" w:leftChars="304" w:hanging="960" w:hangingChars="300"/>
        <w:rPr>
          <w:rFonts w:ascii="Times New Roman" w:hAnsi="Times New Roman" w:eastAsia="方正仿宋_GBK" w:cs="Times New Roman"/>
          <w:sz w:val="32"/>
          <w:szCs w:val="32"/>
        </w:rPr>
      </w:pPr>
      <w:r>
        <w:rPr>
          <w:rFonts w:hint="eastAsia" w:ascii="Times New Roman" w:hAnsi="Times New Roman" w:eastAsia="方正仿宋_GBK" w:cs="Times New Roman"/>
          <w:color w:val="000000" w:themeColor="text1"/>
          <w:sz w:val="32"/>
          <w:szCs w:val="32"/>
        </w:rPr>
        <w:t xml:space="preserve">      2.</w:t>
      </w:r>
      <w:r>
        <w:rPr>
          <w:rFonts w:hint="eastAsia" w:ascii="Times New Roman" w:hAnsi="Times New Roman" w:eastAsia="方正仿宋_GBK" w:cs="Times New Roman"/>
          <w:sz w:val="32"/>
          <w:szCs w:val="32"/>
        </w:rPr>
        <w:t>财政术语解释</w:t>
      </w: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rPr>
          <w:rFonts w:ascii="Times New Roman" w:hAnsi="Times New Roman"/>
          <w:szCs w:val="32"/>
        </w:rPr>
      </w:pPr>
    </w:p>
    <w:p>
      <w:pPr>
        <w:adjustRightInd w:val="0"/>
        <w:snapToGrid w:val="0"/>
        <w:spacing w:line="600" w:lineRule="exact"/>
        <w:jc w:val="left"/>
        <w:rPr>
          <w:rFonts w:ascii="Times New Roman" w:hAnsi="Times New Roman" w:eastAsia="方正黑体_GBK"/>
          <w:sz w:val="32"/>
          <w:szCs w:val="32"/>
        </w:rPr>
      </w:pPr>
      <w:r>
        <w:rPr>
          <w:rFonts w:hint="eastAsia" w:ascii="Times New Roman" w:hAnsi="Times New Roman" w:eastAsia="方正黑体_GBK"/>
          <w:sz w:val="32"/>
          <w:szCs w:val="32"/>
        </w:rPr>
        <w:t>附件1</w:t>
      </w:r>
    </w:p>
    <w:p>
      <w:pPr>
        <w:adjustRightInd w:val="0"/>
        <w:snapToGrid w:val="0"/>
        <w:spacing w:line="600" w:lineRule="exact"/>
        <w:jc w:val="center"/>
        <w:rPr>
          <w:rFonts w:ascii="Times New Roman" w:hAnsi="Times New Roman" w:eastAsia="方正仿宋_GBK"/>
          <w:szCs w:val="32"/>
        </w:rPr>
      </w:pPr>
    </w:p>
    <w:p>
      <w:pPr>
        <w:adjustRightInd w:val="0"/>
        <w:snapToGrid w:val="0"/>
        <w:spacing w:line="860" w:lineRule="exact"/>
        <w:jc w:val="center"/>
        <w:rPr>
          <w:rFonts w:ascii="Times New Roman" w:hAnsi="Times New Roman" w:eastAsia="方正仿宋_GBK"/>
          <w:szCs w:val="32"/>
        </w:rPr>
      </w:pPr>
    </w:p>
    <w:p>
      <w:pPr>
        <w:adjustRightInd w:val="0"/>
        <w:snapToGrid w:val="0"/>
        <w:spacing w:line="86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重庆市九龙坡区2022年预算执行情况和</w:t>
      </w:r>
    </w:p>
    <w:p>
      <w:pPr>
        <w:adjustRightInd w:val="0"/>
        <w:snapToGrid w:val="0"/>
        <w:spacing w:line="86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2023年预算草案报告</w:t>
      </w:r>
    </w:p>
    <w:p>
      <w:pPr>
        <w:adjustRightInd w:val="0"/>
        <w:snapToGrid w:val="0"/>
        <w:spacing w:line="86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附    表</w:t>
      </w:r>
    </w:p>
    <w:p>
      <w:pPr>
        <w:adjustRightInd w:val="0"/>
        <w:snapToGrid w:val="0"/>
        <w:spacing w:line="600" w:lineRule="exact"/>
        <w:jc w:val="center"/>
        <w:rPr>
          <w:rFonts w:ascii="Times New Roman" w:hAnsi="Times New Roman" w:eastAsia="方正仿宋_GBK"/>
          <w:szCs w:val="32"/>
        </w:rPr>
      </w:pPr>
    </w:p>
    <w:p>
      <w:pPr>
        <w:adjustRightInd w:val="0"/>
        <w:snapToGrid w:val="0"/>
        <w:spacing w:line="600" w:lineRule="exact"/>
        <w:jc w:val="center"/>
        <w:rPr>
          <w:rFonts w:ascii="Times New Roman" w:hAnsi="Times New Roman" w:eastAsia="方正仿宋_GBK"/>
          <w:szCs w:val="32"/>
        </w:rPr>
      </w:pPr>
    </w:p>
    <w:p>
      <w:pPr>
        <w:adjustRightInd w:val="0"/>
        <w:snapToGrid w:val="0"/>
        <w:spacing w:line="600" w:lineRule="exact"/>
        <w:jc w:val="center"/>
        <w:rPr>
          <w:rFonts w:ascii="Times New Roman" w:hAnsi="Times New Roman" w:eastAsia="方正仿宋_GBK"/>
          <w:szCs w:val="32"/>
        </w:rPr>
      </w:pPr>
    </w:p>
    <w:p>
      <w:pPr>
        <w:adjustRightInd w:val="0"/>
        <w:snapToGrid w:val="0"/>
        <w:spacing w:line="600" w:lineRule="exact"/>
        <w:jc w:val="center"/>
        <w:rPr>
          <w:rFonts w:ascii="Times New Roman" w:hAnsi="Times New Roman" w:eastAsia="方正仿宋_GBK"/>
          <w:szCs w:val="32"/>
        </w:rPr>
      </w:pPr>
    </w:p>
    <w:p>
      <w:pPr>
        <w:adjustRightInd w:val="0"/>
        <w:snapToGrid w:val="0"/>
        <w:spacing w:line="600" w:lineRule="exact"/>
        <w:jc w:val="center"/>
        <w:rPr>
          <w:rFonts w:ascii="Times New Roman" w:hAnsi="Times New Roman" w:eastAsia="方正仿宋_GBK"/>
          <w:szCs w:val="32"/>
        </w:rPr>
      </w:pPr>
    </w:p>
    <w:p>
      <w:pPr>
        <w:adjustRightInd w:val="0"/>
        <w:snapToGrid w:val="0"/>
        <w:spacing w:line="600" w:lineRule="exact"/>
        <w:jc w:val="center"/>
        <w:rPr>
          <w:rFonts w:ascii="Times New Roman" w:hAnsi="Times New Roman" w:eastAsia="方正楷体_GBK"/>
          <w:sz w:val="36"/>
          <w:szCs w:val="36"/>
        </w:rPr>
      </w:pPr>
    </w:p>
    <w:p>
      <w:pPr>
        <w:adjustRightInd w:val="0"/>
        <w:snapToGrid w:val="0"/>
        <w:spacing w:line="600" w:lineRule="exact"/>
        <w:jc w:val="center"/>
        <w:rPr>
          <w:rFonts w:ascii="Times New Roman" w:hAnsi="Times New Roman" w:eastAsia="方正楷体_GBK"/>
          <w:sz w:val="36"/>
          <w:szCs w:val="36"/>
        </w:rPr>
      </w:pPr>
    </w:p>
    <w:p>
      <w:pPr>
        <w:adjustRightInd w:val="0"/>
        <w:snapToGrid w:val="0"/>
        <w:spacing w:line="600" w:lineRule="exact"/>
        <w:jc w:val="center"/>
        <w:rPr>
          <w:rFonts w:ascii="Times New Roman" w:hAnsi="Times New Roman" w:eastAsia="方正楷体_GBK"/>
          <w:sz w:val="36"/>
          <w:szCs w:val="36"/>
        </w:rPr>
      </w:pPr>
    </w:p>
    <w:p>
      <w:pPr>
        <w:adjustRightInd w:val="0"/>
        <w:snapToGrid w:val="0"/>
        <w:spacing w:line="600" w:lineRule="exact"/>
        <w:jc w:val="center"/>
        <w:rPr>
          <w:rFonts w:ascii="Times New Roman" w:hAnsi="Times New Roman" w:eastAsia="方正楷体_GBK"/>
          <w:sz w:val="36"/>
          <w:szCs w:val="36"/>
        </w:rPr>
      </w:pPr>
    </w:p>
    <w:p>
      <w:pPr>
        <w:adjustRightInd w:val="0"/>
        <w:snapToGrid w:val="0"/>
        <w:spacing w:line="600" w:lineRule="exact"/>
        <w:jc w:val="center"/>
        <w:rPr>
          <w:rFonts w:ascii="Times New Roman" w:hAnsi="Times New Roman" w:eastAsia="方正楷体_GBK"/>
          <w:sz w:val="36"/>
          <w:szCs w:val="36"/>
        </w:rPr>
      </w:pPr>
    </w:p>
    <w:p>
      <w:pPr>
        <w:adjustRightInd w:val="0"/>
        <w:snapToGrid w:val="0"/>
        <w:spacing w:line="600" w:lineRule="exact"/>
        <w:jc w:val="center"/>
        <w:rPr>
          <w:rFonts w:ascii="Times New Roman" w:hAnsi="Times New Roman" w:eastAsia="方正楷体_GBK"/>
          <w:sz w:val="36"/>
          <w:szCs w:val="36"/>
        </w:rPr>
      </w:pPr>
    </w:p>
    <w:p>
      <w:pPr>
        <w:adjustRightInd w:val="0"/>
        <w:snapToGrid w:val="0"/>
        <w:spacing w:line="600" w:lineRule="exact"/>
        <w:jc w:val="center"/>
        <w:rPr>
          <w:rFonts w:ascii="Times New Roman" w:hAnsi="Times New Roman" w:eastAsia="方正楷体_GBK"/>
          <w:sz w:val="36"/>
          <w:szCs w:val="36"/>
        </w:rPr>
      </w:pPr>
    </w:p>
    <w:p>
      <w:pPr>
        <w:adjustRightInd w:val="0"/>
        <w:snapToGrid w:val="0"/>
        <w:spacing w:line="600" w:lineRule="exact"/>
        <w:jc w:val="center"/>
        <w:rPr>
          <w:rFonts w:ascii="Times New Roman" w:hAnsi="Times New Roman" w:eastAsia="方正楷体_GBK"/>
          <w:sz w:val="36"/>
          <w:szCs w:val="36"/>
        </w:rPr>
      </w:pPr>
      <w:r>
        <w:rPr>
          <w:rFonts w:hint="eastAsia" w:ascii="Times New Roman" w:hAnsi="Times New Roman" w:eastAsia="方正楷体_GBK"/>
          <w:sz w:val="36"/>
          <w:szCs w:val="36"/>
        </w:rPr>
        <w:t>重庆市九龙坡区财政局</w:t>
      </w:r>
    </w:p>
    <w:p>
      <w:pPr>
        <w:jc w:val="center"/>
        <w:rPr>
          <w:rFonts w:ascii="Times New Roman" w:hAnsi="Times New Roman" w:eastAsia="方正楷体_GBK"/>
          <w:sz w:val="36"/>
          <w:szCs w:val="36"/>
        </w:rPr>
      </w:pPr>
      <w:r>
        <w:rPr>
          <w:rFonts w:hint="eastAsia" w:ascii="Times New Roman" w:hAnsi="Times New Roman" w:eastAsia="方正楷体_GBK"/>
          <w:sz w:val="36"/>
          <w:szCs w:val="36"/>
        </w:rPr>
        <w:t>2023年2月</w:t>
      </w:r>
    </w:p>
    <w:p>
      <w:pPr>
        <w:jc w:val="center"/>
        <w:rPr>
          <w:rFonts w:ascii="Times New Roman" w:hAnsi="Times New Roman" w:eastAsia="方正黑体_GBK"/>
          <w:sz w:val="44"/>
          <w:szCs w:val="44"/>
        </w:rPr>
      </w:pPr>
      <w:r>
        <w:rPr>
          <w:rFonts w:hint="eastAsia" w:ascii="Times New Roman" w:hAnsi="Times New Roman" w:eastAsia="方正黑体_GBK"/>
          <w:sz w:val="44"/>
          <w:szCs w:val="44"/>
        </w:rPr>
        <w:t>目  录</w:t>
      </w:r>
    </w:p>
    <w:tbl>
      <w:tblPr>
        <w:tblStyle w:val="9"/>
        <w:tblW w:w="9087" w:type="dxa"/>
        <w:tblInd w:w="93" w:type="dxa"/>
        <w:tblLayout w:type="autofit"/>
        <w:tblCellMar>
          <w:top w:w="0" w:type="dxa"/>
          <w:left w:w="108" w:type="dxa"/>
          <w:bottom w:w="0" w:type="dxa"/>
          <w:right w:w="108" w:type="dxa"/>
        </w:tblCellMar>
      </w:tblPr>
      <w:tblGrid>
        <w:gridCol w:w="9087"/>
      </w:tblGrid>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方正黑体_GBK" w:cs="宋体"/>
                <w:color w:val="000000"/>
                <w:kern w:val="0"/>
                <w:sz w:val="32"/>
                <w:szCs w:val="32"/>
              </w:rPr>
            </w:pPr>
            <w:r>
              <w:rPr>
                <w:rFonts w:hint="eastAsia" w:ascii="Times New Roman" w:hAnsi="Times New Roman" w:eastAsia="方正黑体_GBK" w:cs="宋体"/>
                <w:color w:val="000000"/>
                <w:kern w:val="0"/>
                <w:sz w:val="32"/>
                <w:szCs w:val="32"/>
              </w:rPr>
              <w:t>一、2022年预算执行</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1</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年全区财政预算收入执行表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年全区财政预算支出执行表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年区级一般公共预算收支执行表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4</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年一般公共预算本级支出执行表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5</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年区级一般公共预算转移支付收支执行表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6</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年区级一般公共预算转移支付支出执行表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7</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年区级一般公共预算转移支付支出执行表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8</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年区级政府性基金预算收支执行表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9</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年区级政府性基金预算本级支出执行表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10</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年区级政府性基金预算转移支付收支执行表表11111表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11</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年区级国有资本经营预算收支执行表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12</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年社会保险基金预算收支执行表（空表）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方正黑体_GBK" w:cs="宋体"/>
                <w:color w:val="000000"/>
                <w:kern w:val="0"/>
                <w:sz w:val="32"/>
                <w:szCs w:val="32"/>
              </w:rPr>
            </w:pPr>
            <w:r>
              <w:rPr>
                <w:rFonts w:hint="eastAsia" w:ascii="Times New Roman" w:hAnsi="Times New Roman" w:eastAsia="方正黑体_GBK" w:cs="宋体"/>
                <w:color w:val="000000"/>
                <w:kern w:val="0"/>
                <w:sz w:val="32"/>
                <w:szCs w:val="32"/>
              </w:rPr>
              <w:t>二、2023年预算（草案）</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13</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年全区财政预算收入执行表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14</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年全区财政预算支出执行表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15</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年区级一般公共预算收支预算表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16</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年区级一般公共预算支出预算表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17</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年区级一般公共预算支出预算表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18</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年区级一般公共预算基本支出预算表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19</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年区级一般公共预算转移支付收支预算表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20</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年区级一般公共预算转移支付支出预算表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21</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年区级一般公共预算转移支付支出预算表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22</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年区级政府性基金预算收支预算表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23</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年区级政府性基金预算本级支出预算表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24</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年区级政府性基金预算专项转移支付预算表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25</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年区级国有资本经营预算收支预算表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26</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年区级国有资本经营预算专项转移支付表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27</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年全区社会保险基金预算收支预算表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28</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w:t>
            </w:r>
            <w:r>
              <w:rPr>
                <w:rFonts w:ascii="Times New Roman" w:hAnsi="Times New Roman" w:eastAsia="等线" w:cs="Times New Roman"/>
                <w:color w:val="000000"/>
                <w:kern w:val="0"/>
                <w:sz w:val="32"/>
                <w:szCs w:val="32"/>
              </w:rPr>
              <w:t>“</w:t>
            </w:r>
            <w:r>
              <w:rPr>
                <w:rFonts w:hint="eastAsia" w:ascii="Times New Roman" w:hAnsi="Times New Roman" w:eastAsia="方正仿宋_GBK" w:cs="Times New Roman"/>
                <w:color w:val="000000"/>
                <w:kern w:val="0"/>
                <w:sz w:val="32"/>
                <w:szCs w:val="32"/>
              </w:rPr>
              <w:t>三公</w:t>
            </w:r>
            <w:r>
              <w:rPr>
                <w:rFonts w:ascii="Times New Roman" w:hAnsi="Times New Roman" w:eastAsia="等线" w:cs="Times New Roman"/>
                <w:color w:val="000000"/>
                <w:kern w:val="0"/>
                <w:sz w:val="32"/>
                <w:szCs w:val="32"/>
              </w:rPr>
              <w:t>”</w:t>
            </w:r>
            <w:r>
              <w:rPr>
                <w:rFonts w:hint="eastAsia" w:ascii="Times New Roman" w:hAnsi="Times New Roman" w:eastAsia="方正仿宋_GBK" w:cs="Times New Roman"/>
                <w:color w:val="000000"/>
                <w:kern w:val="0"/>
                <w:sz w:val="32"/>
                <w:szCs w:val="32"/>
              </w:rPr>
              <w:t>经费预算表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方正黑体_GBK" w:cs="宋体"/>
                <w:color w:val="000000"/>
                <w:kern w:val="0"/>
                <w:sz w:val="32"/>
                <w:szCs w:val="32"/>
              </w:rPr>
            </w:pPr>
            <w:r>
              <w:rPr>
                <w:rFonts w:hint="eastAsia" w:ascii="Times New Roman" w:hAnsi="Times New Roman" w:eastAsia="方正黑体_GBK" w:cs="宋体"/>
                <w:color w:val="000000"/>
                <w:kern w:val="0"/>
                <w:sz w:val="32"/>
                <w:szCs w:val="32"/>
              </w:rPr>
              <w:t>三、债务管控情况</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29</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年地方政府债务限额及余额情况表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30</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年和</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年地方政府一般债务余额情况表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31</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2</w:t>
            </w:r>
            <w:r>
              <w:rPr>
                <w:rFonts w:hint="eastAsia" w:ascii="Times New Roman" w:hAnsi="Times New Roman" w:eastAsia="方正仿宋_GBK" w:cs="Times New Roman"/>
                <w:color w:val="000000"/>
                <w:kern w:val="0"/>
                <w:sz w:val="32"/>
                <w:szCs w:val="32"/>
              </w:rPr>
              <w:t>年和</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年地方政府专项债务余额情况表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32</w:t>
            </w:r>
            <w:r>
              <w:rPr>
                <w:rFonts w:hint="eastAsia" w:ascii="Times New Roman" w:hAnsi="Times New Roman" w:eastAsia="方正仿宋_GBK" w:cs="Times New Roman"/>
                <w:color w:val="000000"/>
                <w:kern w:val="0"/>
                <w:sz w:val="32"/>
                <w:szCs w:val="32"/>
              </w:rPr>
              <w:t xml:space="preserve"> 九龙坡区地方政府债券发行及还本付息情况表</w:t>
            </w:r>
          </w:p>
        </w:tc>
      </w:tr>
      <w:tr>
        <w:tblPrEx>
          <w:tblCellMar>
            <w:top w:w="0" w:type="dxa"/>
            <w:left w:w="108" w:type="dxa"/>
            <w:bottom w:w="0" w:type="dxa"/>
            <w:right w:w="108" w:type="dxa"/>
          </w:tblCellMar>
        </w:tblPrEx>
        <w:trPr>
          <w:trHeight w:val="567" w:hRule="exact"/>
        </w:trPr>
        <w:tc>
          <w:tcPr>
            <w:tcW w:w="9087" w:type="dxa"/>
            <w:tcBorders>
              <w:top w:val="nil"/>
              <w:left w:val="nil"/>
              <w:bottom w:val="nil"/>
              <w:right w:val="nil"/>
            </w:tcBorders>
            <w:shd w:val="clear" w:color="auto" w:fill="auto"/>
            <w:noWrap/>
            <w:vAlign w:val="center"/>
          </w:tcPr>
          <w:p>
            <w:pPr>
              <w:widowControl/>
              <w:spacing w:line="600" w:lineRule="exact"/>
              <w:jc w:val="left"/>
              <w:rPr>
                <w:rFonts w:ascii="Times New Roman" w:hAnsi="Times New Roman" w:eastAsia="等线" w:cs="Times New Roman"/>
                <w:color w:val="000000"/>
                <w:kern w:val="0"/>
                <w:sz w:val="32"/>
                <w:szCs w:val="32"/>
              </w:rPr>
            </w:pPr>
            <w:r>
              <w:rPr>
                <w:rFonts w:hint="eastAsia" w:ascii="Times New Roman" w:hAnsi="Times New Roman" w:eastAsia="方正仿宋_GBK" w:cs="Times New Roman"/>
                <w:color w:val="000000"/>
                <w:kern w:val="0"/>
                <w:sz w:val="32"/>
                <w:szCs w:val="32"/>
              </w:rPr>
              <w:t>表</w:t>
            </w:r>
            <w:r>
              <w:rPr>
                <w:rFonts w:ascii="Times New Roman" w:hAnsi="Times New Roman" w:eastAsia="等线" w:cs="Times New Roman"/>
                <w:color w:val="000000"/>
                <w:kern w:val="0"/>
                <w:sz w:val="32"/>
                <w:szCs w:val="32"/>
              </w:rPr>
              <w:t>33</w:t>
            </w:r>
            <w:r>
              <w:rPr>
                <w:rFonts w:hint="eastAsia" w:ascii="Times New Roman" w:hAnsi="Times New Roman" w:eastAsia="方正仿宋_GBK" w:cs="Times New Roman"/>
                <w:color w:val="000000"/>
                <w:kern w:val="0"/>
                <w:sz w:val="32"/>
                <w:szCs w:val="32"/>
              </w:rPr>
              <w:t xml:space="preserve"> 九龙坡区</w:t>
            </w:r>
            <w:r>
              <w:rPr>
                <w:rFonts w:ascii="Times New Roman" w:hAnsi="Times New Roman" w:eastAsia="等线" w:cs="Times New Roman"/>
                <w:color w:val="000000"/>
                <w:kern w:val="0"/>
                <w:sz w:val="32"/>
                <w:szCs w:val="32"/>
              </w:rPr>
              <w:t>202</w:t>
            </w:r>
            <w:r>
              <w:rPr>
                <w:rFonts w:hint="eastAsia" w:ascii="Times New Roman" w:hAnsi="Times New Roman" w:eastAsia="等线" w:cs="Times New Roman"/>
                <w:color w:val="000000"/>
                <w:kern w:val="0"/>
                <w:sz w:val="32"/>
                <w:szCs w:val="32"/>
              </w:rPr>
              <w:t>3</w:t>
            </w:r>
            <w:r>
              <w:rPr>
                <w:rFonts w:hint="eastAsia" w:ascii="Times New Roman" w:hAnsi="Times New Roman" w:eastAsia="方正仿宋_GBK" w:cs="Times New Roman"/>
                <w:color w:val="000000"/>
                <w:kern w:val="0"/>
                <w:sz w:val="32"/>
                <w:szCs w:val="32"/>
              </w:rPr>
              <w:t>年地方政府债务限额提前下达情况表</w:t>
            </w:r>
          </w:p>
        </w:tc>
      </w:tr>
    </w:tbl>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tbl>
      <w:tblPr>
        <w:tblStyle w:val="9"/>
        <w:tblW w:w="10640" w:type="dxa"/>
        <w:jc w:val="center"/>
        <w:tblLayout w:type="autofit"/>
        <w:tblCellMar>
          <w:top w:w="0" w:type="dxa"/>
          <w:left w:w="108" w:type="dxa"/>
          <w:bottom w:w="0" w:type="dxa"/>
          <w:right w:w="108" w:type="dxa"/>
        </w:tblCellMar>
      </w:tblPr>
      <w:tblGrid>
        <w:gridCol w:w="5000"/>
        <w:gridCol w:w="1880"/>
        <w:gridCol w:w="1880"/>
        <w:gridCol w:w="1880"/>
      </w:tblGrid>
      <w:tr>
        <w:tblPrEx>
          <w:tblCellMar>
            <w:top w:w="0" w:type="dxa"/>
            <w:left w:w="108" w:type="dxa"/>
            <w:bottom w:w="0" w:type="dxa"/>
            <w:right w:w="108" w:type="dxa"/>
          </w:tblCellMar>
        </w:tblPrEx>
        <w:trPr>
          <w:trHeight w:val="390" w:hRule="atLeast"/>
          <w:tblHeader/>
          <w:jc w:val="center"/>
        </w:trPr>
        <w:tc>
          <w:tcPr>
            <w:tcW w:w="5000" w:type="dxa"/>
            <w:tcBorders>
              <w:top w:val="nil"/>
              <w:left w:val="nil"/>
              <w:bottom w:val="nil"/>
              <w:right w:val="nil"/>
            </w:tcBorders>
            <w:shd w:val="clear" w:color="auto" w:fill="auto"/>
            <w:noWrap/>
            <w:vAlign w:val="bottom"/>
          </w:tcPr>
          <w:p>
            <w:pPr>
              <w:widowControl/>
              <w:jc w:val="left"/>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表1</w:t>
            </w:r>
          </w:p>
        </w:tc>
        <w:tc>
          <w:tcPr>
            <w:tcW w:w="1880" w:type="dxa"/>
            <w:tcBorders>
              <w:top w:val="nil"/>
              <w:left w:val="nil"/>
              <w:bottom w:val="nil"/>
              <w:right w:val="nil"/>
            </w:tcBorders>
            <w:shd w:val="clear" w:color="auto" w:fill="auto"/>
            <w:noWrap/>
            <w:vAlign w:val="bottom"/>
          </w:tcPr>
          <w:p>
            <w:pPr>
              <w:widowControl/>
              <w:jc w:val="left"/>
              <w:rPr>
                <w:rFonts w:ascii="Times New Roman" w:hAnsi="Times New Roman" w:eastAsia="宋体" w:cs="宋体"/>
                <w:kern w:val="0"/>
                <w:sz w:val="18"/>
                <w:szCs w:val="18"/>
              </w:rPr>
            </w:pPr>
          </w:p>
        </w:tc>
        <w:tc>
          <w:tcPr>
            <w:tcW w:w="1880" w:type="dxa"/>
            <w:tcBorders>
              <w:top w:val="nil"/>
              <w:left w:val="nil"/>
              <w:bottom w:val="nil"/>
              <w:right w:val="nil"/>
            </w:tcBorders>
            <w:shd w:val="clear" w:color="auto" w:fill="auto"/>
            <w:noWrap/>
            <w:vAlign w:val="bottom"/>
          </w:tcPr>
          <w:p>
            <w:pPr>
              <w:widowControl/>
              <w:jc w:val="left"/>
              <w:rPr>
                <w:rFonts w:ascii="Times New Roman" w:hAnsi="Times New Roman" w:eastAsia="宋体" w:cs="宋体"/>
                <w:kern w:val="0"/>
                <w:sz w:val="18"/>
                <w:szCs w:val="18"/>
              </w:rPr>
            </w:pPr>
          </w:p>
        </w:tc>
        <w:tc>
          <w:tcPr>
            <w:tcW w:w="1880" w:type="dxa"/>
            <w:tcBorders>
              <w:top w:val="nil"/>
              <w:left w:val="nil"/>
              <w:bottom w:val="nil"/>
              <w:right w:val="nil"/>
            </w:tcBorders>
            <w:shd w:val="clear" w:color="auto" w:fill="auto"/>
            <w:noWrap/>
            <w:vAlign w:val="bottom"/>
          </w:tcPr>
          <w:p>
            <w:pPr>
              <w:widowControl/>
              <w:jc w:val="left"/>
              <w:rPr>
                <w:rFonts w:ascii="Times New Roman" w:hAnsi="Times New Roman" w:eastAsia="宋体" w:cs="宋体"/>
                <w:kern w:val="0"/>
                <w:sz w:val="18"/>
                <w:szCs w:val="18"/>
              </w:rPr>
            </w:pPr>
          </w:p>
        </w:tc>
      </w:tr>
      <w:tr>
        <w:tblPrEx>
          <w:tblCellMar>
            <w:top w:w="0" w:type="dxa"/>
            <w:left w:w="108" w:type="dxa"/>
            <w:bottom w:w="0" w:type="dxa"/>
            <w:right w:w="108" w:type="dxa"/>
          </w:tblCellMar>
        </w:tblPrEx>
        <w:trPr>
          <w:trHeight w:val="585" w:hRule="atLeast"/>
          <w:tblHeader/>
          <w:jc w:val="center"/>
        </w:trPr>
        <w:tc>
          <w:tcPr>
            <w:tcW w:w="10640" w:type="dxa"/>
            <w:gridSpan w:val="4"/>
            <w:tcBorders>
              <w:top w:val="nil"/>
              <w:left w:val="nil"/>
              <w:bottom w:val="nil"/>
              <w:right w:val="nil"/>
            </w:tcBorders>
            <w:shd w:val="clear" w:color="auto" w:fill="auto"/>
            <w:noWrap/>
            <w:vAlign w:val="center"/>
          </w:tcPr>
          <w:p>
            <w:pPr>
              <w:widowControl/>
              <w:jc w:val="center"/>
              <w:rPr>
                <w:rFonts w:ascii="Times New Roman" w:hAnsi="Times New Roman" w:eastAsia="方正小标宋_GBK" w:cs="宋体"/>
                <w:kern w:val="0"/>
                <w:sz w:val="44"/>
                <w:szCs w:val="44"/>
              </w:rPr>
            </w:pPr>
            <w:r>
              <w:rPr>
                <w:rFonts w:hint="eastAsia" w:ascii="Times New Roman" w:hAnsi="Times New Roman" w:eastAsia="方正小标宋_GBK" w:cs="宋体"/>
                <w:kern w:val="0"/>
                <w:sz w:val="44"/>
                <w:szCs w:val="44"/>
              </w:rPr>
              <w:t>九龙坡区2022年全区财政预算收入执行表</w:t>
            </w:r>
          </w:p>
        </w:tc>
      </w:tr>
      <w:tr>
        <w:tblPrEx>
          <w:tblCellMar>
            <w:top w:w="0" w:type="dxa"/>
            <w:left w:w="108" w:type="dxa"/>
            <w:bottom w:w="0" w:type="dxa"/>
            <w:right w:w="108" w:type="dxa"/>
          </w:tblCellMar>
        </w:tblPrEx>
        <w:trPr>
          <w:trHeight w:val="390" w:hRule="atLeast"/>
          <w:tblHeader/>
          <w:jc w:val="center"/>
        </w:trPr>
        <w:tc>
          <w:tcPr>
            <w:tcW w:w="5000" w:type="dxa"/>
            <w:tcBorders>
              <w:top w:val="nil"/>
              <w:left w:val="nil"/>
              <w:bottom w:val="nil"/>
              <w:right w:val="nil"/>
            </w:tcBorders>
            <w:shd w:val="clear" w:color="auto" w:fill="auto"/>
            <w:noWrap/>
            <w:vAlign w:val="bottom"/>
          </w:tcPr>
          <w:p>
            <w:pPr>
              <w:widowControl/>
              <w:jc w:val="left"/>
              <w:rPr>
                <w:rFonts w:ascii="Times New Roman" w:hAnsi="Times New Roman" w:eastAsia="宋体" w:cs="宋体"/>
                <w:kern w:val="0"/>
                <w:sz w:val="32"/>
                <w:szCs w:val="32"/>
              </w:rPr>
            </w:pPr>
          </w:p>
        </w:tc>
        <w:tc>
          <w:tcPr>
            <w:tcW w:w="1880" w:type="dxa"/>
            <w:tcBorders>
              <w:top w:val="nil"/>
              <w:left w:val="nil"/>
              <w:bottom w:val="nil"/>
              <w:right w:val="nil"/>
            </w:tcBorders>
            <w:shd w:val="clear" w:color="auto" w:fill="auto"/>
            <w:noWrap/>
            <w:vAlign w:val="bottom"/>
          </w:tcPr>
          <w:p>
            <w:pPr>
              <w:widowControl/>
              <w:jc w:val="left"/>
              <w:rPr>
                <w:rFonts w:ascii="Times New Roman" w:hAnsi="Times New Roman" w:eastAsia="宋体" w:cs="宋体"/>
                <w:kern w:val="0"/>
                <w:sz w:val="32"/>
                <w:szCs w:val="32"/>
              </w:rPr>
            </w:pPr>
            <w:r>
              <w:rPr>
                <w:rFonts w:hint="eastAsia" w:ascii="Times New Roman" w:hAnsi="Times New Roman" w:eastAsia="宋体" w:cs="宋体"/>
                <w:kern w:val="0"/>
                <w:sz w:val="32"/>
                <w:szCs w:val="32"/>
              </w:rPr>
              <w:t xml:space="preserve"> </w:t>
            </w:r>
          </w:p>
        </w:tc>
        <w:tc>
          <w:tcPr>
            <w:tcW w:w="1880" w:type="dxa"/>
            <w:tcBorders>
              <w:top w:val="nil"/>
              <w:left w:val="nil"/>
              <w:bottom w:val="nil"/>
              <w:right w:val="nil"/>
            </w:tcBorders>
            <w:shd w:val="clear" w:color="auto" w:fill="auto"/>
            <w:noWrap/>
            <w:vAlign w:val="bottom"/>
          </w:tcPr>
          <w:p>
            <w:pPr>
              <w:widowControl/>
              <w:jc w:val="left"/>
              <w:rPr>
                <w:rFonts w:ascii="Times New Roman" w:hAnsi="Times New Roman" w:eastAsia="宋体" w:cs="宋体"/>
                <w:kern w:val="0"/>
                <w:sz w:val="32"/>
                <w:szCs w:val="32"/>
              </w:rPr>
            </w:pPr>
          </w:p>
        </w:tc>
        <w:tc>
          <w:tcPr>
            <w:tcW w:w="1880" w:type="dxa"/>
            <w:tcBorders>
              <w:top w:val="nil"/>
              <w:left w:val="nil"/>
              <w:bottom w:val="nil"/>
              <w:right w:val="nil"/>
            </w:tcBorders>
            <w:shd w:val="clear" w:color="auto" w:fill="auto"/>
            <w:noWrap/>
            <w:vAlign w:val="center"/>
          </w:tcPr>
          <w:p>
            <w:pPr>
              <w:widowControl/>
              <w:jc w:val="center"/>
              <w:rPr>
                <w:rFonts w:ascii="Times New Roman" w:hAnsi="Times New Roman" w:eastAsia="方正仿宋_GBK" w:cs="宋体"/>
                <w:kern w:val="0"/>
                <w:sz w:val="22"/>
              </w:rPr>
            </w:pPr>
            <w:r>
              <w:rPr>
                <w:rFonts w:hint="eastAsia" w:ascii="Times New Roman" w:hAnsi="Times New Roman" w:eastAsia="方正仿宋_GBK" w:cs="宋体"/>
                <w:kern w:val="0"/>
                <w:sz w:val="22"/>
              </w:rPr>
              <w:t>单位：万元</w:t>
            </w:r>
          </w:p>
        </w:tc>
      </w:tr>
      <w:tr>
        <w:tblPrEx>
          <w:tblCellMar>
            <w:top w:w="0" w:type="dxa"/>
            <w:left w:w="108" w:type="dxa"/>
            <w:bottom w:w="0" w:type="dxa"/>
            <w:right w:w="108" w:type="dxa"/>
          </w:tblCellMar>
        </w:tblPrEx>
        <w:trPr>
          <w:trHeight w:val="690" w:hRule="atLeast"/>
          <w:tblHeader/>
          <w:jc w:val="center"/>
        </w:trPr>
        <w:tc>
          <w:tcPr>
            <w:tcW w:w="50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项    目</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2021年决算数</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2022年执行数</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执行数为上年</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决算数的%</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一、一般公共预算收入</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545981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561038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102.76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bCs/>
                <w:kern w:val="0"/>
                <w:sz w:val="24"/>
                <w:szCs w:val="24"/>
              </w:rPr>
            </w:pPr>
            <w:r>
              <w:rPr>
                <w:rFonts w:hint="eastAsia" w:ascii="Times New Roman" w:hAnsi="Times New Roman" w:eastAsia="方正仿宋_GBK" w:cs="宋体"/>
                <w:bCs/>
                <w:kern w:val="0"/>
                <w:sz w:val="24"/>
                <w:szCs w:val="24"/>
              </w:rPr>
              <w:t xml:space="preserve">   税收收入</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376569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391257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103.90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增值税</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106934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86571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80.96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企业所得税</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31380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25192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80.28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个人所得税</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13271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15834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119.31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资源税</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41.67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城市维护建设税</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18512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14244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76.94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房产税</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19497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18603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95.41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印花税</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16195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16081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99.30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城镇土地使用税</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26539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26306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99.12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土地增值税</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45626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111753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244.93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耕地占用税</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1774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626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35.29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契税</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96484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75337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78.08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环境保护税</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303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232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76.57 </w:t>
            </w:r>
          </w:p>
        </w:tc>
      </w:tr>
      <w:tr>
        <w:tblPrEx>
          <w:tblCellMar>
            <w:top w:w="0" w:type="dxa"/>
            <w:left w:w="108" w:type="dxa"/>
            <w:bottom w:w="0" w:type="dxa"/>
            <w:right w:w="108" w:type="dxa"/>
          </w:tblCellMar>
        </w:tblPrEx>
        <w:trPr>
          <w:trHeight w:val="480"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其他税收收入</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468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1560.00 </w:t>
            </w:r>
          </w:p>
        </w:tc>
      </w:tr>
      <w:tr>
        <w:tblPrEx>
          <w:tblCellMar>
            <w:top w:w="0" w:type="dxa"/>
            <w:left w:w="108" w:type="dxa"/>
            <w:bottom w:w="0" w:type="dxa"/>
            <w:right w:w="108" w:type="dxa"/>
          </w:tblCellMar>
        </w:tblPrEx>
        <w:trPr>
          <w:trHeight w:val="855" w:hRule="atLeast"/>
          <w:tblHeader/>
          <w:jc w:val="center"/>
        </w:trPr>
        <w:tc>
          <w:tcPr>
            <w:tcW w:w="50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项    目</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2021年决算数</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2022年执行数</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执行数为上年</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决算数的%</w:t>
            </w:r>
          </w:p>
        </w:tc>
      </w:tr>
      <w:tr>
        <w:tblPrEx>
          <w:tblCellMar>
            <w:top w:w="0" w:type="dxa"/>
            <w:left w:w="108" w:type="dxa"/>
            <w:bottom w:w="0" w:type="dxa"/>
            <w:right w:w="108" w:type="dxa"/>
          </w:tblCellMar>
        </w:tblPrEx>
        <w:trPr>
          <w:trHeight w:val="480" w:hRule="atLeast"/>
          <w:tblHeader/>
          <w:jc w:val="center"/>
        </w:trPr>
        <w:tc>
          <w:tcPr>
            <w:tcW w:w="50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bCs/>
                <w:kern w:val="0"/>
                <w:sz w:val="24"/>
                <w:szCs w:val="24"/>
              </w:rPr>
            </w:pPr>
            <w:r>
              <w:rPr>
                <w:rFonts w:hint="eastAsia" w:ascii="Times New Roman" w:hAnsi="Times New Roman" w:eastAsia="方正仿宋_GBK" w:cs="宋体"/>
                <w:bCs/>
                <w:kern w:val="0"/>
                <w:sz w:val="24"/>
                <w:szCs w:val="24"/>
              </w:rPr>
              <w:t xml:space="preserve">   非税收入</w:t>
            </w:r>
          </w:p>
        </w:tc>
        <w:tc>
          <w:tcPr>
            <w:tcW w:w="1880"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169412 </w:t>
            </w:r>
          </w:p>
        </w:tc>
        <w:tc>
          <w:tcPr>
            <w:tcW w:w="1880"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169781 </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100.22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专项收入</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17928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14462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80.67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行政事业性收费收入</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2322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352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15.16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罚没收入</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18126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16161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89.16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国有资源(资产)有偿使用收入</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118595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135930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114.62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捐赠收入</w:t>
            </w:r>
          </w:p>
        </w:tc>
        <w:tc>
          <w:tcPr>
            <w:tcW w:w="188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300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政府住房基金收入</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564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310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54.96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其他收入</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11877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2266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19.08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二、政府性基金预算收入</w:t>
            </w:r>
          </w:p>
        </w:tc>
        <w:tc>
          <w:tcPr>
            <w:tcW w:w="188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8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三、国有资本经营预算收入</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5709 </w:t>
            </w:r>
          </w:p>
        </w:tc>
        <w:tc>
          <w:tcPr>
            <w:tcW w:w="18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11423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200.09 </w:t>
            </w:r>
          </w:p>
        </w:tc>
      </w:tr>
      <w:tr>
        <w:tblPrEx>
          <w:tblCellMar>
            <w:top w:w="0" w:type="dxa"/>
            <w:left w:w="108" w:type="dxa"/>
            <w:bottom w:w="0" w:type="dxa"/>
            <w:right w:w="108" w:type="dxa"/>
          </w:tblCellMar>
        </w:tblPrEx>
        <w:trPr>
          <w:trHeight w:val="499" w:hRule="atLeast"/>
          <w:tblHeader/>
          <w:jc w:val="center"/>
        </w:trPr>
        <w:tc>
          <w:tcPr>
            <w:tcW w:w="500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四、社会保险基金预算收入</w:t>
            </w:r>
          </w:p>
        </w:tc>
        <w:tc>
          <w:tcPr>
            <w:tcW w:w="188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8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65" w:hRule="atLeast"/>
          <w:tblHeader/>
          <w:jc w:val="center"/>
        </w:trPr>
        <w:tc>
          <w:tcPr>
            <w:tcW w:w="10640" w:type="dxa"/>
            <w:gridSpan w:val="4"/>
            <w:tcBorders>
              <w:top w:val="single" w:color="auto" w:sz="4" w:space="0"/>
              <w:left w:val="nil"/>
              <w:bottom w:val="nil"/>
              <w:right w:val="nil"/>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注：由于四舍五入因素，部分分项加和与总数可能略有差异，下同。</w:t>
            </w:r>
          </w:p>
        </w:tc>
      </w:tr>
    </w:tbl>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tbl>
      <w:tblPr>
        <w:tblStyle w:val="9"/>
        <w:tblW w:w="10560" w:type="dxa"/>
        <w:jc w:val="center"/>
        <w:tblLayout w:type="autofit"/>
        <w:tblCellMar>
          <w:top w:w="0" w:type="dxa"/>
          <w:left w:w="108" w:type="dxa"/>
          <w:bottom w:w="0" w:type="dxa"/>
          <w:right w:w="108" w:type="dxa"/>
        </w:tblCellMar>
      </w:tblPr>
      <w:tblGrid>
        <w:gridCol w:w="4920"/>
        <w:gridCol w:w="1880"/>
        <w:gridCol w:w="1880"/>
        <w:gridCol w:w="1880"/>
      </w:tblGrid>
      <w:tr>
        <w:tblPrEx>
          <w:tblCellMar>
            <w:top w:w="0" w:type="dxa"/>
            <w:left w:w="108" w:type="dxa"/>
            <w:bottom w:w="0" w:type="dxa"/>
            <w:right w:w="108" w:type="dxa"/>
          </w:tblCellMar>
        </w:tblPrEx>
        <w:trPr>
          <w:trHeight w:val="330" w:hRule="atLeast"/>
          <w:jc w:val="center"/>
        </w:trPr>
        <w:tc>
          <w:tcPr>
            <w:tcW w:w="4920" w:type="dxa"/>
            <w:tcBorders>
              <w:top w:val="nil"/>
              <w:left w:val="nil"/>
              <w:bottom w:val="nil"/>
              <w:right w:val="nil"/>
            </w:tcBorders>
            <w:shd w:val="clear" w:color="auto" w:fill="auto"/>
            <w:noWrap/>
            <w:vAlign w:val="bottom"/>
          </w:tcPr>
          <w:p>
            <w:pPr>
              <w:widowControl/>
              <w:jc w:val="left"/>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表2</w:t>
            </w:r>
          </w:p>
        </w:tc>
        <w:tc>
          <w:tcPr>
            <w:tcW w:w="1880" w:type="dxa"/>
            <w:tcBorders>
              <w:top w:val="nil"/>
              <w:left w:val="nil"/>
              <w:bottom w:val="nil"/>
              <w:right w:val="nil"/>
            </w:tcBorders>
            <w:shd w:val="clear" w:color="auto" w:fill="auto"/>
            <w:noWrap/>
            <w:vAlign w:val="bottom"/>
          </w:tcPr>
          <w:p>
            <w:pPr>
              <w:widowControl/>
              <w:jc w:val="left"/>
              <w:rPr>
                <w:rFonts w:ascii="Times New Roman" w:hAnsi="Times New Roman" w:eastAsia="宋体" w:cs="宋体"/>
                <w:kern w:val="0"/>
                <w:sz w:val="18"/>
                <w:szCs w:val="18"/>
              </w:rPr>
            </w:pPr>
          </w:p>
        </w:tc>
        <w:tc>
          <w:tcPr>
            <w:tcW w:w="1880" w:type="dxa"/>
            <w:tcBorders>
              <w:top w:val="nil"/>
              <w:left w:val="nil"/>
              <w:bottom w:val="nil"/>
              <w:right w:val="nil"/>
            </w:tcBorders>
            <w:shd w:val="clear" w:color="auto" w:fill="auto"/>
            <w:noWrap/>
            <w:vAlign w:val="bottom"/>
          </w:tcPr>
          <w:p>
            <w:pPr>
              <w:widowControl/>
              <w:jc w:val="left"/>
              <w:rPr>
                <w:rFonts w:ascii="Times New Roman" w:hAnsi="Times New Roman" w:eastAsia="宋体" w:cs="宋体"/>
                <w:kern w:val="0"/>
                <w:sz w:val="18"/>
                <w:szCs w:val="18"/>
              </w:rPr>
            </w:pPr>
          </w:p>
        </w:tc>
        <w:tc>
          <w:tcPr>
            <w:tcW w:w="1880" w:type="dxa"/>
            <w:tcBorders>
              <w:top w:val="nil"/>
              <w:left w:val="nil"/>
              <w:bottom w:val="nil"/>
              <w:right w:val="nil"/>
            </w:tcBorders>
            <w:shd w:val="clear" w:color="auto" w:fill="auto"/>
            <w:noWrap/>
            <w:vAlign w:val="bottom"/>
          </w:tcPr>
          <w:p>
            <w:pPr>
              <w:widowControl/>
              <w:jc w:val="left"/>
              <w:rPr>
                <w:rFonts w:ascii="Times New Roman" w:hAnsi="Times New Roman" w:eastAsia="宋体" w:cs="宋体"/>
                <w:kern w:val="0"/>
                <w:sz w:val="18"/>
                <w:szCs w:val="18"/>
              </w:rPr>
            </w:pPr>
          </w:p>
        </w:tc>
      </w:tr>
      <w:tr>
        <w:tblPrEx>
          <w:tblCellMar>
            <w:top w:w="0" w:type="dxa"/>
            <w:left w:w="108" w:type="dxa"/>
            <w:bottom w:w="0" w:type="dxa"/>
            <w:right w:w="108" w:type="dxa"/>
          </w:tblCellMar>
        </w:tblPrEx>
        <w:trPr>
          <w:trHeight w:val="420" w:hRule="atLeast"/>
          <w:jc w:val="center"/>
        </w:trPr>
        <w:tc>
          <w:tcPr>
            <w:tcW w:w="10560" w:type="dxa"/>
            <w:gridSpan w:val="4"/>
            <w:tcBorders>
              <w:top w:val="nil"/>
              <w:left w:val="nil"/>
              <w:bottom w:val="nil"/>
              <w:right w:val="nil"/>
            </w:tcBorders>
            <w:shd w:val="clear" w:color="auto" w:fill="auto"/>
            <w:noWrap/>
            <w:vAlign w:val="center"/>
          </w:tcPr>
          <w:p>
            <w:pPr>
              <w:widowControl/>
              <w:jc w:val="center"/>
              <w:rPr>
                <w:rFonts w:ascii="Times New Roman" w:hAnsi="Times New Roman" w:eastAsia="方正小标宋_GBK" w:cs="宋体"/>
                <w:kern w:val="0"/>
                <w:sz w:val="44"/>
                <w:szCs w:val="44"/>
              </w:rPr>
            </w:pPr>
            <w:r>
              <w:rPr>
                <w:rFonts w:hint="eastAsia" w:ascii="Times New Roman" w:hAnsi="Times New Roman" w:eastAsia="方正小标宋_GBK" w:cs="宋体"/>
                <w:kern w:val="0"/>
                <w:sz w:val="44"/>
                <w:szCs w:val="44"/>
              </w:rPr>
              <w:t>九龙坡区2022年全区财政预算支出执行表</w:t>
            </w:r>
          </w:p>
        </w:tc>
      </w:tr>
      <w:tr>
        <w:tblPrEx>
          <w:tblCellMar>
            <w:top w:w="0" w:type="dxa"/>
            <w:left w:w="108" w:type="dxa"/>
            <w:bottom w:w="0" w:type="dxa"/>
            <w:right w:w="108" w:type="dxa"/>
          </w:tblCellMar>
        </w:tblPrEx>
        <w:trPr>
          <w:trHeight w:val="360" w:hRule="atLeast"/>
          <w:jc w:val="center"/>
        </w:trPr>
        <w:tc>
          <w:tcPr>
            <w:tcW w:w="4920" w:type="dxa"/>
            <w:tcBorders>
              <w:top w:val="nil"/>
              <w:left w:val="nil"/>
              <w:bottom w:val="nil"/>
              <w:right w:val="nil"/>
            </w:tcBorders>
            <w:shd w:val="clear" w:color="auto" w:fill="auto"/>
            <w:noWrap/>
            <w:vAlign w:val="bottom"/>
          </w:tcPr>
          <w:p>
            <w:pPr>
              <w:widowControl/>
              <w:jc w:val="left"/>
              <w:rPr>
                <w:rFonts w:ascii="Times New Roman" w:hAnsi="Times New Roman" w:eastAsia="宋体" w:cs="宋体"/>
                <w:kern w:val="0"/>
                <w:sz w:val="22"/>
              </w:rPr>
            </w:pPr>
          </w:p>
        </w:tc>
        <w:tc>
          <w:tcPr>
            <w:tcW w:w="1880" w:type="dxa"/>
            <w:tcBorders>
              <w:top w:val="nil"/>
              <w:left w:val="nil"/>
              <w:bottom w:val="nil"/>
              <w:right w:val="nil"/>
            </w:tcBorders>
            <w:shd w:val="clear" w:color="auto" w:fill="auto"/>
            <w:noWrap/>
            <w:vAlign w:val="bottom"/>
          </w:tcPr>
          <w:p>
            <w:pPr>
              <w:widowControl/>
              <w:jc w:val="left"/>
              <w:rPr>
                <w:rFonts w:ascii="Times New Roman" w:hAnsi="Times New Roman" w:eastAsia="宋体" w:cs="宋体"/>
                <w:kern w:val="0"/>
                <w:sz w:val="22"/>
              </w:rPr>
            </w:pPr>
          </w:p>
        </w:tc>
        <w:tc>
          <w:tcPr>
            <w:tcW w:w="1880" w:type="dxa"/>
            <w:tcBorders>
              <w:top w:val="nil"/>
              <w:left w:val="nil"/>
              <w:bottom w:val="nil"/>
              <w:right w:val="nil"/>
            </w:tcBorders>
            <w:shd w:val="clear" w:color="auto" w:fill="auto"/>
            <w:noWrap/>
            <w:vAlign w:val="bottom"/>
          </w:tcPr>
          <w:p>
            <w:pPr>
              <w:widowControl/>
              <w:jc w:val="left"/>
              <w:rPr>
                <w:rFonts w:ascii="Times New Roman" w:hAnsi="Times New Roman" w:eastAsia="宋体" w:cs="宋体"/>
                <w:kern w:val="0"/>
                <w:sz w:val="22"/>
              </w:rPr>
            </w:pPr>
          </w:p>
        </w:tc>
        <w:tc>
          <w:tcPr>
            <w:tcW w:w="1880" w:type="dxa"/>
            <w:tcBorders>
              <w:top w:val="nil"/>
              <w:left w:val="nil"/>
              <w:bottom w:val="nil"/>
              <w:right w:val="nil"/>
            </w:tcBorders>
            <w:shd w:val="clear" w:color="auto" w:fill="auto"/>
            <w:noWrap/>
            <w:vAlign w:val="center"/>
          </w:tcPr>
          <w:p>
            <w:pPr>
              <w:widowControl/>
              <w:jc w:val="center"/>
              <w:rPr>
                <w:rFonts w:ascii="Times New Roman" w:hAnsi="Times New Roman" w:eastAsia="方正仿宋_GBK" w:cs="宋体"/>
                <w:kern w:val="0"/>
                <w:sz w:val="22"/>
              </w:rPr>
            </w:pPr>
            <w:r>
              <w:rPr>
                <w:rFonts w:hint="eastAsia" w:ascii="Times New Roman" w:hAnsi="Times New Roman" w:eastAsia="方正仿宋_GBK" w:cs="宋体"/>
                <w:kern w:val="0"/>
                <w:sz w:val="22"/>
              </w:rPr>
              <w:t>单位：万元</w:t>
            </w:r>
          </w:p>
        </w:tc>
      </w:tr>
      <w:tr>
        <w:tblPrEx>
          <w:tblCellMar>
            <w:top w:w="0" w:type="dxa"/>
            <w:left w:w="108" w:type="dxa"/>
            <w:bottom w:w="0" w:type="dxa"/>
            <w:right w:w="108" w:type="dxa"/>
          </w:tblCellMar>
        </w:tblPrEx>
        <w:trPr>
          <w:trHeight w:val="619" w:hRule="atLeast"/>
          <w:jc w:val="center"/>
        </w:trPr>
        <w:tc>
          <w:tcPr>
            <w:tcW w:w="49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项    目</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2021</w:t>
            </w:r>
            <w:r>
              <w:rPr>
                <w:rFonts w:hint="eastAsia" w:ascii="Times New Roman" w:hAnsi="Times New Roman" w:eastAsia="方正黑体_GBK" w:cs="Times New Roman"/>
                <w:kern w:val="0"/>
                <w:sz w:val="24"/>
                <w:szCs w:val="24"/>
              </w:rPr>
              <w:t>年决算数</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2022</w:t>
            </w:r>
            <w:r>
              <w:rPr>
                <w:rFonts w:hint="eastAsia" w:ascii="Times New Roman" w:hAnsi="Times New Roman" w:eastAsia="方正黑体_GBK" w:cs="Times New Roman"/>
                <w:kern w:val="0"/>
                <w:sz w:val="24"/>
                <w:szCs w:val="24"/>
              </w:rPr>
              <w:t>年执行数</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执行数为上年</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决算数的%</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一、一般公共预算支出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825551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953159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115.5</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一、一般公共服务支出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70826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67226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94.9</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二、外交支出</w:t>
            </w:r>
          </w:p>
        </w:tc>
        <w:tc>
          <w:tcPr>
            <w:tcW w:w="188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8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三、国防支出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1649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1606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97.4</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四、公共安全支出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84529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80460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95.2</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五、教育支出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220235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255429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116.0</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六、科学技术支出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33088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33685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101.8</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七、文化旅游体育与传媒支出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15622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16634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106.5</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八、社会保障和就业支出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128449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151442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117.9</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九、卫生健康支出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77852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117646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151.1</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十、节能环保支出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36978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37334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101.0</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十一、城乡社区支出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50222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79844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159.0</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十二、农林水支出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18144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18954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104.5</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十三、交通运输支出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6245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5962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95.5</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十四、资源勘探工业信息等支出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11876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3613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30.4</w:t>
            </w:r>
          </w:p>
        </w:tc>
      </w:tr>
      <w:tr>
        <w:tblPrEx>
          <w:tblCellMar>
            <w:top w:w="0" w:type="dxa"/>
            <w:left w:w="108" w:type="dxa"/>
            <w:bottom w:w="0" w:type="dxa"/>
            <w:right w:w="108" w:type="dxa"/>
          </w:tblCellMar>
        </w:tblPrEx>
        <w:trPr>
          <w:trHeight w:val="885" w:hRule="atLeast"/>
          <w:jc w:val="center"/>
        </w:trPr>
        <w:tc>
          <w:tcPr>
            <w:tcW w:w="49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项    目</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2021</w:t>
            </w:r>
            <w:r>
              <w:rPr>
                <w:rFonts w:hint="eastAsia" w:ascii="Times New Roman" w:hAnsi="Times New Roman" w:eastAsia="方正黑体_GBK" w:cs="Times New Roman"/>
                <w:kern w:val="0"/>
                <w:sz w:val="24"/>
                <w:szCs w:val="24"/>
              </w:rPr>
              <w:t>年决算数</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2022</w:t>
            </w:r>
            <w:r>
              <w:rPr>
                <w:rFonts w:hint="eastAsia" w:ascii="Times New Roman" w:hAnsi="Times New Roman" w:eastAsia="方正黑体_GBK" w:cs="Times New Roman"/>
                <w:kern w:val="0"/>
                <w:sz w:val="24"/>
                <w:szCs w:val="24"/>
              </w:rPr>
              <w:t>年执行数</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执行数为上年</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决算数的%</w:t>
            </w:r>
          </w:p>
        </w:tc>
      </w:tr>
      <w:tr>
        <w:tblPrEx>
          <w:tblCellMar>
            <w:top w:w="0" w:type="dxa"/>
            <w:left w:w="108" w:type="dxa"/>
            <w:bottom w:w="0" w:type="dxa"/>
            <w:right w:w="108" w:type="dxa"/>
          </w:tblCellMar>
        </w:tblPrEx>
        <w:trPr>
          <w:trHeight w:val="465" w:hRule="atLeast"/>
          <w:jc w:val="center"/>
        </w:trPr>
        <w:tc>
          <w:tcPr>
            <w:tcW w:w="49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十五、商业服务业等支出</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3536 </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3119 </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88.2</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十六、金融支出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66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138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209.1</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十七、援助其他地区支出</w:t>
            </w:r>
          </w:p>
        </w:tc>
        <w:tc>
          <w:tcPr>
            <w:tcW w:w="188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8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十八、自然资源海洋气象等支出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946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2447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258.7</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十九、住房保障支出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30366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38660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127.3</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二十、粮油物资储备支出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1610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1665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103.4</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二十一、灾害防治及应急管理支出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8924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8793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98.5</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二十二、其他支出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622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462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74.3</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二十三、债务付息支出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23761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28036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118.0</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二十四、债务发行费用支出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80.0</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二、政府性基金预算支出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639919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1081967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169.1</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三、国有资本经营预算支出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7917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c>
          <w:tcPr>
            <w:tcW w:w="188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r>
      <w:tr>
        <w:tblPrEx>
          <w:tblCellMar>
            <w:top w:w="0" w:type="dxa"/>
            <w:left w:w="108" w:type="dxa"/>
            <w:bottom w:w="0" w:type="dxa"/>
            <w:right w:w="108" w:type="dxa"/>
          </w:tblCellMar>
        </w:tblPrEx>
        <w:trPr>
          <w:trHeight w:val="488" w:hRule="atLeast"/>
          <w:jc w:val="center"/>
        </w:trPr>
        <w:tc>
          <w:tcPr>
            <w:tcW w:w="49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四、社会保险基金预算支出</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8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r>
    </w:tbl>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pPr>
    </w:p>
    <w:p>
      <w:pPr>
        <w:adjustRightInd w:val="0"/>
        <w:snapToGrid w:val="0"/>
        <w:spacing w:line="600" w:lineRule="exact"/>
        <w:jc w:val="left"/>
        <w:rPr>
          <w:rFonts w:ascii="Times New Roman" w:hAnsi="Times New Roman" w:eastAsia="方正黑体_GBK"/>
          <w:sz w:val="44"/>
          <w:szCs w:val="44"/>
        </w:rPr>
        <w:sectPr>
          <w:footerReference r:id="rId3" w:type="default"/>
          <w:footerReference r:id="rId4" w:type="even"/>
          <w:pgSz w:w="11906" w:h="16838"/>
          <w:pgMar w:top="1985" w:right="1446" w:bottom="1644" w:left="1446" w:header="851" w:footer="1474" w:gutter="0"/>
          <w:cols w:space="425" w:num="1"/>
          <w:docGrid w:type="lines" w:linePitch="312" w:charSpace="0"/>
        </w:sectPr>
      </w:pPr>
    </w:p>
    <w:p>
      <w:pPr>
        <w:widowControl/>
        <w:jc w:val="left"/>
        <w:rPr>
          <w:rFonts w:ascii="Times New Roman" w:hAnsi="Times New Roman" w:eastAsia="方正黑体_GBK" w:cs="宋体"/>
          <w:color w:val="000000"/>
          <w:kern w:val="0"/>
          <w:sz w:val="28"/>
          <w:szCs w:val="28"/>
        </w:rPr>
      </w:pPr>
      <w:r>
        <w:rPr>
          <w:rFonts w:hint="eastAsia" w:ascii="Times New Roman" w:hAnsi="Times New Roman" w:eastAsia="方正黑体_GBK" w:cs="宋体"/>
          <w:color w:val="000000"/>
          <w:kern w:val="0"/>
          <w:sz w:val="28"/>
          <w:szCs w:val="28"/>
        </w:rPr>
        <w:t>表3</w:t>
      </w:r>
    </w:p>
    <w:p>
      <w:pPr>
        <w:widowControl/>
        <w:jc w:val="center"/>
        <w:rPr>
          <w:rFonts w:ascii="Times New Roman" w:hAnsi="Times New Roman" w:eastAsia="宋体" w:cs="Times New Roman"/>
          <w:color w:val="000000"/>
          <w:kern w:val="0"/>
          <w:sz w:val="40"/>
          <w:szCs w:val="40"/>
        </w:rPr>
      </w:pPr>
      <w:r>
        <w:rPr>
          <w:rFonts w:hint="eastAsia" w:ascii="Times New Roman" w:hAnsi="Times New Roman" w:eastAsia="方正小标宋_GBK" w:cs="Times New Roman"/>
          <w:color w:val="000000"/>
          <w:kern w:val="0"/>
          <w:sz w:val="40"/>
          <w:szCs w:val="40"/>
        </w:rPr>
        <w:t>九龙坡区</w:t>
      </w:r>
      <w:r>
        <w:rPr>
          <w:rFonts w:ascii="Times New Roman" w:hAnsi="Times New Roman" w:eastAsia="宋体" w:cs="Times New Roman"/>
          <w:color w:val="000000"/>
          <w:kern w:val="0"/>
          <w:sz w:val="40"/>
          <w:szCs w:val="40"/>
        </w:rPr>
        <w:t>2022</w:t>
      </w:r>
      <w:r>
        <w:rPr>
          <w:rFonts w:hint="eastAsia" w:ascii="Times New Roman" w:hAnsi="Times New Roman" w:eastAsia="方正小标宋_GBK" w:cs="Times New Roman"/>
          <w:color w:val="000000"/>
          <w:kern w:val="0"/>
          <w:sz w:val="40"/>
          <w:szCs w:val="40"/>
        </w:rPr>
        <w:t>年区级一般公共预算收支执行表</w:t>
      </w:r>
    </w:p>
    <w:p>
      <w:pPr>
        <w:widowControl/>
        <w:jc w:val="right"/>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 xml:space="preserve">  单位：万元</w:t>
      </w:r>
    </w:p>
    <w:tbl>
      <w:tblPr>
        <w:tblStyle w:val="9"/>
        <w:tblW w:w="5909" w:type="pct"/>
        <w:jc w:val="center"/>
        <w:tblLayout w:type="fixed"/>
        <w:tblCellMar>
          <w:top w:w="0" w:type="dxa"/>
          <w:left w:w="108" w:type="dxa"/>
          <w:bottom w:w="0" w:type="dxa"/>
          <w:right w:w="108" w:type="dxa"/>
        </w:tblCellMar>
      </w:tblPr>
      <w:tblGrid>
        <w:gridCol w:w="1421"/>
        <w:gridCol w:w="1135"/>
        <w:gridCol w:w="992"/>
        <w:gridCol w:w="1052"/>
        <w:gridCol w:w="955"/>
        <w:gridCol w:w="1111"/>
        <w:gridCol w:w="1134"/>
        <w:gridCol w:w="1893"/>
        <w:gridCol w:w="992"/>
        <w:gridCol w:w="992"/>
        <w:gridCol w:w="992"/>
        <w:gridCol w:w="993"/>
        <w:gridCol w:w="1070"/>
        <w:gridCol w:w="1134"/>
      </w:tblGrid>
      <w:tr>
        <w:tblPrEx>
          <w:tblCellMar>
            <w:top w:w="0" w:type="dxa"/>
            <w:left w:w="108" w:type="dxa"/>
            <w:bottom w:w="0" w:type="dxa"/>
            <w:right w:w="108" w:type="dxa"/>
          </w:tblCellMar>
        </w:tblPrEx>
        <w:trPr>
          <w:trHeight w:val="397" w:hRule="atLeast"/>
          <w:tblHeader/>
          <w:jc w:val="center"/>
        </w:trPr>
        <w:tc>
          <w:tcPr>
            <w:tcW w:w="1421"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收      入</w:t>
            </w:r>
          </w:p>
        </w:tc>
        <w:tc>
          <w:tcPr>
            <w:tcW w:w="1135"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预算数</w:t>
            </w:r>
          </w:p>
        </w:tc>
        <w:tc>
          <w:tcPr>
            <w:tcW w:w="992"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调整预算数</w:t>
            </w:r>
          </w:p>
        </w:tc>
        <w:tc>
          <w:tcPr>
            <w:tcW w:w="1052"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变动预算数</w:t>
            </w:r>
          </w:p>
        </w:tc>
        <w:tc>
          <w:tcPr>
            <w:tcW w:w="95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执行数</w:t>
            </w:r>
          </w:p>
        </w:tc>
        <w:tc>
          <w:tcPr>
            <w:tcW w:w="1111"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执行数</w:t>
            </w:r>
            <w:r>
              <w:rPr>
                <w:rFonts w:hint="eastAsia" w:ascii="Times New Roman" w:hAnsi="Times New Roman" w:eastAsia="方正黑体_GBK" w:cs="宋体"/>
                <w:kern w:val="0"/>
                <w:szCs w:val="21"/>
              </w:rPr>
              <w:br w:type="textWrapping"/>
            </w:r>
            <w:r>
              <w:rPr>
                <w:rFonts w:hint="eastAsia" w:ascii="Times New Roman" w:hAnsi="Times New Roman" w:eastAsia="方正黑体_GBK" w:cs="宋体"/>
                <w:kern w:val="0"/>
                <w:szCs w:val="21"/>
              </w:rPr>
              <w:t>为变动预算数%</w:t>
            </w:r>
          </w:p>
        </w:tc>
        <w:tc>
          <w:tcPr>
            <w:tcW w:w="1134"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执行数比</w:t>
            </w:r>
            <w:r>
              <w:rPr>
                <w:rFonts w:hint="eastAsia" w:ascii="Times New Roman" w:hAnsi="Times New Roman" w:eastAsia="方正黑体_GBK" w:cs="宋体"/>
                <w:kern w:val="0"/>
                <w:szCs w:val="21"/>
              </w:rPr>
              <w:br w:type="textWrapping"/>
            </w:r>
            <w:r>
              <w:rPr>
                <w:rFonts w:hint="eastAsia" w:ascii="Times New Roman" w:hAnsi="Times New Roman" w:eastAsia="方正黑体_GBK" w:cs="宋体"/>
                <w:kern w:val="0"/>
                <w:szCs w:val="21"/>
              </w:rPr>
              <w:t>上年决算</w:t>
            </w:r>
            <w:r>
              <w:rPr>
                <w:rFonts w:hint="eastAsia" w:ascii="Times New Roman" w:hAnsi="Times New Roman" w:eastAsia="方正黑体_GBK" w:cs="宋体"/>
                <w:kern w:val="0"/>
                <w:szCs w:val="21"/>
              </w:rPr>
              <w:br w:type="textWrapping"/>
            </w:r>
            <w:r>
              <w:rPr>
                <w:rFonts w:hint="eastAsia" w:ascii="Times New Roman" w:hAnsi="Times New Roman" w:eastAsia="方正黑体_GBK" w:cs="宋体"/>
                <w:kern w:val="0"/>
                <w:szCs w:val="21"/>
              </w:rPr>
              <w:t>数增长%</w:t>
            </w:r>
          </w:p>
        </w:tc>
        <w:tc>
          <w:tcPr>
            <w:tcW w:w="1893"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支      出</w:t>
            </w:r>
          </w:p>
        </w:tc>
        <w:tc>
          <w:tcPr>
            <w:tcW w:w="992"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预算数</w:t>
            </w:r>
          </w:p>
        </w:tc>
        <w:tc>
          <w:tcPr>
            <w:tcW w:w="992"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调整预算数</w:t>
            </w:r>
          </w:p>
        </w:tc>
        <w:tc>
          <w:tcPr>
            <w:tcW w:w="992"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变动预算数</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执行数</w:t>
            </w:r>
          </w:p>
        </w:tc>
        <w:tc>
          <w:tcPr>
            <w:tcW w:w="1070"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执行数</w:t>
            </w:r>
            <w:r>
              <w:rPr>
                <w:rFonts w:hint="eastAsia" w:ascii="Times New Roman" w:hAnsi="Times New Roman" w:eastAsia="方正黑体_GBK" w:cs="宋体"/>
                <w:kern w:val="0"/>
                <w:szCs w:val="21"/>
              </w:rPr>
              <w:br w:type="textWrapping"/>
            </w:r>
            <w:r>
              <w:rPr>
                <w:rFonts w:hint="eastAsia" w:ascii="Times New Roman" w:hAnsi="Times New Roman" w:eastAsia="方正黑体_GBK" w:cs="宋体"/>
                <w:kern w:val="0"/>
                <w:szCs w:val="21"/>
              </w:rPr>
              <w:t>为变动预算数%</w:t>
            </w:r>
          </w:p>
        </w:tc>
        <w:tc>
          <w:tcPr>
            <w:tcW w:w="1134"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执行数比</w:t>
            </w:r>
            <w:r>
              <w:rPr>
                <w:rFonts w:hint="eastAsia" w:ascii="Times New Roman" w:hAnsi="Times New Roman" w:eastAsia="方正黑体_GBK" w:cs="宋体"/>
                <w:kern w:val="0"/>
                <w:szCs w:val="21"/>
              </w:rPr>
              <w:br w:type="textWrapping"/>
            </w:r>
            <w:r>
              <w:rPr>
                <w:rFonts w:hint="eastAsia" w:ascii="Times New Roman" w:hAnsi="Times New Roman" w:eastAsia="方正黑体_GBK" w:cs="宋体"/>
                <w:kern w:val="0"/>
                <w:szCs w:val="21"/>
              </w:rPr>
              <w:t>上年决算</w:t>
            </w:r>
            <w:r>
              <w:rPr>
                <w:rFonts w:hint="eastAsia" w:ascii="Times New Roman" w:hAnsi="Times New Roman" w:eastAsia="方正黑体_GBK" w:cs="宋体"/>
                <w:kern w:val="0"/>
                <w:szCs w:val="21"/>
              </w:rPr>
              <w:br w:type="textWrapping"/>
            </w:r>
            <w:r>
              <w:rPr>
                <w:rFonts w:hint="eastAsia" w:ascii="Times New Roman" w:hAnsi="Times New Roman" w:eastAsia="方正黑体_GBK" w:cs="宋体"/>
                <w:kern w:val="0"/>
                <w:szCs w:val="21"/>
              </w:rPr>
              <w:t>数增长%</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kern w:val="0"/>
                <w:szCs w:val="21"/>
              </w:rPr>
            </w:pPr>
            <w:r>
              <w:rPr>
                <w:rFonts w:hint="eastAsia" w:ascii="Times New Roman" w:hAnsi="Times New Roman" w:eastAsia="方正黑体_GBK" w:cs="Times New Roman"/>
                <w:kern w:val="0"/>
                <w:szCs w:val="21"/>
              </w:rPr>
              <w:t>总</w:t>
            </w:r>
            <w:r>
              <w:rPr>
                <w:rFonts w:ascii="Times New Roman" w:hAnsi="Times New Roman" w:eastAsia="宋体" w:cs="Times New Roman"/>
                <w:kern w:val="0"/>
                <w:szCs w:val="21"/>
              </w:rPr>
              <w:t xml:space="preserve">  </w:t>
            </w:r>
            <w:r>
              <w:rPr>
                <w:rFonts w:hint="eastAsia" w:ascii="Times New Roman" w:hAnsi="Times New Roman" w:eastAsia="方正黑体_GBK" w:cs="Times New Roman"/>
                <w:kern w:val="0"/>
                <w:szCs w:val="21"/>
              </w:rPr>
              <w:t>计</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1135005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1239216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1264469 </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1264469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kern w:val="0"/>
                <w:szCs w:val="21"/>
              </w:rPr>
            </w:pPr>
            <w:r>
              <w:rPr>
                <w:rFonts w:hint="eastAsia" w:ascii="Times New Roman" w:hAnsi="Times New Roman" w:eastAsia="方正黑体_GBK" w:cs="Times New Roman"/>
                <w:kern w:val="0"/>
                <w:szCs w:val="21"/>
              </w:rPr>
              <w:t>总</w:t>
            </w:r>
            <w:r>
              <w:rPr>
                <w:rFonts w:ascii="Times New Roman" w:hAnsi="Times New Roman" w:eastAsia="宋体" w:cs="Times New Roman"/>
                <w:kern w:val="0"/>
                <w:szCs w:val="21"/>
              </w:rPr>
              <w:t xml:space="preserve">  </w:t>
            </w:r>
            <w:r>
              <w:rPr>
                <w:rFonts w:hint="eastAsia" w:ascii="Times New Roman" w:hAnsi="Times New Roman" w:eastAsia="方正黑体_GBK" w:cs="Times New Roman"/>
                <w:kern w:val="0"/>
                <w:szCs w:val="21"/>
              </w:rPr>
              <w:t>计</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1135005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1239216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1264469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bCs/>
                <w:kern w:val="0"/>
                <w:szCs w:val="21"/>
              </w:rPr>
            </w:pPr>
            <w:r>
              <w:rPr>
                <w:rFonts w:ascii="Times New Roman" w:hAnsi="Times New Roman" w:eastAsia="宋体" w:cs="Times New Roman"/>
                <w:bCs/>
                <w:kern w:val="0"/>
                <w:szCs w:val="21"/>
              </w:rPr>
              <w:t xml:space="preserve">1264469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w:t>
            </w:r>
          </w:p>
        </w:tc>
      </w:tr>
      <w:tr>
        <w:tblPrEx>
          <w:tblCellMar>
            <w:top w:w="0" w:type="dxa"/>
            <w:left w:w="108" w:type="dxa"/>
            <w:bottom w:w="0" w:type="dxa"/>
            <w:right w:w="108" w:type="dxa"/>
          </w:tblCellMar>
        </w:tblPrEx>
        <w:trPr>
          <w:trHeight w:val="73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kern w:val="0"/>
                <w:szCs w:val="21"/>
              </w:rPr>
            </w:pPr>
            <w:r>
              <w:rPr>
                <w:rFonts w:hint="eastAsia" w:ascii="Times New Roman" w:hAnsi="Times New Roman" w:eastAsia="方正黑体_GBK" w:cs="Times New Roman"/>
                <w:kern w:val="0"/>
                <w:szCs w:val="21"/>
              </w:rPr>
              <w:t>本级收入合计</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573280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573280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561038 </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561038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2.76</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kern w:val="0"/>
                <w:szCs w:val="21"/>
              </w:rPr>
            </w:pPr>
            <w:r>
              <w:rPr>
                <w:rFonts w:hint="eastAsia" w:ascii="Times New Roman" w:hAnsi="Times New Roman" w:eastAsia="方正黑体_GBK" w:cs="Times New Roman"/>
                <w:kern w:val="0"/>
                <w:szCs w:val="21"/>
              </w:rPr>
              <w:t>本级支出合计</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990421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1094632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1122830 </w:t>
            </w:r>
          </w:p>
        </w:tc>
        <w:tc>
          <w:tcPr>
            <w:tcW w:w="9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953159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84.89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15.46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楷体_GBK" w:cs="宋体"/>
                <w:bCs/>
                <w:color w:val="000000"/>
                <w:kern w:val="0"/>
                <w:szCs w:val="21"/>
              </w:rPr>
            </w:pPr>
            <w:r>
              <w:rPr>
                <w:rFonts w:hint="eastAsia" w:ascii="Times New Roman" w:hAnsi="Times New Roman" w:eastAsia="方正楷体_GBK" w:cs="宋体"/>
                <w:bCs/>
                <w:color w:val="000000"/>
                <w:kern w:val="0"/>
                <w:szCs w:val="21"/>
              </w:rPr>
              <w:t>一、税收收入</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414226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414226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391257 </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391257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3.90</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一、一般公共服务支出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67506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71613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70424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67226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95.46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-5.08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增值税</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117627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117627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86571</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86571</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-19.04</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二、外交支出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企业所得税</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34518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34518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25192</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25192</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-19.72</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三、国防支出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3023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2431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2031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1606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79.07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-2.61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个人所得税</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14598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14598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15834</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15834</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19.31</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四、公共安全支出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80012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82014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86081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80460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93.47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-4.81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资源税</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24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-58.33</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五、教育支出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249057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260460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266023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255429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96.02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15.98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城市维护建设税</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20363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20363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14244</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14244</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-23.06</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六、科学技术支出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13794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41929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36503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33685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92.28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1.80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房产税</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19692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19692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18603</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18603</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-4.59</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七、文化旅游体育与传媒支出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8321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19923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17712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16634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93.91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6.48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印花税</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17815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17815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16081</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16081</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-0.70</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八、社会保障和就业支出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183681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187546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165808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151442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91.34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17.90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城镇土地使用税</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26804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26804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26306</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26306</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-0.88</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九、卫生健康支出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66346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76765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121504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117646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96.82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51.11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土地增值税</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74161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74161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111753</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111753</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144.93</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十、节能环保支出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27514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38765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57716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37334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64.69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0.96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耕地占用税</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1774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1774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626</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626</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-64.71</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十一、城乡社区支出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75987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128304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106572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79844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74.92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58.98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契税</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86484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86484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75337</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75337</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-21.92</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十二、农林水支出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25674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31832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24606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18954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77.03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4.46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环境保护税</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333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333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232 </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232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-23.43</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十三、交通运输支出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11916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14650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15198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5962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39.23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-4.53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其他税收收入</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33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33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468</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468</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1460.00</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十四、资源勘探工业信息等支出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31242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4779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11187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3613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32.30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-69.58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楷体_GBK" w:cs="宋体"/>
                <w:bCs/>
                <w:color w:val="000000"/>
                <w:kern w:val="0"/>
                <w:szCs w:val="21"/>
              </w:rPr>
            </w:pPr>
            <w:r>
              <w:rPr>
                <w:rFonts w:hint="eastAsia" w:ascii="Times New Roman" w:hAnsi="Times New Roman" w:eastAsia="方正楷体_GBK" w:cs="宋体"/>
                <w:bCs/>
                <w:color w:val="000000"/>
                <w:kern w:val="0"/>
                <w:szCs w:val="21"/>
              </w:rPr>
              <w:t>二、非税收入</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159054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159054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169781 </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169781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0.22</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十五、商业服务业等支出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3987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5422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4748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3119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65.69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-11.79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专项收入</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17934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17934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14462</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14462</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-19.33</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十六、金融支出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89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93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160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138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86.25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109.09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行政事业性收费收入</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2322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2322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352</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352</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-84.84</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十七、援助其他地区支出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罚没收入</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16126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16126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16161</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16161</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-10.84</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十八、自然资源海洋气象等支出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4043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4615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3261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2447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75.04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158.67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国有资源</w:t>
            </w:r>
            <w:r>
              <w:rPr>
                <w:rFonts w:ascii="Times New Roman" w:hAnsi="Times New Roman" w:eastAsia="宋体" w:cs="Times New Roman"/>
                <w:color w:val="000000"/>
                <w:kern w:val="0"/>
                <w:szCs w:val="21"/>
              </w:rPr>
              <w:t>(</w:t>
            </w:r>
            <w:r>
              <w:rPr>
                <w:rFonts w:hint="eastAsia" w:ascii="Times New Roman" w:hAnsi="Times New Roman" w:eastAsia="方正仿宋_GBK" w:cs="Times New Roman"/>
                <w:color w:val="000000"/>
                <w:kern w:val="0"/>
                <w:szCs w:val="21"/>
              </w:rPr>
              <w:t>资产</w:t>
            </w:r>
            <w:r>
              <w:rPr>
                <w:rFonts w:ascii="Times New Roman" w:hAnsi="Times New Roman" w:eastAsia="宋体" w:cs="Times New Roman"/>
                <w:color w:val="000000"/>
                <w:kern w:val="0"/>
                <w:szCs w:val="21"/>
              </w:rPr>
              <w:t>)</w:t>
            </w:r>
            <w:r>
              <w:rPr>
                <w:rFonts w:hint="eastAsia" w:ascii="Times New Roman" w:hAnsi="Times New Roman" w:eastAsia="方正仿宋_GBK" w:cs="Times New Roman"/>
                <w:color w:val="000000"/>
                <w:kern w:val="0"/>
                <w:szCs w:val="21"/>
              </w:rPr>
              <w:t>有偿使用收入</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115237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115237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135930</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135930</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14.62</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十九、住房保障支出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50513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62603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56080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38660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68.94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27.31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捐赠收入</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二十、粮油物资储备支出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1497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1664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1665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1665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3.42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政府住房基金收入</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564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564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310</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310</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-45.04</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二十一、灾害防治及应急管理支出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11727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11949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28952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8793</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30.37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-1.47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其他收入</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6871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6871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2266</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2266</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-80.92</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二十二、预备费</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18012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18012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18012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黑体_GBK" w:cs="宋体"/>
                <w:kern w:val="0"/>
                <w:szCs w:val="21"/>
              </w:rPr>
            </w:pPr>
            <w:r>
              <w:rPr>
                <w:rFonts w:hint="eastAsia" w:ascii="Times New Roman" w:hAnsi="Times New Roman" w:eastAsia="方正黑体_GBK" w:cs="宋体"/>
                <w:kern w:val="0"/>
                <w:szCs w:val="21"/>
              </w:rPr>
              <w:t>转移性收入合计</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561725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665936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703431 </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703431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二十三、其他支出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28440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1223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547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462</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84.46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-25.72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楷体_GBK" w:cs="宋体"/>
                <w:bCs/>
                <w:color w:val="000000"/>
                <w:kern w:val="0"/>
                <w:szCs w:val="21"/>
              </w:rPr>
            </w:pPr>
            <w:r>
              <w:rPr>
                <w:rFonts w:hint="eastAsia" w:ascii="Times New Roman" w:hAnsi="Times New Roman" w:eastAsia="方正楷体_GBK" w:cs="宋体"/>
                <w:bCs/>
                <w:color w:val="000000"/>
                <w:kern w:val="0"/>
                <w:szCs w:val="21"/>
              </w:rPr>
              <w:t>一、上级补助收入</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193145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305198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329294 </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329294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二十四、债务付息支出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28036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28036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28036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28036</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17.99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楷体_GBK" w:cs="宋体"/>
                <w:bCs/>
                <w:color w:val="000000"/>
                <w:kern w:val="0"/>
                <w:szCs w:val="21"/>
              </w:rPr>
            </w:pPr>
            <w:r>
              <w:rPr>
                <w:rFonts w:hint="eastAsia" w:ascii="Times New Roman" w:hAnsi="Times New Roman" w:eastAsia="方正楷体_GBK" w:cs="宋体"/>
                <w:bCs/>
                <w:color w:val="000000"/>
                <w:kern w:val="0"/>
                <w:szCs w:val="21"/>
              </w:rPr>
              <w:t>二、动用预算稳定调节基金</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17482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17459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17459 </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17459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仿宋_GBK" w:cs="宋体"/>
                <w:color w:val="000000"/>
                <w:kern w:val="0"/>
                <w:szCs w:val="21"/>
              </w:rPr>
            </w:pPr>
            <w:r>
              <w:rPr>
                <w:rFonts w:hint="eastAsia" w:ascii="Times New Roman" w:hAnsi="Times New Roman" w:eastAsia="方正仿宋_GBK" w:cs="宋体"/>
                <w:color w:val="000000"/>
                <w:kern w:val="0"/>
                <w:szCs w:val="21"/>
              </w:rPr>
              <w:t>二十五、债务发行费用支出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4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100.00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-20.00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楷体_GBK" w:cs="宋体"/>
                <w:bCs/>
                <w:color w:val="000000"/>
                <w:kern w:val="0"/>
                <w:szCs w:val="21"/>
              </w:rPr>
            </w:pPr>
            <w:r>
              <w:rPr>
                <w:rFonts w:hint="eastAsia" w:ascii="Times New Roman" w:hAnsi="Times New Roman" w:eastAsia="方正楷体_GBK" w:cs="宋体"/>
                <w:bCs/>
                <w:color w:val="000000"/>
                <w:kern w:val="0"/>
                <w:szCs w:val="21"/>
              </w:rPr>
              <w:t>三、调入资金</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219242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187423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200822 </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200822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黑体_GBK" w:cs="宋体"/>
                <w:kern w:val="0"/>
                <w:szCs w:val="21"/>
              </w:rPr>
            </w:pPr>
            <w:r>
              <w:rPr>
                <w:rFonts w:hint="eastAsia" w:ascii="Times New Roman" w:hAnsi="Times New Roman" w:eastAsia="方正黑体_GBK" w:cs="宋体"/>
                <w:kern w:val="0"/>
                <w:szCs w:val="21"/>
              </w:rPr>
              <w:t>转移性支出合计</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144584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144584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141639 </w:t>
            </w:r>
          </w:p>
        </w:tc>
        <w:tc>
          <w:tcPr>
            <w:tcW w:w="9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 xml:space="preserve">311310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楷体_GBK" w:cs="宋体"/>
                <w:bCs/>
                <w:color w:val="000000"/>
                <w:kern w:val="0"/>
                <w:szCs w:val="21"/>
              </w:rPr>
            </w:pPr>
            <w:r>
              <w:rPr>
                <w:rFonts w:hint="eastAsia" w:ascii="Times New Roman" w:hAnsi="Times New Roman" w:eastAsia="方正楷体_GBK" w:cs="宋体"/>
                <w:bCs/>
                <w:color w:val="000000"/>
                <w:kern w:val="0"/>
                <w:szCs w:val="21"/>
              </w:rPr>
              <w:t>四、地方政府债务收入</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57700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81700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81700 </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81700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楷体_GBK" w:cs="宋体"/>
                <w:bCs/>
                <w:color w:val="000000"/>
                <w:kern w:val="0"/>
                <w:szCs w:val="21"/>
              </w:rPr>
            </w:pPr>
            <w:r>
              <w:rPr>
                <w:rFonts w:hint="eastAsia" w:ascii="Times New Roman" w:hAnsi="Times New Roman" w:eastAsia="方正楷体_GBK" w:cs="宋体"/>
                <w:bCs/>
                <w:color w:val="000000"/>
                <w:kern w:val="0"/>
                <w:szCs w:val="21"/>
              </w:rPr>
              <w:t>一、上解支出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86884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86884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83937 </w:t>
            </w:r>
          </w:p>
        </w:tc>
        <w:tc>
          <w:tcPr>
            <w:tcW w:w="9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83937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地方政府债券收入</w:t>
            </w:r>
            <w:r>
              <w:rPr>
                <w:rFonts w:ascii="Times New Roman" w:hAnsi="Times New Roman" w:eastAsia="宋体" w:cs="Times New Roman"/>
                <w:color w:val="000000"/>
                <w:kern w:val="0"/>
                <w:szCs w:val="21"/>
              </w:rPr>
              <w:t>(</w:t>
            </w:r>
            <w:r>
              <w:rPr>
                <w:rFonts w:hint="eastAsia" w:ascii="Times New Roman" w:hAnsi="Times New Roman" w:eastAsia="方正仿宋_GBK" w:cs="Times New Roman"/>
                <w:color w:val="000000"/>
                <w:kern w:val="0"/>
                <w:szCs w:val="21"/>
              </w:rPr>
              <w:t>新增）</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24000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24000 </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24000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楷体_GBK" w:cs="宋体"/>
                <w:bCs/>
                <w:color w:val="000000"/>
                <w:kern w:val="0"/>
                <w:szCs w:val="21"/>
              </w:rPr>
            </w:pPr>
            <w:r>
              <w:rPr>
                <w:rFonts w:hint="eastAsia" w:ascii="Times New Roman" w:hAnsi="Times New Roman" w:eastAsia="方正楷体_GBK" w:cs="宋体"/>
                <w:bCs/>
                <w:color w:val="000000"/>
                <w:kern w:val="0"/>
                <w:szCs w:val="21"/>
              </w:rPr>
              <w:t>二、地方政府债务还本支出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57700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57700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57702 </w:t>
            </w:r>
          </w:p>
        </w:tc>
        <w:tc>
          <w:tcPr>
            <w:tcW w:w="9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57702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地方政府债券收入</w:t>
            </w:r>
            <w:r>
              <w:rPr>
                <w:rFonts w:ascii="Times New Roman" w:hAnsi="Times New Roman" w:eastAsia="宋体" w:cs="Times New Roman"/>
                <w:color w:val="000000"/>
                <w:kern w:val="0"/>
                <w:szCs w:val="21"/>
              </w:rPr>
              <w:t>(</w:t>
            </w:r>
            <w:r>
              <w:rPr>
                <w:rFonts w:hint="eastAsia" w:ascii="Times New Roman" w:hAnsi="Times New Roman" w:eastAsia="方正仿宋_GBK" w:cs="Times New Roman"/>
                <w:color w:val="000000"/>
                <w:kern w:val="0"/>
                <w:szCs w:val="21"/>
              </w:rPr>
              <w:t>再融资）</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57700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57700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57700 </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57700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地方政府债券还本支出</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57700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57700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57702 </w:t>
            </w:r>
          </w:p>
        </w:tc>
        <w:tc>
          <w:tcPr>
            <w:tcW w:w="9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57702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地方政府外债借款收入</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楷体_GBK" w:cs="宋体"/>
                <w:bCs/>
                <w:color w:val="000000"/>
                <w:kern w:val="0"/>
                <w:szCs w:val="21"/>
              </w:rPr>
            </w:pPr>
            <w:r>
              <w:rPr>
                <w:rFonts w:hint="eastAsia" w:ascii="Times New Roman" w:hAnsi="Times New Roman" w:eastAsia="方正楷体_GBK" w:cs="宋体"/>
                <w:bCs/>
                <w:color w:val="000000"/>
                <w:kern w:val="0"/>
                <w:szCs w:val="21"/>
              </w:rPr>
              <w:t>三、安排预算稳定调节基金</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84672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r>
      <w:tr>
        <w:tblPrEx>
          <w:tblCellMar>
            <w:top w:w="0" w:type="dxa"/>
            <w:left w:w="108" w:type="dxa"/>
            <w:bottom w:w="0" w:type="dxa"/>
            <w:right w:w="108" w:type="dxa"/>
          </w:tblCellMar>
        </w:tblPrEx>
        <w:trPr>
          <w:trHeight w:val="397" w:hRule="atLeast"/>
          <w:jc w:val="center"/>
        </w:trPr>
        <w:tc>
          <w:tcPr>
            <w:tcW w:w="1421"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楷体_GBK" w:cs="宋体"/>
                <w:bCs/>
                <w:color w:val="000000"/>
                <w:kern w:val="0"/>
                <w:szCs w:val="21"/>
              </w:rPr>
            </w:pPr>
            <w:r>
              <w:rPr>
                <w:rFonts w:hint="eastAsia" w:ascii="Times New Roman" w:hAnsi="Times New Roman" w:eastAsia="方正楷体_GBK" w:cs="宋体"/>
                <w:bCs/>
                <w:color w:val="000000"/>
                <w:kern w:val="0"/>
                <w:szCs w:val="21"/>
              </w:rPr>
              <w:t>五、上年结转</w:t>
            </w:r>
          </w:p>
        </w:tc>
        <w:tc>
          <w:tcPr>
            <w:tcW w:w="113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74156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74156 </w:t>
            </w:r>
          </w:p>
        </w:tc>
        <w:tc>
          <w:tcPr>
            <w:tcW w:w="105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74156 </w:t>
            </w:r>
          </w:p>
        </w:tc>
        <w:tc>
          <w:tcPr>
            <w:tcW w:w="955"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74156 </w:t>
            </w:r>
          </w:p>
        </w:tc>
        <w:tc>
          <w:tcPr>
            <w:tcW w:w="1111"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893"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方正楷体_GBK" w:cs="宋体"/>
                <w:bCs/>
                <w:color w:val="000000"/>
                <w:kern w:val="0"/>
                <w:szCs w:val="21"/>
              </w:rPr>
            </w:pPr>
            <w:r>
              <w:rPr>
                <w:rFonts w:hint="eastAsia" w:ascii="Times New Roman" w:hAnsi="Times New Roman" w:eastAsia="方正楷体_GBK" w:cs="宋体"/>
                <w:bCs/>
                <w:color w:val="000000"/>
                <w:kern w:val="0"/>
                <w:szCs w:val="21"/>
              </w:rPr>
              <w:t>四、结转下年</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84999 </w:t>
            </w:r>
          </w:p>
        </w:tc>
        <w:tc>
          <w:tcPr>
            <w:tcW w:w="1070"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w:t>
            </w:r>
          </w:p>
        </w:tc>
      </w:tr>
      <w:tr>
        <w:tblPrEx>
          <w:tblCellMar>
            <w:top w:w="0" w:type="dxa"/>
            <w:left w:w="108" w:type="dxa"/>
            <w:bottom w:w="0" w:type="dxa"/>
            <w:right w:w="108" w:type="dxa"/>
          </w:tblCellMar>
        </w:tblPrEx>
        <w:trPr>
          <w:trHeight w:val="397" w:hRule="atLeast"/>
          <w:jc w:val="center"/>
        </w:trPr>
        <w:tc>
          <w:tcPr>
            <w:tcW w:w="15866" w:type="dxa"/>
            <w:gridSpan w:val="14"/>
            <w:tcBorders>
              <w:top w:val="single" w:color="auto" w:sz="4" w:space="0"/>
              <w:left w:val="nil"/>
              <w:bottom w:val="nil"/>
              <w:right w:val="nil"/>
            </w:tcBorders>
            <w:shd w:val="clear" w:color="000000" w:fill="FFFFFF"/>
            <w:vAlign w:val="center"/>
          </w:tcPr>
          <w:p>
            <w:pPr>
              <w:widowControl/>
              <w:adjustRightInd w:val="0"/>
              <w:snapToGrid w:val="0"/>
              <w:spacing w:line="240" w:lineRule="exact"/>
              <w:jc w:val="left"/>
              <w:rPr>
                <w:rFonts w:ascii="Times New Roman" w:hAnsi="Times New Roman" w:eastAsia="宋体" w:cs="Times New Roman"/>
                <w:color w:val="000000"/>
                <w:kern w:val="0"/>
                <w:szCs w:val="21"/>
              </w:rPr>
            </w:pPr>
            <w:r>
              <w:rPr>
                <w:rFonts w:hint="eastAsia" w:ascii="Times New Roman" w:hAnsi="Times New Roman" w:eastAsia="方正仿宋_GBK" w:cs="Times New Roman"/>
                <w:color w:val="000000"/>
                <w:kern w:val="0"/>
                <w:szCs w:val="21"/>
              </w:rPr>
              <w:t>注：</w:t>
            </w:r>
            <w:r>
              <w:rPr>
                <w:rFonts w:ascii="Times New Roman" w:hAnsi="Times New Roman" w:eastAsia="宋体" w:cs="Times New Roman"/>
                <w:color w:val="000000"/>
                <w:kern w:val="0"/>
                <w:szCs w:val="21"/>
              </w:rPr>
              <w:t>1.</w:t>
            </w:r>
            <w:r>
              <w:rPr>
                <w:rFonts w:hint="eastAsia" w:ascii="Times New Roman" w:hAnsi="Times New Roman" w:eastAsia="方正仿宋_GBK" w:cs="Times New Roman"/>
                <w:color w:val="000000"/>
                <w:kern w:val="0"/>
                <w:szCs w:val="21"/>
              </w:rPr>
              <w:t>本表直观反映</w:t>
            </w:r>
            <w:r>
              <w:rPr>
                <w:rFonts w:ascii="Times New Roman" w:hAnsi="Times New Roman" w:eastAsia="宋体" w:cs="Times New Roman"/>
                <w:color w:val="000000"/>
                <w:kern w:val="0"/>
                <w:szCs w:val="21"/>
              </w:rPr>
              <w:t>2022</w:t>
            </w:r>
            <w:r>
              <w:rPr>
                <w:rFonts w:hint="eastAsia" w:ascii="Times New Roman" w:hAnsi="Times New Roman" w:eastAsia="方正仿宋_GBK" w:cs="Times New Roman"/>
                <w:color w:val="000000"/>
                <w:kern w:val="0"/>
                <w:szCs w:val="21"/>
              </w:rPr>
              <w:t>年一般公共预算收入与支出的平衡关系。</w:t>
            </w:r>
            <w:r>
              <w:rPr>
                <w:rFonts w:hint="eastAsia" w:ascii="Times New Roman" w:hAnsi="Times New Roman" w:eastAsia="方正仿宋_GBK" w:cs="Times New Roman"/>
                <w:color w:val="000000"/>
                <w:kern w:val="0"/>
                <w:szCs w:val="21"/>
              </w:rPr>
              <w:br w:type="textWrapping"/>
            </w:r>
            <w:r>
              <w:rPr>
                <w:rFonts w:ascii="Times New Roman" w:hAnsi="Times New Roman" w:eastAsia="宋体" w:cs="Times New Roman"/>
                <w:color w:val="000000"/>
                <w:kern w:val="0"/>
                <w:szCs w:val="21"/>
              </w:rPr>
              <w:t xml:space="preserve">    2.</w:t>
            </w:r>
            <w:r>
              <w:rPr>
                <w:rFonts w:hint="eastAsia" w:ascii="Times New Roman" w:hAnsi="Times New Roman" w:eastAsia="方正仿宋_GBK" w:cs="Times New Roman"/>
                <w:color w:val="000000"/>
                <w:kern w:val="0"/>
                <w:szCs w:val="21"/>
              </w:rPr>
              <w:t>收入总计（本级收入合计</w:t>
            </w:r>
            <w:r>
              <w:rPr>
                <w:rFonts w:ascii="Times New Roman" w:hAnsi="Times New Roman" w:eastAsia="宋体" w:cs="Times New Roman"/>
                <w:color w:val="000000"/>
                <w:kern w:val="0"/>
                <w:szCs w:val="21"/>
              </w:rPr>
              <w:t>+</w:t>
            </w:r>
            <w:r>
              <w:rPr>
                <w:rFonts w:hint="eastAsia" w:ascii="Times New Roman" w:hAnsi="Times New Roman" w:eastAsia="方正仿宋_GBK" w:cs="Times New Roman"/>
                <w:color w:val="000000"/>
                <w:kern w:val="0"/>
                <w:szCs w:val="21"/>
              </w:rPr>
              <w:t>转移性收入合计）</w:t>
            </w:r>
            <w:r>
              <w:rPr>
                <w:rFonts w:ascii="Times New Roman" w:hAnsi="Times New Roman" w:eastAsia="宋体" w:cs="Times New Roman"/>
                <w:color w:val="000000"/>
                <w:kern w:val="0"/>
                <w:szCs w:val="21"/>
              </w:rPr>
              <w:t>=</w:t>
            </w:r>
            <w:r>
              <w:rPr>
                <w:rFonts w:hint="eastAsia" w:ascii="Times New Roman" w:hAnsi="Times New Roman" w:eastAsia="方正仿宋_GBK" w:cs="Times New Roman"/>
                <w:color w:val="000000"/>
                <w:kern w:val="0"/>
                <w:szCs w:val="21"/>
              </w:rPr>
              <w:t>支出总计（本级支出合计</w:t>
            </w:r>
            <w:r>
              <w:rPr>
                <w:rFonts w:ascii="Times New Roman" w:hAnsi="Times New Roman" w:eastAsia="宋体" w:cs="Times New Roman"/>
                <w:color w:val="000000"/>
                <w:kern w:val="0"/>
                <w:szCs w:val="21"/>
              </w:rPr>
              <w:t>+</w:t>
            </w:r>
            <w:r>
              <w:rPr>
                <w:rFonts w:hint="eastAsia" w:ascii="Times New Roman" w:hAnsi="Times New Roman" w:eastAsia="方正仿宋_GBK" w:cs="Times New Roman"/>
                <w:color w:val="000000"/>
                <w:kern w:val="0"/>
                <w:szCs w:val="21"/>
              </w:rPr>
              <w:t>转移性支出合计）。</w:t>
            </w:r>
            <w:r>
              <w:rPr>
                <w:rFonts w:ascii="Times New Roman" w:hAnsi="Times New Roman" w:eastAsia="宋体" w:cs="Times New Roman"/>
                <w:color w:val="000000"/>
                <w:kern w:val="0"/>
                <w:szCs w:val="21"/>
              </w:rPr>
              <w:t xml:space="preserve">     </w:t>
            </w:r>
          </w:p>
        </w:tc>
      </w:tr>
    </w:tbl>
    <w:p>
      <w:pPr>
        <w:widowControl/>
        <w:jc w:val="left"/>
        <w:rPr>
          <w:rFonts w:ascii="Times New Roman" w:hAnsi="Times New Roman" w:eastAsia="方正黑体_GBK"/>
          <w:sz w:val="44"/>
          <w:szCs w:val="44"/>
        </w:rPr>
      </w:pPr>
    </w:p>
    <w:p>
      <w:pPr>
        <w:widowControl/>
        <w:jc w:val="left"/>
        <w:rPr>
          <w:rFonts w:ascii="Times New Roman" w:hAnsi="Times New Roman" w:eastAsia="方正黑体_GBK"/>
          <w:sz w:val="44"/>
          <w:szCs w:val="44"/>
        </w:rPr>
      </w:pPr>
    </w:p>
    <w:p>
      <w:pPr>
        <w:widowControl/>
        <w:jc w:val="left"/>
        <w:rPr>
          <w:rFonts w:ascii="Times New Roman" w:hAnsi="Times New Roman" w:eastAsia="方正黑体_GBK"/>
          <w:sz w:val="44"/>
          <w:szCs w:val="44"/>
        </w:rPr>
      </w:pPr>
    </w:p>
    <w:p>
      <w:pPr>
        <w:widowControl/>
        <w:jc w:val="left"/>
        <w:rPr>
          <w:rFonts w:ascii="Times New Roman" w:hAnsi="Times New Roman" w:eastAsia="方正黑体_GBK"/>
          <w:sz w:val="44"/>
          <w:szCs w:val="44"/>
        </w:rPr>
      </w:pPr>
    </w:p>
    <w:p>
      <w:pPr>
        <w:widowControl/>
        <w:jc w:val="left"/>
        <w:rPr>
          <w:rFonts w:ascii="Times New Roman" w:hAnsi="Times New Roman" w:eastAsia="方正黑体_GBK"/>
          <w:sz w:val="44"/>
          <w:szCs w:val="44"/>
        </w:rPr>
        <w:sectPr>
          <w:pgSz w:w="16838" w:h="11906" w:orient="landscape"/>
          <w:pgMar w:top="1446" w:right="1985" w:bottom="1446" w:left="1644" w:header="851" w:footer="1474" w:gutter="0"/>
          <w:cols w:space="425" w:num="1"/>
          <w:docGrid w:type="linesAndChars" w:linePitch="312" w:charSpace="0"/>
        </w:sectPr>
      </w:pPr>
    </w:p>
    <w:p>
      <w:pPr>
        <w:widowControl/>
        <w:adjustRightInd w:val="0"/>
        <w:snapToGrid w:val="0"/>
        <w:spacing w:line="600" w:lineRule="atLeast"/>
        <w:jc w:val="left"/>
        <w:rPr>
          <w:rFonts w:ascii="Times New Roman" w:hAnsi="Times New Roman" w:eastAsia="方正黑体_GBK"/>
          <w:sz w:val="28"/>
          <w:szCs w:val="28"/>
        </w:rPr>
      </w:pPr>
      <w:r>
        <w:rPr>
          <w:rFonts w:hint="eastAsia" w:ascii="Times New Roman" w:hAnsi="Times New Roman" w:eastAsia="方正黑体_GBK"/>
          <w:sz w:val="28"/>
          <w:szCs w:val="28"/>
        </w:rPr>
        <w:t>表4</w:t>
      </w:r>
    </w:p>
    <w:p>
      <w:pPr>
        <w:widowControl/>
        <w:adjustRightInd w:val="0"/>
        <w:snapToGrid w:val="0"/>
        <w:spacing w:line="600" w:lineRule="atLeast"/>
        <w:jc w:val="left"/>
        <w:rPr>
          <w:rFonts w:ascii="Times New Roman" w:hAnsi="Times New Roman" w:eastAsia="方正黑体_GBK"/>
          <w:sz w:val="28"/>
          <w:szCs w:val="28"/>
        </w:rPr>
      </w:pPr>
    </w:p>
    <w:p>
      <w:pPr>
        <w:widowControl/>
        <w:adjustRightInd w:val="0"/>
        <w:snapToGrid w:val="0"/>
        <w:spacing w:line="600" w:lineRule="atLeast"/>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九龙坡区2022年一般公共预算本级支出执行表</w:t>
      </w:r>
    </w:p>
    <w:p>
      <w:pPr>
        <w:widowControl/>
        <w:adjustRightInd w:val="0"/>
        <w:snapToGrid w:val="0"/>
        <w:spacing w:line="600" w:lineRule="atLeast"/>
        <w:jc w:val="right"/>
        <w:rPr>
          <w:rFonts w:ascii="Times New Roman" w:hAnsi="Times New Roman" w:eastAsia="方正仿宋_GBK"/>
          <w:sz w:val="28"/>
          <w:szCs w:val="28"/>
        </w:rPr>
      </w:pPr>
      <w:r>
        <w:rPr>
          <w:rFonts w:hint="eastAsia" w:ascii="Times New Roman" w:hAnsi="Times New Roman" w:eastAsia="方正仿宋_GBK"/>
          <w:sz w:val="28"/>
          <w:szCs w:val="28"/>
        </w:rPr>
        <w:t>单位：万元</w:t>
      </w:r>
    </w:p>
    <w:tbl>
      <w:tblPr>
        <w:tblStyle w:val="9"/>
        <w:tblW w:w="9940" w:type="dxa"/>
        <w:jc w:val="center"/>
        <w:tblLayout w:type="autofit"/>
        <w:tblCellMar>
          <w:top w:w="0" w:type="dxa"/>
          <w:left w:w="108" w:type="dxa"/>
          <w:bottom w:w="0" w:type="dxa"/>
          <w:right w:w="108" w:type="dxa"/>
        </w:tblCellMar>
      </w:tblPr>
      <w:tblGrid>
        <w:gridCol w:w="1101"/>
        <w:gridCol w:w="6419"/>
        <w:gridCol w:w="2420"/>
      </w:tblGrid>
      <w:tr>
        <w:tblPrEx>
          <w:tblCellMar>
            <w:top w:w="0" w:type="dxa"/>
            <w:left w:w="108" w:type="dxa"/>
            <w:bottom w:w="0" w:type="dxa"/>
            <w:right w:w="108" w:type="dxa"/>
          </w:tblCellMar>
        </w:tblPrEx>
        <w:trPr>
          <w:trHeight w:val="20" w:hRule="atLeast"/>
          <w:tblHeader/>
          <w:jc w:val="center"/>
        </w:trPr>
        <w:tc>
          <w:tcPr>
            <w:tcW w:w="752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center"/>
              <w:rPr>
                <w:rFonts w:ascii="Times New Roman" w:hAnsi="Times New Roman" w:eastAsia="宋体" w:cs="Times New Roman"/>
                <w:kern w:val="0"/>
                <w:sz w:val="24"/>
                <w:szCs w:val="24"/>
              </w:rPr>
            </w:pPr>
            <w:r>
              <w:rPr>
                <w:rFonts w:hint="eastAsia" w:ascii="Times New Roman" w:hAnsi="Times New Roman" w:eastAsia="方正黑体_GBK" w:cs="Times New Roman"/>
                <w:kern w:val="0"/>
                <w:sz w:val="24"/>
                <w:szCs w:val="24"/>
              </w:rPr>
              <w:t>支</w:t>
            </w:r>
            <w:r>
              <w:rPr>
                <w:rFonts w:ascii="Times New Roman" w:hAnsi="Times New Roman" w:eastAsia="宋体" w:cs="Times New Roman"/>
                <w:kern w:val="0"/>
                <w:sz w:val="24"/>
                <w:szCs w:val="24"/>
              </w:rPr>
              <w:t xml:space="preserve">        </w:t>
            </w:r>
            <w:r>
              <w:rPr>
                <w:rFonts w:hint="eastAsia" w:ascii="Times New Roman" w:hAnsi="Times New Roman" w:eastAsia="方正黑体_GBK" w:cs="Times New Roman"/>
                <w:kern w:val="0"/>
                <w:sz w:val="24"/>
                <w:szCs w:val="24"/>
              </w:rPr>
              <w:t>出</w:t>
            </w:r>
          </w:p>
        </w:tc>
        <w:tc>
          <w:tcPr>
            <w:tcW w:w="2420"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480" w:lineRule="exact"/>
              <w:jc w:val="center"/>
              <w:rPr>
                <w:rFonts w:ascii="Times New Roman" w:hAnsi="Times New Roman" w:eastAsia="宋体" w:cs="Times New Roman"/>
                <w:kern w:val="0"/>
                <w:sz w:val="24"/>
                <w:szCs w:val="24"/>
              </w:rPr>
            </w:pPr>
            <w:r>
              <w:rPr>
                <w:rFonts w:hint="eastAsia" w:ascii="Times New Roman" w:hAnsi="Times New Roman" w:eastAsia="方正黑体_GBK" w:cs="Times New Roman"/>
                <w:kern w:val="0"/>
                <w:sz w:val="24"/>
                <w:szCs w:val="24"/>
              </w:rPr>
              <w:t>执行数</w:t>
            </w:r>
          </w:p>
        </w:tc>
      </w:tr>
      <w:tr>
        <w:tblPrEx>
          <w:tblCellMar>
            <w:top w:w="0" w:type="dxa"/>
            <w:left w:w="108" w:type="dxa"/>
            <w:bottom w:w="0" w:type="dxa"/>
            <w:right w:w="108" w:type="dxa"/>
          </w:tblCellMar>
        </w:tblPrEx>
        <w:trPr>
          <w:trHeight w:val="20" w:hRule="atLeast"/>
          <w:jc w:val="center"/>
        </w:trPr>
        <w:tc>
          <w:tcPr>
            <w:tcW w:w="7520"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adjustRightInd w:val="0"/>
              <w:snapToGrid w:val="0"/>
              <w:spacing w:line="48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本级支出合计</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953159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w:t>
            </w:r>
          </w:p>
        </w:tc>
        <w:tc>
          <w:tcPr>
            <w:tcW w:w="6419"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一般公共服务支出</w:t>
            </w:r>
          </w:p>
        </w:tc>
        <w:tc>
          <w:tcPr>
            <w:tcW w:w="242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67226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20101</w:t>
            </w:r>
          </w:p>
        </w:tc>
        <w:tc>
          <w:tcPr>
            <w:tcW w:w="6419"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人大事务</w:t>
            </w:r>
          </w:p>
        </w:tc>
        <w:tc>
          <w:tcPr>
            <w:tcW w:w="242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1831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2010101</w:t>
            </w:r>
          </w:p>
        </w:tc>
        <w:tc>
          <w:tcPr>
            <w:tcW w:w="6419"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2010104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人大会议</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2010106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人大监督</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2010107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人大代表履职能力提升</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2010108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代表工作</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2010150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其他人大事务支出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政协事务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1342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2010201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2010202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2010204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政协会议</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2010205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委员视察</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2010206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参政议政</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2010250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2010299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其他政协事务支出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政府办公厅(室)及相关机构事务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31320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2010301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14711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2010302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5653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2010303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机关服务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2010305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专项业务及机关事务管理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2622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2010308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信访事务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2010350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4947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2010399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其他政府办公厅(室)及相关机构事务支出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2108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发展与改革事务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2010401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2010402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2010406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社会事业发展规划</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2010408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物价管理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2010450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2010499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其他发展与改革事务支出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统计信息事务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1428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2010501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2010505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专项统计业务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2010506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统计管理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2010507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专项普查活动</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2010508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统计抽样调查</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2010550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2010599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其他统计信息事务支出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财政事务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3748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2010601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1222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2010602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2010608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财政委托业务支出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1774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2010699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其他财政事务支出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税收事务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6110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2010799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其他税收事务支出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6110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审计事务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2010804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审计业务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2010899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其他审计事务支出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20111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纪检监察事务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3529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2011101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2880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2011102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2011150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2011199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其他纪检监察事务支出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20113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商贸事务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2545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2011301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2011302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2011308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招商引资</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2011350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490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2011399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其他商贸事务支出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民族事务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2012301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2012302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2012304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民族工作专项</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2012399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其他民族事务支出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档案事务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2012601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2012604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档案馆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民主党派及工商联事务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2012801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2012850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2012899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其他民主党派及工商联事务支出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群众团体事务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1444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2012901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2012902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2012906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工会事务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2012950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2012999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其他群众团体事务支出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党委办公厅(室)及相关机构事务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2192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1371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2013103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机关服务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2013105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专项业务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2013150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组织事务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1658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2013201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2013202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2013204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公务员事务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2013250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2013299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其他组织事务支出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970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宣传事务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1959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2013301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2013302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2013303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机关服务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2013304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宣传管理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2013350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2013399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其他宣传事务支出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899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统战事务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1215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2013401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2013402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2013404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宗教事务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2013405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华侨事务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2013450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2013499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其他统战事务支出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其他共产党事务支出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1585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2013601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801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2013602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2013650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2013699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其他共产党事务支出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668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网信事务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2013701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市场监督管理事务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724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2013804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市场主体管理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2013808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信息化建设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2013816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食品安全监管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2013899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其他市场监督管理事务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其他一般公共服务支出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其他一般公共服务支出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国防支出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1606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20306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国防动员</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1606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2030601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兵役征集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2030603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人民防空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2030607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民兵</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2030699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其他国防动员支出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706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公共安全支出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80460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公安</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69363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2040201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50184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2040202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2040219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信息化建设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1939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2040220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执法办案</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5218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2040299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其他公安支出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12006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法院</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4342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2040506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“两庭”建设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4227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2040599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其他法院支出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司法</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2040601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2040602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2040604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基层司法业务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2040605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普法宣传</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2040606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律师管理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2040607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公共法律服务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2040608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国家统一法律职业资格考试</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2040610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社区矫正</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2040612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法制建设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2040650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2040699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其他司法支出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其他公共安全支出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4770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2049999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其他公共安全支出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4770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教育支出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255429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教育管理事务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1188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其他教育管理事务支出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普通教育</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212063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2050201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学前教育</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18902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2050202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小学教育</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81643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2050203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初中教育</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51721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2050204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高中教育</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58231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2050299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其他普通教育支出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1566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职业教育</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12707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2050302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中等职业教育</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11947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2050303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技校教育</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2050399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其他职业教育支出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660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成人教育</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2050404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成人广播电视教育</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795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2050499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其他成人教育支出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特殊教育</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2050701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特殊学校教育</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2050799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其他特殊教育支出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进修及培训</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2551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2050801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教师进修</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2405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2050802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干部教育</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2050899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其他进修及培训</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教育费附加安排的支出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17415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2050901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农村中小学校舍建设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2050903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城市中小学校舍建设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11210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2050904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城市中小学教学设施</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1951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2050999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其他教育费附加安排的支出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3812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其他教育支出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7554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其他教育支出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7554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科学技术支出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33685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科学技术管理事务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其他科学技术管理事务支出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技术研究与开发</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4893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2060404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科技成果转化与扩散</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2060405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共性技术研究与开发</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2060499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其他技术研究与开发支出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4785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科技条件与服务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2060599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其他科技条件与服务支出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科学技术普及</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2060701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机构运行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2060702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科普活动</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2060799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其他科学技术普及支出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其他科学技术支出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27095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2069999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其他科学技术支出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27095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文化旅游体育与传媒支出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16634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文化和旅游</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6698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2070104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图书馆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2070108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文化活动</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2070109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群众文化</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2070111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文化创作与保护</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2070112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文化和旅游市场管理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2070113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旅游宣传</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638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2070114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文化和旅游管理事务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其他文化和旅游支出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3849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文物</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2070204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文物保护</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2070205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博物馆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2070299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其他文物支出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体育</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2070301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2070302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2070307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体育场馆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2070308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群众体育</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2070399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其他体育支出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新闻出版电影</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2070607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电影</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其他文化旅游体育与传媒支出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8623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2079902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宣传文化发展专项支出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2079999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其他文化旅游体育与传媒支出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8570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社会保障和就业支出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151442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人力资源和社会保障管理事务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7741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2849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2080105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劳动保障监察</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2080108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信息化建设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2080109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社会保险经办机构</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2080112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劳动人事争议调解仲裁</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2080116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引进人才费用</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634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2080150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其他人力资源和社会保障管理事务支出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3682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民政管理事务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19269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2080201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833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2080207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行政区划和地名管理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2080208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基层政权建设和社区治理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17147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2080299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其他民政管理事务支出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1267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行政事业单位养老支出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76338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2080501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行政单位离退休</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2080502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事业单位离退休</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2080505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机关事业单位基本养老保险缴费支出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20448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2080506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机关事业单位职业年金缴费支出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28738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2080599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其他行政事业单位养老支出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26723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企业改革补助</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2080699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其他企业改革发展补助</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就业补助</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6350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2080701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就业创业服务补贴</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4857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2080799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其他就业补助支出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1493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抚恤</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7535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2080801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死亡抚恤</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1874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2080802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伤残抚恤</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2080803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在乡复员、退伍军人生活补助</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2080805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义务兵优待</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1085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2080806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农村籍退役士兵老年生活补助</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2080899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其他优抚支出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3378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退役安置</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14061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2080901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退役士兵安置</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1752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2080902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军队移交政府的离退休人员安置</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10184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2080903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军队移交政府离退休干部管理机构</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2080904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退役士兵管理教育</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2080905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军队转业干部安置</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1083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2080999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其他退役安置支出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996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社会福利</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1507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2081001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儿童福利</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2081002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老年福利</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1106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2081004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殡葬</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2081006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养老服务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2081099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其他社会福利支出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残疾人事业</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1781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2081104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残疾人康复</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2081105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残疾人就业和扶贫</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2081107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残疾人生活和护理补贴</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618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其他残疾人事业支出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红十字事业</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2081601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2081699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其他红十字事业支出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最低生活保障</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6817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2081901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城市最低生活保障金支出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5944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2081902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农村最低生活保障金支出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临时救助</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2082001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临时救助支出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2082002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流浪乞讨人员救助支出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特困人员救助供养</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城市特困人员救助供养支出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农村特困人员救助供养支出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其他生活救助</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2082501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其他城市生活救助</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2082502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其他农村生活救助</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退役军人管理事务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2692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2082801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1015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2082802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2082804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拥军优属</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2082850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2082899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其他退役军人事务管理支出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其他社会保障和就业支出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5883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其他社会保障和就业支出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5883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卫生健康支出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117646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卫生健康管理事务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2169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1657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其他卫生健康管理事务支出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公立医院</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6237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2100201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综合医院</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5427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2100202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中医(民族)医院</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797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2100299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其他公立医院支出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基层医疗卫生机构</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8223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2100301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城市社区卫生机构</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4444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2100302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乡镇卫生院</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2178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2100399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其他基层医疗卫生机构支出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1601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公共卫生</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67310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2100401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疾病预防控制机构</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4322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2100402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卫生监督机构</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2100403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妇幼保健机构</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2100404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精神卫生机构</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938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2100408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基本公共卫生服务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10212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2100409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重大公共卫生服务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497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2100410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突发公共卫生事件应急处理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48911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2100499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其他公共卫生支出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1502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中医药</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2100601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中医(民族医)药专项</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计划生育事务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7221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2100716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计划生育机构</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2100717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计划生育服务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5538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2100799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其他计划生育事务支出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1626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行政事业单位医疗</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16511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行政单位医疗</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3817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事业单位医疗</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8454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2101103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公务员医疗补助</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984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其他行政事业单位医疗支出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3256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财政对基本医疗保险基金的补助</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4171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2101202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财政对城乡居民基本医疗保险基金的补助</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4171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医疗救助</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1345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2101301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城乡医疗救助</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1235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2101399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其他医疗救助支出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优抚对象医疗</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2101401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优抚对象医疗补助</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2101499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其他优抚对象医疗支出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医疗保障管理事务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2101501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2101502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2101506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医疗保障经办事务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其他卫生健康支出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3181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2109999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其他卫生健康支出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3181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节能环保支出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37334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环境保护管理事务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1632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1045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2110103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机关服务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2110104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生态环境保护宣传</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其他环境保护管理事务支出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污染防治</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24556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2110301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大气</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1025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2110302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水体</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6506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2110304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固体废弃物与化学品</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16242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2110307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土壤</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2110399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其他污染防治支出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自然生态保护</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2110402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农村环境保护</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21110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能源节约利用</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2111001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能源节约利用</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21111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污染减排</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2118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2111101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生态环境监测与信息</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1495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2111102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生态环境执法监察</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2111199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其他污染减排支出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其他节能环保支出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9007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2119999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其他节能环保支出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9007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城乡社区支出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79844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城乡社区管理事务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25532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7044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1110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2120104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城管执法</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其他城乡社区管理事务支出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17202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城乡社区公共设施</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11858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2120303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小城镇基础设施建设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2120399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其他城乡社区公共设施支出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11770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城乡社区环境卫生</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17142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2120501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城乡社区环境卫生</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17142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其他城乡社区支出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25312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其他城乡社区支出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25312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农林水支出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18954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农业农村</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11499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1636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749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科技转化与推广服务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病虫害控制</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2130109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农产品质量安全</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2130110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执法监管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2130112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行业业务管理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2130119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防灾救灾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2130122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农业生产发展</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2130124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农村合作经济</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2130125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农产品加工与促销</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2130126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农村社会事业</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2130135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农业资源保护修复与利用</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1021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2130142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农村道路建设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2130153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农田建设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其他农业农村支出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6651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林业和草原</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1316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2130205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森林资源培育</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2130207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森林资源管理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2130212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湿地保护</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2130234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林业草原防灾减灾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2130299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其他林业和草原支出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水利</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935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2130305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水利工程建设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2130306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水利工程运行与维护</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2130311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水资源节约管理与保护</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2130314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防汛</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2130399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其他水利支出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扶贫</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1107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2130505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生产发展</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2130599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其他扶贫支出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701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农村综合改革</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3410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2130701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对村级公益事业建设的补助</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3410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普惠金融发展支出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2130803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农业保险保费补贴</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2130804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创业担保贷款贴息</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其他农林水支出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其他农林水支出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交通运输支出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5962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公路水路运输</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4941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2140101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1156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2140102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2140106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公路养护</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1879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2140112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公路运输管理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2140136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水路运输管理支出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其他公路水路运输支出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邮政业支出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2140502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车辆购置税支出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2140601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车辆购置税用于公路等基础设施建设支出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其他交通运输支出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其他交通运输支出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资源勘探工业信息等支出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3613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工业和信息产业监管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2150501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2150517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产业发展</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2150599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其他工业和信息产业监管支出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国有资产监管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2150701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2150702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2150799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其他国有资产监管支出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支持中小企业发展和管理支出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1447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2150801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2150805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中小企业发展专项</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1065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2150899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其他支持中小企业发展和管理支出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其他资源勘探工业信息等支出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2159999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其他资源勘探工业信息等支出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商业服务业等支出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3119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21602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商业流通事务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1588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2160201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2160202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2160219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民贸民品贷款贴息</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2160299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其他商业流通事务支出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1133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21606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涉外发展服务支出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1229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2160699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其他涉外发展服务支出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1229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21699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其他商业服务业等支出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2169999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其他商业服务业等支出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金融支出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21701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金融部门行政支出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2170150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21799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其他金融支出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2179999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其他金融支出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自然资源海洋气象等支出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2447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22001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自然资源事务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1972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2200104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自然资源规划及管理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2200106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自然资源利用与保护</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2200199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其他自然资源事务支出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22099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其他自然资源海洋气象等支出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2209999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其他自然资源海洋气象等支出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住房保障支出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38660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保障性安居工程支出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10401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廉租住房</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2210103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棚户区改造</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1109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2210106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公共租赁住房</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2210107</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保障性住房租金补贴</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2210108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老旧小区改造</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2748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2210109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住房租赁市场发展</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2284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其他保障性安居工程支出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3700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住房改革支出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28139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2210201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住房公积金</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25448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2210203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购房补贴</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2691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城乡社区住宅</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2210301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公有住房建设和维修改造支出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2210399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其他城乡社区住宅支出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粮油物资储备支出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1665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22204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粮油储备</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1665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2220499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其他粮油储备支出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1665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灾害防治及应急管理支出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8793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应急管理事务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2764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2240101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920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2240102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一般行政管理事务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2240106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安全监管</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2240108</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应急救援</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2240109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应急管理</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2240150</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事业运行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2240199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其他应急管理支出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635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消防事务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5575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2240201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行政运行</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2240204</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消防应急救援</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5523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22405</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地震事务</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2240506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地震灾害预防</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22406</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自然灾害防治</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2240601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地质灾害防治</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163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2240602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森林草原防灾减灾</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69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2240699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其他自然灾害防治支出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其他灾害防治及应急管理支出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2249999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其他灾害防治及应急管理支出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108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2299999</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462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232</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债务付息支出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28036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23203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地方政府一般债务付息支出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28036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2320301</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地方政府一般债券付息支出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28036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债务发行费用支出</w:t>
            </w:r>
          </w:p>
        </w:tc>
        <w:tc>
          <w:tcPr>
            <w:tcW w:w="2420"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 </w:t>
            </w:r>
          </w:p>
        </w:tc>
      </w:tr>
      <w:tr>
        <w:tblPrEx>
          <w:tblCellMar>
            <w:top w:w="0" w:type="dxa"/>
            <w:left w:w="108" w:type="dxa"/>
            <w:bottom w:w="0" w:type="dxa"/>
            <w:right w:w="108" w:type="dxa"/>
          </w:tblCellMar>
        </w:tblPrEx>
        <w:trPr>
          <w:trHeight w:val="20" w:hRule="atLeast"/>
          <w:jc w:val="center"/>
        </w:trPr>
        <w:tc>
          <w:tcPr>
            <w:tcW w:w="1101" w:type="dxa"/>
            <w:tcBorders>
              <w:top w:val="nil"/>
              <w:left w:val="single" w:color="000000" w:sz="4" w:space="0"/>
              <w:bottom w:val="single" w:color="000000" w:sz="4" w:space="0"/>
              <w:right w:val="single" w:color="000000" w:sz="4" w:space="0"/>
            </w:tcBorders>
            <w:shd w:val="clear" w:color="auto" w:fill="auto"/>
            <w:noWrap/>
            <w:vAlign w:val="bottom"/>
          </w:tcPr>
          <w:p>
            <w:pPr>
              <w:widowControl/>
              <w:adjustRightInd w:val="0"/>
              <w:snapToGrid w:val="0"/>
              <w:spacing w:line="48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23303</w:t>
            </w:r>
          </w:p>
        </w:tc>
        <w:tc>
          <w:tcPr>
            <w:tcW w:w="6419" w:type="dxa"/>
            <w:tcBorders>
              <w:top w:val="nil"/>
              <w:left w:val="nil"/>
              <w:bottom w:val="single" w:color="000000" w:sz="4" w:space="0"/>
              <w:right w:val="nil"/>
            </w:tcBorders>
            <w:shd w:val="clear" w:color="auto" w:fill="auto"/>
            <w:noWrap/>
            <w:vAlign w:val="bottom"/>
          </w:tcPr>
          <w:p>
            <w:pPr>
              <w:widowControl/>
              <w:adjustRightInd w:val="0"/>
              <w:snapToGrid w:val="0"/>
              <w:spacing w:line="48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地方政府一般债务发行费用支出</w:t>
            </w:r>
          </w:p>
        </w:tc>
        <w:tc>
          <w:tcPr>
            <w:tcW w:w="2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8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 </w:t>
            </w:r>
          </w:p>
        </w:tc>
      </w:tr>
    </w:tbl>
    <w:p>
      <w:pPr>
        <w:widowControl/>
        <w:adjustRightInd w:val="0"/>
        <w:snapToGrid w:val="0"/>
        <w:spacing w:line="600" w:lineRule="atLeast"/>
        <w:jc w:val="left"/>
        <w:rPr>
          <w:rFonts w:ascii="Times New Roman" w:hAnsi="Times New Roman" w:eastAsia="方正黑体_GBK"/>
          <w:sz w:val="44"/>
          <w:szCs w:val="44"/>
        </w:rPr>
      </w:pPr>
    </w:p>
    <w:p>
      <w:pPr>
        <w:widowControl/>
        <w:adjustRightInd w:val="0"/>
        <w:snapToGrid w:val="0"/>
        <w:spacing w:line="600" w:lineRule="atLeast"/>
        <w:jc w:val="left"/>
        <w:rPr>
          <w:rFonts w:ascii="Times New Roman" w:hAnsi="Times New Roman" w:eastAsia="方正黑体_GBK"/>
          <w:sz w:val="44"/>
          <w:szCs w:val="44"/>
        </w:rPr>
      </w:pPr>
    </w:p>
    <w:p>
      <w:pPr>
        <w:widowControl/>
        <w:adjustRightInd w:val="0"/>
        <w:snapToGrid w:val="0"/>
        <w:spacing w:line="600" w:lineRule="atLeast"/>
        <w:jc w:val="left"/>
        <w:rPr>
          <w:rFonts w:ascii="Times New Roman" w:hAnsi="Times New Roman" w:eastAsia="方正黑体_GBK"/>
          <w:sz w:val="44"/>
          <w:szCs w:val="44"/>
        </w:rPr>
      </w:pPr>
    </w:p>
    <w:p>
      <w:pPr>
        <w:widowControl/>
        <w:adjustRightInd w:val="0"/>
        <w:snapToGrid w:val="0"/>
        <w:spacing w:line="600" w:lineRule="atLeast"/>
        <w:jc w:val="left"/>
        <w:rPr>
          <w:rFonts w:ascii="Times New Roman" w:hAnsi="Times New Roman" w:eastAsia="方正黑体_GBK"/>
          <w:sz w:val="44"/>
          <w:szCs w:val="44"/>
        </w:rPr>
      </w:pPr>
    </w:p>
    <w:p>
      <w:pPr>
        <w:widowControl/>
        <w:jc w:val="left"/>
        <w:rPr>
          <w:rFonts w:ascii="Times New Roman" w:hAnsi="Times New Roman" w:eastAsia="方正黑体_GBK"/>
          <w:sz w:val="44"/>
          <w:szCs w:val="44"/>
        </w:rPr>
      </w:pPr>
    </w:p>
    <w:p>
      <w:pPr>
        <w:widowControl/>
        <w:jc w:val="left"/>
        <w:rPr>
          <w:rFonts w:ascii="Times New Roman" w:hAnsi="Times New Roman" w:eastAsia="方正黑体_GBK"/>
          <w:sz w:val="44"/>
          <w:szCs w:val="44"/>
        </w:rPr>
      </w:pPr>
    </w:p>
    <w:p>
      <w:pPr>
        <w:widowControl/>
        <w:jc w:val="left"/>
        <w:rPr>
          <w:rFonts w:ascii="Times New Roman" w:hAnsi="Times New Roman" w:eastAsia="方正黑体_GBK"/>
          <w:sz w:val="44"/>
          <w:szCs w:val="44"/>
        </w:rPr>
      </w:pPr>
    </w:p>
    <w:p>
      <w:pPr>
        <w:widowControl/>
        <w:jc w:val="left"/>
        <w:rPr>
          <w:rFonts w:ascii="Times New Roman" w:hAnsi="Times New Roman" w:eastAsia="方正黑体_GBK"/>
          <w:sz w:val="44"/>
          <w:szCs w:val="44"/>
        </w:rPr>
      </w:pPr>
    </w:p>
    <w:p>
      <w:pPr>
        <w:widowControl/>
        <w:jc w:val="left"/>
        <w:rPr>
          <w:rFonts w:ascii="Times New Roman" w:hAnsi="Times New Roman" w:eastAsia="方正黑体_GBK"/>
          <w:sz w:val="44"/>
          <w:szCs w:val="44"/>
        </w:rPr>
      </w:pPr>
    </w:p>
    <w:p>
      <w:pPr>
        <w:widowControl/>
        <w:jc w:val="left"/>
        <w:rPr>
          <w:rFonts w:ascii="Times New Roman" w:hAnsi="Times New Roman" w:eastAsia="方正黑体_GBK"/>
          <w:sz w:val="44"/>
          <w:szCs w:val="44"/>
        </w:rPr>
      </w:pPr>
    </w:p>
    <w:p>
      <w:pPr>
        <w:widowControl/>
        <w:jc w:val="left"/>
        <w:rPr>
          <w:rFonts w:ascii="Times New Roman" w:hAnsi="Times New Roman" w:eastAsia="方正黑体_GBK"/>
          <w:sz w:val="44"/>
          <w:szCs w:val="44"/>
        </w:rPr>
      </w:pPr>
    </w:p>
    <w:p>
      <w:pPr>
        <w:widowControl/>
        <w:jc w:val="left"/>
        <w:rPr>
          <w:rFonts w:ascii="Times New Roman" w:hAnsi="Times New Roman" w:eastAsia="方正黑体_GBK"/>
          <w:sz w:val="44"/>
          <w:szCs w:val="44"/>
        </w:rPr>
      </w:pPr>
    </w:p>
    <w:p>
      <w:pPr>
        <w:widowControl/>
        <w:jc w:val="left"/>
        <w:rPr>
          <w:rFonts w:ascii="Times New Roman" w:hAnsi="Times New Roman" w:eastAsia="方正黑体_GBK"/>
          <w:sz w:val="44"/>
          <w:szCs w:val="44"/>
        </w:rPr>
      </w:pPr>
    </w:p>
    <w:p>
      <w:pPr>
        <w:widowControl/>
        <w:spacing w:line="500" w:lineRule="exact"/>
        <w:jc w:val="left"/>
        <w:rPr>
          <w:rFonts w:ascii="Times New Roman" w:hAnsi="Times New Roman" w:eastAsia="方正黑体_GBK" w:cs="Times New Roman"/>
          <w:kern w:val="0"/>
          <w:sz w:val="32"/>
          <w:szCs w:val="32"/>
        </w:rPr>
        <w:sectPr>
          <w:pgSz w:w="11906" w:h="16838"/>
          <w:pgMar w:top="1985" w:right="1446" w:bottom="1644" w:left="1446" w:header="851" w:footer="1474" w:gutter="0"/>
          <w:cols w:space="425" w:num="1"/>
          <w:docGrid w:type="lines" w:linePitch="312" w:charSpace="0"/>
        </w:sectPr>
      </w:pPr>
    </w:p>
    <w:p>
      <w:pPr>
        <w:widowControl/>
        <w:spacing w:line="500" w:lineRule="exact"/>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表5</w:t>
      </w:r>
    </w:p>
    <w:p>
      <w:pPr>
        <w:widowControl/>
        <w:adjustRightInd w:val="0"/>
        <w:snapToGrid w:val="0"/>
        <w:spacing w:line="60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九龙坡区2022年区级一般公共预算转移支付收支执行表</w:t>
      </w:r>
    </w:p>
    <w:p>
      <w:pPr>
        <w:adjustRightInd w:val="0"/>
        <w:snapToGrid w:val="0"/>
        <w:spacing w:line="50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15915" w:type="dxa"/>
        <w:jc w:val="center"/>
        <w:tblLayout w:type="autofit"/>
        <w:tblCellMar>
          <w:top w:w="0" w:type="dxa"/>
          <w:left w:w="108" w:type="dxa"/>
          <w:bottom w:w="0" w:type="dxa"/>
          <w:right w:w="108" w:type="dxa"/>
        </w:tblCellMar>
      </w:tblPr>
      <w:tblGrid>
        <w:gridCol w:w="4550"/>
        <w:gridCol w:w="1140"/>
        <w:gridCol w:w="1134"/>
        <w:gridCol w:w="1843"/>
        <w:gridCol w:w="3267"/>
        <w:gridCol w:w="1081"/>
        <w:gridCol w:w="1081"/>
        <w:gridCol w:w="1819"/>
      </w:tblGrid>
      <w:tr>
        <w:tblPrEx>
          <w:tblCellMar>
            <w:top w:w="0" w:type="dxa"/>
            <w:left w:w="108" w:type="dxa"/>
            <w:bottom w:w="0" w:type="dxa"/>
            <w:right w:w="108" w:type="dxa"/>
          </w:tblCellMar>
        </w:tblPrEx>
        <w:trPr>
          <w:trHeight w:val="1185" w:hRule="atLeast"/>
          <w:tblHeader/>
          <w:jc w:val="center"/>
        </w:trPr>
        <w:tc>
          <w:tcPr>
            <w:tcW w:w="45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收        入</w:t>
            </w:r>
          </w:p>
        </w:tc>
        <w:tc>
          <w:tcPr>
            <w:tcW w:w="114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上年决算数</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本年执行数</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执行数为上年</w:t>
            </w:r>
            <w:r>
              <w:rPr>
                <w:rFonts w:hint="eastAsia" w:ascii="Times New Roman" w:hAnsi="Times New Roman" w:eastAsia="方正黑体_GBK" w:cs="宋体"/>
                <w:color w:val="000000"/>
                <w:kern w:val="0"/>
                <w:sz w:val="24"/>
                <w:szCs w:val="24"/>
              </w:rPr>
              <w:br w:type="textWrapping"/>
            </w:r>
            <w:r>
              <w:rPr>
                <w:rFonts w:hint="eastAsia" w:ascii="Times New Roman" w:hAnsi="Times New Roman" w:eastAsia="方正黑体_GBK" w:cs="宋体"/>
                <w:color w:val="000000"/>
                <w:kern w:val="0"/>
                <w:sz w:val="24"/>
                <w:szCs w:val="24"/>
              </w:rPr>
              <w:t>决算数的%</w:t>
            </w:r>
          </w:p>
        </w:tc>
        <w:tc>
          <w:tcPr>
            <w:tcW w:w="326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支        出</w:t>
            </w: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上年决算数</w:t>
            </w: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执行数</w:t>
            </w:r>
          </w:p>
        </w:tc>
        <w:tc>
          <w:tcPr>
            <w:tcW w:w="1819"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执行数为上年</w:t>
            </w:r>
            <w:r>
              <w:rPr>
                <w:rFonts w:hint="eastAsia" w:ascii="Times New Roman" w:hAnsi="Times New Roman" w:eastAsia="方正黑体_GBK" w:cs="宋体"/>
                <w:color w:val="000000"/>
                <w:kern w:val="0"/>
                <w:sz w:val="24"/>
                <w:szCs w:val="24"/>
              </w:rPr>
              <w:br w:type="textWrapping"/>
            </w:r>
            <w:r>
              <w:rPr>
                <w:rFonts w:hint="eastAsia" w:ascii="Times New Roman" w:hAnsi="Times New Roman" w:eastAsia="方正黑体_GBK" w:cs="宋体"/>
                <w:color w:val="000000"/>
                <w:kern w:val="0"/>
                <w:sz w:val="24"/>
                <w:szCs w:val="24"/>
              </w:rPr>
              <w:t>决算数的%</w:t>
            </w: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上级补助收入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260069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329294 </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126.62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补助镇支出</w:t>
            </w: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14697 </w:t>
            </w: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15733 </w:t>
            </w: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107.05 </w:t>
            </w:r>
          </w:p>
        </w:tc>
      </w:tr>
      <w:tr>
        <w:tblPrEx>
          <w:tblCellMar>
            <w:top w:w="0" w:type="dxa"/>
            <w:left w:w="108" w:type="dxa"/>
            <w:bottom w:w="0" w:type="dxa"/>
            <w:right w:w="108" w:type="dxa"/>
          </w:tblCellMar>
        </w:tblPrEx>
        <w:trPr>
          <w:trHeight w:val="67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黑体_GBK" w:cs="Times New Roman"/>
                <w:color w:val="000000"/>
                <w:kern w:val="0"/>
                <w:sz w:val="24"/>
                <w:szCs w:val="24"/>
              </w:rPr>
              <w:t>一、返还性收入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67114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67114 </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100.00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黑体_GBK" w:cs="Times New Roman"/>
                <w:color w:val="000000"/>
                <w:kern w:val="0"/>
                <w:sz w:val="24"/>
                <w:szCs w:val="24"/>
              </w:rPr>
              <w:t>一、一般性转移支付支出</w:t>
            </w: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8435</w:t>
            </w: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9149</w:t>
            </w: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108.46</w:t>
            </w: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增值税税收返还收入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16113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16113</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100.00 </w:t>
            </w:r>
          </w:p>
        </w:tc>
        <w:tc>
          <w:tcPr>
            <w:tcW w:w="3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一般公共服务支出</w:t>
            </w:r>
          </w:p>
        </w:tc>
        <w:tc>
          <w:tcPr>
            <w:tcW w:w="1081" w:type="dxa"/>
            <w:tcBorders>
              <w:top w:val="single" w:color="auto" w:sz="4" w:space="0"/>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5458</w:t>
            </w:r>
          </w:p>
        </w:tc>
        <w:tc>
          <w:tcPr>
            <w:tcW w:w="1081" w:type="dxa"/>
            <w:tcBorders>
              <w:top w:val="single" w:color="auto" w:sz="4" w:space="0"/>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5643</w:t>
            </w:r>
          </w:p>
        </w:tc>
        <w:tc>
          <w:tcPr>
            <w:tcW w:w="1819"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103.39</w:t>
            </w: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所得税基数返还收入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11101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11101</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100.00 </w:t>
            </w:r>
          </w:p>
        </w:tc>
        <w:tc>
          <w:tcPr>
            <w:tcW w:w="326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社会保障和就业支出</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410</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775</w:t>
            </w:r>
          </w:p>
        </w:tc>
        <w:tc>
          <w:tcPr>
            <w:tcW w:w="1819"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189.02</w:t>
            </w: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消费税税收返还收入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778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778</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100.00 </w:t>
            </w:r>
          </w:p>
        </w:tc>
        <w:tc>
          <w:tcPr>
            <w:tcW w:w="326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城乡社区支出</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2567</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2731</w:t>
            </w:r>
          </w:p>
        </w:tc>
        <w:tc>
          <w:tcPr>
            <w:tcW w:w="1819"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106.39</w:t>
            </w: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增值税“五五分享”税收返还收入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39122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39122</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100.00 </w:t>
            </w:r>
          </w:p>
        </w:tc>
        <w:tc>
          <w:tcPr>
            <w:tcW w:w="326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黑体_GBK" w:cs="Times New Roman"/>
                <w:color w:val="000000"/>
                <w:kern w:val="0"/>
                <w:sz w:val="24"/>
                <w:szCs w:val="24"/>
              </w:rPr>
              <w:t>二、一般性转移支付收入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125654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179767 </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143.07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体制补助</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1467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1420</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96.80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均衡性转移支付</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10152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15448</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152.17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县级基本财力保障机制奖补资金</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3114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7513</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241.27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结算补助</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31207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22264</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71.34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固定数额补助</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8719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8352</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95.79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其他一般性转移支付</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374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2356</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629.95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50"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bCs/>
                <w:color w:val="000000"/>
                <w:kern w:val="0"/>
                <w:sz w:val="24"/>
                <w:szCs w:val="24"/>
              </w:rPr>
            </w:pPr>
            <w:r>
              <w:rPr>
                <w:rFonts w:hint="eastAsia" w:ascii="Times New Roman" w:hAnsi="Times New Roman" w:eastAsia="方正仿宋_GBK" w:cs="Times New Roman"/>
                <w:bCs/>
                <w:color w:val="000000"/>
                <w:kern w:val="0"/>
                <w:sz w:val="24"/>
                <w:szCs w:val="24"/>
              </w:rPr>
              <w:t>共同财政事权转移支付</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70621</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95281</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134.92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50"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一般公共服务共同财政事权转移支付收入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18</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37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公共安全共同财政事权转移支付收入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4135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4528</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109.50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37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教育共同财政事权转移支付收入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22914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30875</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134.74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3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科学技术共同财政事权转移支付收入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420</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3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文化旅游体育与传媒共同财政事权转移支付收入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323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832</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257.59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3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社会保障和就业共同财政事权转移支付收入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27240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28261</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103.75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37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医疗卫生共同财政事权转移支付收入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13856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15978</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115.31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37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节能环保共同财政事权转移支付收入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29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23</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79.31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37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农林水共同财政事权转移支付收入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915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2748</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300.33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住房保障共同财政事权转移支付收入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1209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11598</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959.31 </w:t>
            </w:r>
          </w:p>
        </w:tc>
        <w:tc>
          <w:tcPr>
            <w:tcW w:w="3267"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增值税留抵退税转移支付收入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9833</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3267"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其他退税减税降费转移支付收入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17300</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3267"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黑体_GBK" w:cs="Times New Roman"/>
                <w:color w:val="000000"/>
                <w:kern w:val="0"/>
                <w:sz w:val="24"/>
                <w:szCs w:val="24"/>
              </w:rPr>
              <w:t>三、专项转移支付收入</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67301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82413 </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122.45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黑体_GBK" w:cs="Times New Roman"/>
                <w:color w:val="000000"/>
                <w:kern w:val="0"/>
                <w:sz w:val="24"/>
                <w:szCs w:val="24"/>
              </w:rPr>
              <w:t>二、专项转移支付支出</w:t>
            </w: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6262</w:t>
            </w: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6584</w:t>
            </w: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105.14</w:t>
            </w: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一般公共服务</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20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111</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555.00 </w:t>
            </w:r>
          </w:p>
        </w:tc>
        <w:tc>
          <w:tcPr>
            <w:tcW w:w="3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一般公共服务</w:t>
            </w:r>
          </w:p>
        </w:tc>
        <w:tc>
          <w:tcPr>
            <w:tcW w:w="1081" w:type="dxa"/>
            <w:tcBorders>
              <w:top w:val="single" w:color="auto" w:sz="4" w:space="0"/>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715</w:t>
            </w:r>
          </w:p>
        </w:tc>
        <w:tc>
          <w:tcPr>
            <w:tcW w:w="1081" w:type="dxa"/>
            <w:tcBorders>
              <w:top w:val="single" w:color="auto" w:sz="4" w:space="0"/>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650</w:t>
            </w:r>
          </w:p>
        </w:tc>
        <w:tc>
          <w:tcPr>
            <w:tcW w:w="1819"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90.91</w:t>
            </w: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国防</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1093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1102</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100.82 </w:t>
            </w:r>
          </w:p>
        </w:tc>
        <w:tc>
          <w:tcPr>
            <w:tcW w:w="326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公共安全</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310</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200</w:t>
            </w:r>
          </w:p>
        </w:tc>
        <w:tc>
          <w:tcPr>
            <w:tcW w:w="1819"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64.52</w:t>
            </w: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教育</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1097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816</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74.38 </w:t>
            </w:r>
          </w:p>
        </w:tc>
        <w:tc>
          <w:tcPr>
            <w:tcW w:w="326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文化体育与传媒</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w:t>
            </w:r>
          </w:p>
        </w:tc>
        <w:tc>
          <w:tcPr>
            <w:tcW w:w="1819"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100.00</w:t>
            </w: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科学技术</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3528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4944</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140.14 </w:t>
            </w:r>
          </w:p>
        </w:tc>
        <w:tc>
          <w:tcPr>
            <w:tcW w:w="326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社会保障和就业</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3157</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3983</w:t>
            </w:r>
          </w:p>
        </w:tc>
        <w:tc>
          <w:tcPr>
            <w:tcW w:w="1819"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126.16</w:t>
            </w: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文化体育与传媒</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350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104</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29.71 </w:t>
            </w:r>
          </w:p>
        </w:tc>
        <w:tc>
          <w:tcPr>
            <w:tcW w:w="326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医疗卫生与计划生育</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w:t>
            </w:r>
          </w:p>
        </w:tc>
        <w:tc>
          <w:tcPr>
            <w:tcW w:w="1819"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100.00</w:t>
            </w: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社会保障和就业</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1111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631</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56.80 </w:t>
            </w:r>
          </w:p>
        </w:tc>
        <w:tc>
          <w:tcPr>
            <w:tcW w:w="326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城乡社区</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1691</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1650</w:t>
            </w:r>
          </w:p>
        </w:tc>
        <w:tc>
          <w:tcPr>
            <w:tcW w:w="1819"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97.58</w:t>
            </w: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卫生健康</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6457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1365</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21.14 </w:t>
            </w:r>
          </w:p>
        </w:tc>
        <w:tc>
          <w:tcPr>
            <w:tcW w:w="326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农林水</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354</w:t>
            </w: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66</w:t>
            </w:r>
          </w:p>
        </w:tc>
        <w:tc>
          <w:tcPr>
            <w:tcW w:w="1819"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18.64</w:t>
            </w: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节能环保</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6717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16608</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247.25 </w:t>
            </w:r>
          </w:p>
        </w:tc>
        <w:tc>
          <w:tcPr>
            <w:tcW w:w="326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bCs/>
                <w:color w:val="000000"/>
                <w:kern w:val="0"/>
                <w:sz w:val="24"/>
                <w:szCs w:val="24"/>
              </w:rPr>
            </w:pP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bCs/>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bCs/>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城乡社区</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8854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33665</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380.22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农林水</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6566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3850</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58.64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交通运输</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2597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6375</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245.48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资源勘探信息等</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5629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2470</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43.88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商业服务业等</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1937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2510</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129.58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金融支出</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自然资源海洋气象等</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4167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574</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13.77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住房保障</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16866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6978</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41.37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灾害防治及应急管理</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242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225</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92.98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455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其他</w:t>
            </w:r>
          </w:p>
        </w:tc>
        <w:tc>
          <w:tcPr>
            <w:tcW w:w="114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70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85</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121.43 </w:t>
            </w:r>
          </w:p>
        </w:tc>
        <w:tc>
          <w:tcPr>
            <w:tcW w:w="32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081"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single" w:color="auto" w:sz="4" w:space="0"/>
              <w:right w:val="single" w:color="auto" w:sz="4" w:space="0"/>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r>
        <w:tblPrEx>
          <w:tblCellMar>
            <w:top w:w="0" w:type="dxa"/>
            <w:left w:w="108" w:type="dxa"/>
            <w:bottom w:w="0" w:type="dxa"/>
            <w:right w:w="108" w:type="dxa"/>
          </w:tblCellMar>
        </w:tblPrEx>
        <w:trPr>
          <w:trHeight w:val="465" w:hRule="atLeast"/>
          <w:jc w:val="center"/>
        </w:trPr>
        <w:tc>
          <w:tcPr>
            <w:tcW w:w="13015" w:type="dxa"/>
            <w:gridSpan w:val="6"/>
            <w:tcBorders>
              <w:top w:val="single" w:color="auto" w:sz="4" w:space="0"/>
              <w:left w:val="nil"/>
              <w:bottom w:val="nil"/>
              <w:right w:val="nil"/>
            </w:tcBorders>
            <w:shd w:val="clear" w:color="000000" w:fill="FFFFFF"/>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注：本表详细反映</w:t>
            </w:r>
            <w:r>
              <w:rPr>
                <w:rFonts w:ascii="Times New Roman" w:hAnsi="Times New Roman" w:eastAsia="宋体" w:cs="Times New Roman"/>
                <w:color w:val="000000"/>
                <w:kern w:val="0"/>
                <w:sz w:val="24"/>
                <w:szCs w:val="24"/>
              </w:rPr>
              <w:t>2022</w:t>
            </w:r>
            <w:r>
              <w:rPr>
                <w:rFonts w:hint="eastAsia" w:ascii="Times New Roman" w:hAnsi="Times New Roman" w:eastAsia="方正仿宋_GBK" w:cs="Times New Roman"/>
                <w:color w:val="000000"/>
                <w:kern w:val="0"/>
                <w:sz w:val="24"/>
                <w:szCs w:val="24"/>
              </w:rPr>
              <w:t>年一般公共预算转移支付收入和转移支付支出情况。</w:t>
            </w:r>
          </w:p>
        </w:tc>
        <w:tc>
          <w:tcPr>
            <w:tcW w:w="1081" w:type="dxa"/>
            <w:tcBorders>
              <w:top w:val="nil"/>
              <w:left w:val="nil"/>
              <w:bottom w:val="nil"/>
              <w:right w:val="nil"/>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c>
          <w:tcPr>
            <w:tcW w:w="1819" w:type="dxa"/>
            <w:tcBorders>
              <w:top w:val="nil"/>
              <w:left w:val="nil"/>
              <w:bottom w:val="nil"/>
              <w:right w:val="nil"/>
            </w:tcBorders>
            <w:shd w:val="clear" w:color="auto" w:fill="auto"/>
            <w:vAlign w:val="bottom"/>
          </w:tcPr>
          <w:p>
            <w:pPr>
              <w:widowControl/>
              <w:adjustRightInd w:val="0"/>
              <w:snapToGrid w:val="0"/>
              <w:spacing w:line="400" w:lineRule="exact"/>
              <w:jc w:val="left"/>
              <w:rPr>
                <w:rFonts w:ascii="Times New Roman" w:hAnsi="Times New Roman" w:eastAsia="宋体" w:cs="Times New Roman"/>
                <w:color w:val="000000"/>
                <w:kern w:val="0"/>
                <w:sz w:val="24"/>
                <w:szCs w:val="24"/>
              </w:rPr>
            </w:pPr>
          </w:p>
        </w:tc>
      </w:tr>
    </w:tbl>
    <w:p>
      <w:pPr>
        <w:widowControl/>
        <w:adjustRightInd w:val="0"/>
        <w:snapToGrid w:val="0"/>
        <w:spacing w:line="600" w:lineRule="exact"/>
        <w:jc w:val="center"/>
        <w:rPr>
          <w:rFonts w:ascii="Times New Roman" w:hAnsi="Times New Roman" w:eastAsia="方正小标宋_GBK"/>
          <w:sz w:val="44"/>
          <w:szCs w:val="44"/>
        </w:rPr>
      </w:pPr>
    </w:p>
    <w:p>
      <w:pPr>
        <w:widowControl/>
        <w:adjustRightInd w:val="0"/>
        <w:snapToGrid w:val="0"/>
        <w:spacing w:line="600" w:lineRule="exact"/>
        <w:jc w:val="center"/>
        <w:rPr>
          <w:rFonts w:ascii="Times New Roman" w:hAnsi="Times New Roman" w:eastAsia="方正小标宋_GBK"/>
          <w:sz w:val="44"/>
          <w:szCs w:val="44"/>
        </w:rPr>
      </w:pPr>
    </w:p>
    <w:p>
      <w:pPr>
        <w:widowControl/>
        <w:adjustRightInd w:val="0"/>
        <w:snapToGrid w:val="0"/>
        <w:spacing w:line="600" w:lineRule="exact"/>
        <w:jc w:val="center"/>
        <w:rPr>
          <w:rFonts w:ascii="Times New Roman" w:hAnsi="Times New Roman" w:eastAsia="方正小标宋_GBK"/>
          <w:sz w:val="44"/>
          <w:szCs w:val="44"/>
        </w:rPr>
      </w:pPr>
    </w:p>
    <w:p>
      <w:pPr>
        <w:widowControl/>
        <w:adjustRightInd w:val="0"/>
        <w:snapToGrid w:val="0"/>
        <w:spacing w:line="600" w:lineRule="exact"/>
        <w:jc w:val="center"/>
        <w:rPr>
          <w:rFonts w:ascii="Times New Roman" w:hAnsi="Times New Roman" w:eastAsia="方正小标宋_GBK"/>
          <w:sz w:val="44"/>
          <w:szCs w:val="44"/>
        </w:rPr>
      </w:pPr>
    </w:p>
    <w:p>
      <w:pPr>
        <w:widowControl/>
        <w:adjustRightInd w:val="0"/>
        <w:snapToGrid w:val="0"/>
        <w:spacing w:line="600" w:lineRule="exact"/>
        <w:jc w:val="center"/>
        <w:rPr>
          <w:rFonts w:ascii="Times New Roman" w:hAnsi="Times New Roman" w:eastAsia="方正小标宋_GBK"/>
          <w:sz w:val="44"/>
          <w:szCs w:val="44"/>
        </w:rPr>
      </w:pPr>
    </w:p>
    <w:p>
      <w:pPr>
        <w:widowControl/>
        <w:adjustRightInd w:val="0"/>
        <w:snapToGrid w:val="0"/>
        <w:spacing w:line="600" w:lineRule="exact"/>
        <w:jc w:val="center"/>
        <w:rPr>
          <w:rFonts w:ascii="Times New Roman" w:hAnsi="Times New Roman" w:eastAsia="方正小标宋_GBK"/>
          <w:sz w:val="44"/>
          <w:szCs w:val="44"/>
        </w:rPr>
      </w:pPr>
    </w:p>
    <w:p>
      <w:pPr>
        <w:widowControl/>
        <w:adjustRightInd w:val="0"/>
        <w:snapToGrid w:val="0"/>
        <w:spacing w:line="600" w:lineRule="exact"/>
        <w:jc w:val="center"/>
        <w:rPr>
          <w:rFonts w:ascii="Times New Roman" w:hAnsi="Times New Roman" w:eastAsia="方正小标宋_GBK"/>
          <w:sz w:val="44"/>
          <w:szCs w:val="44"/>
        </w:rPr>
      </w:pPr>
    </w:p>
    <w:p>
      <w:pPr>
        <w:widowControl/>
        <w:adjustRightInd w:val="0"/>
        <w:snapToGrid w:val="0"/>
        <w:spacing w:line="600" w:lineRule="exact"/>
        <w:jc w:val="center"/>
        <w:rPr>
          <w:rFonts w:ascii="Times New Roman" w:hAnsi="Times New Roman" w:eastAsia="方正小标宋_GBK"/>
          <w:sz w:val="44"/>
          <w:szCs w:val="44"/>
        </w:rPr>
      </w:pPr>
    </w:p>
    <w:p>
      <w:pPr>
        <w:widowControl/>
        <w:adjustRightInd w:val="0"/>
        <w:snapToGrid w:val="0"/>
        <w:spacing w:line="600" w:lineRule="exact"/>
        <w:jc w:val="left"/>
        <w:rPr>
          <w:rFonts w:ascii="Times New Roman" w:hAnsi="Times New Roman" w:eastAsia="方正黑体_GBK"/>
          <w:sz w:val="32"/>
          <w:szCs w:val="32"/>
        </w:rPr>
      </w:pPr>
      <w:r>
        <w:rPr>
          <w:rFonts w:hint="eastAsia" w:ascii="Times New Roman" w:hAnsi="Times New Roman" w:eastAsia="方正黑体_GBK"/>
          <w:sz w:val="32"/>
          <w:szCs w:val="32"/>
        </w:rPr>
        <w:t>表6</w:t>
      </w:r>
    </w:p>
    <w:p>
      <w:pPr>
        <w:widowControl/>
        <w:adjustRightInd w:val="0"/>
        <w:snapToGrid w:val="0"/>
        <w:spacing w:line="600" w:lineRule="exact"/>
        <w:jc w:val="left"/>
        <w:rPr>
          <w:rFonts w:ascii="Times New Roman" w:hAnsi="Times New Roman" w:eastAsia="方正黑体_GBK"/>
          <w:sz w:val="32"/>
          <w:szCs w:val="32"/>
        </w:rPr>
      </w:pPr>
    </w:p>
    <w:p>
      <w:pPr>
        <w:widowControl/>
        <w:adjustRightInd w:val="0"/>
        <w:snapToGrid w:val="0"/>
        <w:spacing w:line="60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九龙坡区2022年区级一般公共预算转移支付支出执行表</w:t>
      </w:r>
    </w:p>
    <w:p>
      <w:pPr>
        <w:adjustRightInd w:val="0"/>
        <w:snapToGrid w:val="0"/>
        <w:spacing w:line="480" w:lineRule="exact"/>
        <w:jc w:val="center"/>
        <w:rPr>
          <w:rFonts w:ascii="Times New Roman" w:hAnsi="Times New Roman" w:eastAsia="方正楷体_GBK" w:cs="Times New Roman"/>
          <w:kern w:val="0"/>
          <w:sz w:val="28"/>
          <w:szCs w:val="28"/>
        </w:rPr>
      </w:pPr>
      <w:r>
        <w:rPr>
          <w:rFonts w:ascii="Times New Roman" w:hAnsi="Times New Roman" w:eastAsia="方正楷体_GBK" w:cs="Times New Roman"/>
          <w:kern w:val="0"/>
          <w:sz w:val="28"/>
          <w:szCs w:val="28"/>
        </w:rPr>
        <w:t>（分地区）</w:t>
      </w:r>
    </w:p>
    <w:p>
      <w:pPr>
        <w:adjustRightInd w:val="0"/>
        <w:snapToGrid w:val="0"/>
        <w:spacing w:line="480" w:lineRule="exact"/>
        <w:ind w:right="560"/>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12100" w:type="dxa"/>
        <w:jc w:val="center"/>
        <w:tblLayout w:type="autofit"/>
        <w:tblCellMar>
          <w:top w:w="0" w:type="dxa"/>
          <w:left w:w="108" w:type="dxa"/>
          <w:bottom w:w="0" w:type="dxa"/>
          <w:right w:w="108" w:type="dxa"/>
        </w:tblCellMar>
      </w:tblPr>
      <w:tblGrid>
        <w:gridCol w:w="2520"/>
        <w:gridCol w:w="4180"/>
        <w:gridCol w:w="5400"/>
      </w:tblGrid>
      <w:tr>
        <w:tblPrEx>
          <w:tblCellMar>
            <w:top w:w="0" w:type="dxa"/>
            <w:left w:w="108" w:type="dxa"/>
            <w:bottom w:w="0" w:type="dxa"/>
            <w:right w:w="108" w:type="dxa"/>
          </w:tblCellMar>
        </w:tblPrEx>
        <w:trPr>
          <w:trHeight w:val="540" w:hRule="atLeast"/>
          <w:jc w:val="center"/>
        </w:trPr>
        <w:tc>
          <w:tcPr>
            <w:tcW w:w="25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单位名称</w:t>
            </w:r>
          </w:p>
        </w:tc>
        <w:tc>
          <w:tcPr>
            <w:tcW w:w="41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预算数</w:t>
            </w:r>
          </w:p>
        </w:tc>
        <w:tc>
          <w:tcPr>
            <w:tcW w:w="54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color w:val="000000"/>
                <w:kern w:val="0"/>
                <w:sz w:val="28"/>
                <w:szCs w:val="28"/>
              </w:rPr>
            </w:pPr>
            <w:r>
              <w:rPr>
                <w:rFonts w:hint="eastAsia" w:ascii="Times New Roman" w:hAnsi="Times New Roman" w:eastAsia="方正黑体_GBK" w:cs="宋体"/>
                <w:color w:val="000000"/>
                <w:kern w:val="0"/>
                <w:sz w:val="28"/>
                <w:szCs w:val="28"/>
              </w:rPr>
              <w:t>执行数</w:t>
            </w:r>
          </w:p>
        </w:tc>
      </w:tr>
      <w:tr>
        <w:tblPrEx>
          <w:tblCellMar>
            <w:top w:w="0" w:type="dxa"/>
            <w:left w:w="108" w:type="dxa"/>
            <w:bottom w:w="0" w:type="dxa"/>
            <w:right w:w="108" w:type="dxa"/>
          </w:tblCellMar>
        </w:tblPrEx>
        <w:trPr>
          <w:trHeight w:val="540" w:hRule="atLeast"/>
          <w:jc w:val="center"/>
        </w:trPr>
        <w:tc>
          <w:tcPr>
            <w:tcW w:w="25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补助镇合计</w:t>
            </w:r>
          </w:p>
        </w:tc>
        <w:tc>
          <w:tcPr>
            <w:tcW w:w="41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bCs/>
                <w:color w:val="000000"/>
                <w:kern w:val="0"/>
                <w:sz w:val="28"/>
                <w:szCs w:val="28"/>
              </w:rPr>
            </w:pPr>
            <w:r>
              <w:rPr>
                <w:rFonts w:ascii="Times New Roman" w:hAnsi="Times New Roman" w:eastAsia="宋体" w:cs="Times New Roman"/>
                <w:bCs/>
                <w:color w:val="000000"/>
                <w:kern w:val="0"/>
                <w:sz w:val="28"/>
                <w:szCs w:val="28"/>
              </w:rPr>
              <w:t xml:space="preserve">15019 </w:t>
            </w:r>
          </w:p>
        </w:tc>
        <w:tc>
          <w:tcPr>
            <w:tcW w:w="54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bCs/>
                <w:color w:val="000000"/>
                <w:kern w:val="0"/>
                <w:sz w:val="28"/>
                <w:szCs w:val="28"/>
              </w:rPr>
            </w:pPr>
            <w:r>
              <w:rPr>
                <w:rFonts w:ascii="Times New Roman" w:hAnsi="Times New Roman" w:eastAsia="宋体" w:cs="Times New Roman"/>
                <w:bCs/>
                <w:color w:val="000000"/>
                <w:kern w:val="0"/>
                <w:sz w:val="28"/>
                <w:szCs w:val="28"/>
              </w:rPr>
              <w:t xml:space="preserve">15733 </w:t>
            </w:r>
          </w:p>
        </w:tc>
      </w:tr>
      <w:tr>
        <w:tblPrEx>
          <w:tblCellMar>
            <w:top w:w="0" w:type="dxa"/>
            <w:left w:w="108" w:type="dxa"/>
            <w:bottom w:w="0" w:type="dxa"/>
            <w:right w:w="108" w:type="dxa"/>
          </w:tblCellMar>
        </w:tblPrEx>
        <w:trPr>
          <w:trHeight w:val="540" w:hRule="atLeast"/>
          <w:jc w:val="center"/>
        </w:trPr>
        <w:tc>
          <w:tcPr>
            <w:tcW w:w="25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color w:val="000000"/>
                <w:kern w:val="0"/>
                <w:sz w:val="28"/>
                <w:szCs w:val="28"/>
              </w:rPr>
            </w:pPr>
            <w:r>
              <w:rPr>
                <w:rFonts w:hint="eastAsia" w:ascii="Times New Roman" w:hAnsi="Times New Roman" w:eastAsia="方正仿宋_GBK" w:cs="Times New Roman"/>
                <w:color w:val="000000"/>
                <w:kern w:val="0"/>
                <w:sz w:val="28"/>
                <w:szCs w:val="28"/>
              </w:rPr>
              <w:t>华岩镇</w:t>
            </w:r>
          </w:p>
        </w:tc>
        <w:tc>
          <w:tcPr>
            <w:tcW w:w="41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5187 </w:t>
            </w:r>
          </w:p>
        </w:tc>
        <w:tc>
          <w:tcPr>
            <w:tcW w:w="5400"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5848 </w:t>
            </w:r>
          </w:p>
        </w:tc>
      </w:tr>
      <w:tr>
        <w:tblPrEx>
          <w:tblCellMar>
            <w:top w:w="0" w:type="dxa"/>
            <w:left w:w="108" w:type="dxa"/>
            <w:bottom w:w="0" w:type="dxa"/>
            <w:right w:w="108" w:type="dxa"/>
          </w:tblCellMar>
        </w:tblPrEx>
        <w:trPr>
          <w:trHeight w:val="540" w:hRule="atLeast"/>
          <w:jc w:val="center"/>
        </w:trPr>
        <w:tc>
          <w:tcPr>
            <w:tcW w:w="25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color w:val="000000"/>
                <w:kern w:val="0"/>
                <w:sz w:val="28"/>
                <w:szCs w:val="28"/>
              </w:rPr>
            </w:pPr>
            <w:r>
              <w:rPr>
                <w:rFonts w:hint="eastAsia" w:ascii="Times New Roman" w:hAnsi="Times New Roman" w:eastAsia="方正仿宋_GBK" w:cs="Times New Roman"/>
                <w:color w:val="000000"/>
                <w:kern w:val="0"/>
                <w:sz w:val="28"/>
                <w:szCs w:val="28"/>
              </w:rPr>
              <w:t>铜罐驿镇</w:t>
            </w:r>
          </w:p>
        </w:tc>
        <w:tc>
          <w:tcPr>
            <w:tcW w:w="418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2306 </w:t>
            </w:r>
          </w:p>
        </w:tc>
        <w:tc>
          <w:tcPr>
            <w:tcW w:w="54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2286 </w:t>
            </w:r>
          </w:p>
        </w:tc>
      </w:tr>
      <w:tr>
        <w:tblPrEx>
          <w:tblCellMar>
            <w:top w:w="0" w:type="dxa"/>
            <w:left w:w="108" w:type="dxa"/>
            <w:bottom w:w="0" w:type="dxa"/>
            <w:right w:w="108" w:type="dxa"/>
          </w:tblCellMar>
        </w:tblPrEx>
        <w:trPr>
          <w:trHeight w:val="540" w:hRule="atLeast"/>
          <w:jc w:val="center"/>
        </w:trPr>
        <w:tc>
          <w:tcPr>
            <w:tcW w:w="25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color w:val="000000"/>
                <w:kern w:val="0"/>
                <w:sz w:val="28"/>
                <w:szCs w:val="28"/>
              </w:rPr>
            </w:pPr>
            <w:r>
              <w:rPr>
                <w:rFonts w:hint="eastAsia" w:ascii="Times New Roman" w:hAnsi="Times New Roman" w:eastAsia="方正仿宋_GBK" w:cs="Times New Roman"/>
                <w:color w:val="000000"/>
                <w:kern w:val="0"/>
                <w:sz w:val="28"/>
                <w:szCs w:val="28"/>
              </w:rPr>
              <w:t>西彭镇</w:t>
            </w:r>
          </w:p>
        </w:tc>
        <w:tc>
          <w:tcPr>
            <w:tcW w:w="418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6505 </w:t>
            </w:r>
          </w:p>
        </w:tc>
        <w:tc>
          <w:tcPr>
            <w:tcW w:w="54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6831 </w:t>
            </w:r>
          </w:p>
        </w:tc>
      </w:tr>
      <w:tr>
        <w:tblPrEx>
          <w:tblCellMar>
            <w:top w:w="0" w:type="dxa"/>
            <w:left w:w="108" w:type="dxa"/>
            <w:bottom w:w="0" w:type="dxa"/>
            <w:right w:w="108" w:type="dxa"/>
          </w:tblCellMar>
        </w:tblPrEx>
        <w:trPr>
          <w:trHeight w:val="540" w:hRule="atLeast"/>
          <w:jc w:val="center"/>
        </w:trPr>
        <w:tc>
          <w:tcPr>
            <w:tcW w:w="252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color w:val="000000"/>
                <w:kern w:val="0"/>
                <w:sz w:val="28"/>
                <w:szCs w:val="28"/>
              </w:rPr>
            </w:pPr>
            <w:r>
              <w:rPr>
                <w:rFonts w:hint="eastAsia" w:ascii="Times New Roman" w:hAnsi="Times New Roman" w:eastAsia="方正仿宋_GBK" w:cs="Times New Roman"/>
                <w:color w:val="000000"/>
                <w:kern w:val="0"/>
                <w:sz w:val="28"/>
                <w:szCs w:val="28"/>
              </w:rPr>
              <w:t>陶家镇</w:t>
            </w:r>
          </w:p>
        </w:tc>
        <w:tc>
          <w:tcPr>
            <w:tcW w:w="4180"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1021 </w:t>
            </w:r>
          </w:p>
        </w:tc>
        <w:tc>
          <w:tcPr>
            <w:tcW w:w="54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768 </w:t>
            </w:r>
          </w:p>
        </w:tc>
      </w:tr>
      <w:tr>
        <w:tblPrEx>
          <w:tblCellMar>
            <w:top w:w="0" w:type="dxa"/>
            <w:left w:w="108" w:type="dxa"/>
            <w:bottom w:w="0" w:type="dxa"/>
            <w:right w:w="108" w:type="dxa"/>
          </w:tblCellMar>
        </w:tblPrEx>
        <w:trPr>
          <w:trHeight w:val="615" w:hRule="atLeast"/>
          <w:jc w:val="center"/>
        </w:trPr>
        <w:tc>
          <w:tcPr>
            <w:tcW w:w="12100" w:type="dxa"/>
            <w:gridSpan w:val="3"/>
            <w:tcBorders>
              <w:top w:val="nil"/>
              <w:left w:val="nil"/>
              <w:bottom w:val="nil"/>
              <w:right w:val="nil"/>
            </w:tcBorders>
            <w:shd w:val="clear" w:color="auto" w:fill="auto"/>
            <w:noWrap/>
            <w:vAlign w:val="center"/>
          </w:tcPr>
          <w:p>
            <w:pPr>
              <w:widowControl/>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注：本表直观反映预算安排中区级对各镇的补助情况。按照《预算法》规定，转移支付应当分地区、分项目编制。</w:t>
            </w:r>
          </w:p>
        </w:tc>
      </w:tr>
    </w:tbl>
    <w:p>
      <w:pPr>
        <w:widowControl/>
        <w:adjustRightInd w:val="0"/>
        <w:snapToGrid w:val="0"/>
        <w:spacing w:line="600" w:lineRule="exact"/>
        <w:jc w:val="center"/>
        <w:rPr>
          <w:rFonts w:ascii="Times New Roman" w:hAnsi="Times New Roman" w:eastAsia="方正小标宋_GBK"/>
          <w:sz w:val="44"/>
          <w:szCs w:val="44"/>
        </w:rPr>
      </w:pPr>
    </w:p>
    <w:p>
      <w:pPr>
        <w:widowControl/>
        <w:adjustRightInd w:val="0"/>
        <w:snapToGrid w:val="0"/>
        <w:spacing w:line="600" w:lineRule="exact"/>
        <w:jc w:val="center"/>
        <w:rPr>
          <w:rFonts w:ascii="Times New Roman" w:hAnsi="Times New Roman" w:eastAsia="方正小标宋_GBK"/>
          <w:sz w:val="44"/>
          <w:szCs w:val="44"/>
        </w:rPr>
      </w:pPr>
    </w:p>
    <w:p>
      <w:pPr>
        <w:widowControl/>
        <w:adjustRightInd w:val="0"/>
        <w:snapToGrid w:val="0"/>
        <w:spacing w:line="600" w:lineRule="exact"/>
        <w:jc w:val="center"/>
        <w:rPr>
          <w:rFonts w:ascii="Times New Roman" w:hAnsi="Times New Roman" w:eastAsia="方正小标宋_GBK"/>
          <w:sz w:val="44"/>
          <w:szCs w:val="44"/>
        </w:rPr>
        <w:sectPr>
          <w:pgSz w:w="16838" w:h="11906" w:orient="landscape"/>
          <w:pgMar w:top="1446" w:right="1985" w:bottom="1446" w:left="1644" w:header="851" w:footer="1474" w:gutter="0"/>
          <w:cols w:space="425" w:num="1"/>
          <w:docGrid w:type="linesAndChars" w:linePitch="312" w:charSpace="0"/>
        </w:sectPr>
      </w:pPr>
    </w:p>
    <w:p>
      <w:pPr>
        <w:adjustRightInd w:val="0"/>
        <w:snapToGrid w:val="0"/>
        <w:spacing w:line="600" w:lineRule="exact"/>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表7</w:t>
      </w:r>
    </w:p>
    <w:p>
      <w:pPr>
        <w:adjustRightInd w:val="0"/>
        <w:snapToGrid w:val="0"/>
        <w:spacing w:line="600" w:lineRule="exact"/>
        <w:jc w:val="left"/>
        <w:rPr>
          <w:rFonts w:ascii="Times New Roman" w:hAnsi="Times New Roman" w:eastAsia="方正黑体_GBK" w:cs="Times New Roman"/>
          <w:kern w:val="0"/>
          <w:sz w:val="32"/>
          <w:szCs w:val="32"/>
        </w:rPr>
      </w:pPr>
    </w:p>
    <w:p>
      <w:pPr>
        <w:widowControl/>
        <w:adjustRightInd w:val="0"/>
        <w:snapToGrid w:val="0"/>
        <w:spacing w:line="60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九龙坡区2022年区级一般公共预算转移支付支出执行表</w:t>
      </w:r>
    </w:p>
    <w:p>
      <w:pPr>
        <w:adjustRightInd w:val="0"/>
        <w:snapToGrid w:val="0"/>
        <w:spacing w:line="400" w:lineRule="exact"/>
        <w:jc w:val="center"/>
        <w:rPr>
          <w:rFonts w:ascii="Times New Roman" w:hAnsi="Times New Roman" w:eastAsia="方正楷体_GBK" w:cs="Times New Roman"/>
          <w:kern w:val="0"/>
          <w:sz w:val="28"/>
          <w:szCs w:val="28"/>
        </w:rPr>
      </w:pPr>
      <w:r>
        <w:rPr>
          <w:rFonts w:hint="eastAsia" w:ascii="Times New Roman" w:hAnsi="Times New Roman" w:eastAsia="方正楷体_GBK" w:cs="Times New Roman"/>
          <w:kern w:val="0"/>
          <w:sz w:val="28"/>
          <w:szCs w:val="28"/>
        </w:rPr>
        <w:t>（专项转移支付分项目）</w:t>
      </w:r>
    </w:p>
    <w:p>
      <w:pPr>
        <w:adjustRightInd w:val="0"/>
        <w:snapToGrid w:val="0"/>
        <w:spacing w:line="40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10620" w:type="dxa"/>
        <w:jc w:val="center"/>
        <w:tblLayout w:type="autofit"/>
        <w:tblCellMar>
          <w:top w:w="0" w:type="dxa"/>
          <w:left w:w="108" w:type="dxa"/>
          <w:bottom w:w="0" w:type="dxa"/>
          <w:right w:w="108" w:type="dxa"/>
        </w:tblCellMar>
      </w:tblPr>
      <w:tblGrid>
        <w:gridCol w:w="5780"/>
        <w:gridCol w:w="2420"/>
        <w:gridCol w:w="2420"/>
      </w:tblGrid>
      <w:tr>
        <w:trPr>
          <w:trHeight w:val="402" w:hRule="atLeast"/>
          <w:jc w:val="center"/>
        </w:trPr>
        <w:tc>
          <w:tcPr>
            <w:tcW w:w="5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支      出</w:t>
            </w:r>
          </w:p>
        </w:tc>
        <w:tc>
          <w:tcPr>
            <w:tcW w:w="242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预算数</w:t>
            </w:r>
          </w:p>
        </w:tc>
        <w:tc>
          <w:tcPr>
            <w:tcW w:w="242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0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执行数</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补助镇合计</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6584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6584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其中：</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人大工作专项经费</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37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民调工作专项经费</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60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60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两新党组织党建专项经费</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78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78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残疾人两项补贴</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194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194 </w:t>
            </w:r>
          </w:p>
        </w:tc>
      </w:tr>
      <w:tr>
        <w:tblPrEx>
          <w:tblCellMar>
            <w:top w:w="0" w:type="dxa"/>
            <w:left w:w="108" w:type="dxa"/>
            <w:bottom w:w="0" w:type="dxa"/>
            <w:right w:w="108" w:type="dxa"/>
          </w:tblCellMar>
        </w:tblPrEx>
        <w:trPr>
          <w:trHeight w:val="375"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派出所办公用房租金</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43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43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在职绩效及离退休生活补助支出</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470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470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群众文化专项经费</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59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59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服务群众专项经费</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250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250 </w:t>
            </w:r>
          </w:p>
        </w:tc>
      </w:tr>
      <w:tr>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城西家园公租房社区管理经费</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98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98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大学城水源地保护租金</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22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22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优抚救济专项补助</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1278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1278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矿区社保站专项经费</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1696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1696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城市长效管理专项经费</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1458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1458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森林工程流转土地租金</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378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378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高龄营养补助及退役军人慰问补助</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450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450 </w:t>
            </w:r>
          </w:p>
        </w:tc>
      </w:tr>
      <w:tr>
        <w:tblPrEx>
          <w:tblCellMar>
            <w:top w:w="0" w:type="dxa"/>
            <w:left w:w="108" w:type="dxa"/>
            <w:bottom w:w="0" w:type="dxa"/>
            <w:right w:w="108" w:type="dxa"/>
          </w:tblCellMar>
        </w:tblPrEx>
        <w:trPr>
          <w:trHeight w:val="402" w:hRule="atLeast"/>
          <w:jc w:val="center"/>
        </w:trPr>
        <w:tc>
          <w:tcPr>
            <w:tcW w:w="57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5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安全监管专项经费</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13 </w:t>
            </w:r>
          </w:p>
        </w:tc>
        <w:tc>
          <w:tcPr>
            <w:tcW w:w="242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13 </w:t>
            </w:r>
          </w:p>
        </w:tc>
      </w:tr>
    </w:tbl>
    <w:p>
      <w:pPr>
        <w:adjustRightInd w:val="0"/>
        <w:snapToGrid w:val="0"/>
        <w:spacing w:line="600" w:lineRule="exact"/>
        <w:jc w:val="left"/>
        <w:rPr>
          <w:rFonts w:ascii="Times New Roman" w:hAnsi="Times New Roman" w:eastAsia="方正黑体_GBK" w:cs="Times New Roman"/>
          <w:kern w:val="0"/>
          <w:sz w:val="32"/>
          <w:szCs w:val="32"/>
        </w:rPr>
        <w:sectPr>
          <w:pgSz w:w="11906" w:h="16838"/>
          <w:pgMar w:top="1985" w:right="1446" w:bottom="1644" w:left="1446" w:header="851" w:footer="1474" w:gutter="0"/>
          <w:cols w:space="425" w:num="1"/>
          <w:docGrid w:type="lines" w:linePitch="312" w:charSpace="0"/>
        </w:sectPr>
      </w:pPr>
    </w:p>
    <w:p>
      <w:pPr>
        <w:adjustRightInd w:val="0"/>
        <w:snapToGrid w:val="0"/>
        <w:spacing w:line="600" w:lineRule="exact"/>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表8</w:t>
      </w:r>
    </w:p>
    <w:p>
      <w:pPr>
        <w:widowControl/>
        <w:adjustRightInd w:val="0"/>
        <w:snapToGrid w:val="0"/>
        <w:spacing w:line="60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九龙坡区2022年区级政府性基金预算收支执行表</w:t>
      </w:r>
    </w:p>
    <w:p>
      <w:pPr>
        <w:widowControl/>
        <w:adjustRightInd w:val="0"/>
        <w:snapToGrid w:val="0"/>
        <w:spacing w:line="600" w:lineRule="exact"/>
        <w:jc w:val="right"/>
        <w:rPr>
          <w:rFonts w:ascii="Times New Roman" w:hAnsi="Times New Roman" w:eastAsia="方正仿宋_GBK" w:cs="Times New Roman"/>
          <w:kern w:val="0"/>
          <w:sz w:val="28"/>
          <w:szCs w:val="28"/>
        </w:rPr>
      </w:pPr>
      <w:r>
        <w:rPr>
          <w:rFonts w:hint="eastAsia" w:ascii="Times New Roman" w:hAnsi="Times New Roman" w:eastAsia="方正仿宋_GBK" w:cs="Times New Roman"/>
          <w:kern w:val="0"/>
          <w:sz w:val="28"/>
          <w:szCs w:val="28"/>
        </w:rPr>
        <w:t xml:space="preserve">   </w:t>
      </w:r>
      <w:r>
        <w:rPr>
          <w:rFonts w:ascii="Times New Roman" w:hAnsi="Times New Roman" w:eastAsia="方正仿宋_GBK" w:cs="Times New Roman"/>
          <w:kern w:val="0"/>
          <w:sz w:val="28"/>
          <w:szCs w:val="28"/>
        </w:rPr>
        <w:t>单位：万元</w:t>
      </w:r>
    </w:p>
    <w:tbl>
      <w:tblPr>
        <w:tblStyle w:val="9"/>
        <w:tblW w:w="6022" w:type="pct"/>
        <w:jc w:val="center"/>
        <w:tblLayout w:type="autofit"/>
        <w:tblCellMar>
          <w:top w:w="0" w:type="dxa"/>
          <w:left w:w="108" w:type="dxa"/>
          <w:bottom w:w="0" w:type="dxa"/>
          <w:right w:w="108" w:type="dxa"/>
        </w:tblCellMar>
      </w:tblPr>
      <w:tblGrid>
        <w:gridCol w:w="990"/>
        <w:gridCol w:w="936"/>
        <w:gridCol w:w="1056"/>
        <w:gridCol w:w="1056"/>
        <w:gridCol w:w="1056"/>
        <w:gridCol w:w="961"/>
        <w:gridCol w:w="1305"/>
        <w:gridCol w:w="1525"/>
        <w:gridCol w:w="936"/>
        <w:gridCol w:w="1056"/>
        <w:gridCol w:w="1134"/>
        <w:gridCol w:w="1134"/>
        <w:gridCol w:w="1370"/>
        <w:gridCol w:w="1654"/>
      </w:tblGrid>
      <w:tr>
        <w:tblPrEx>
          <w:tblCellMar>
            <w:top w:w="0" w:type="dxa"/>
            <w:left w:w="108" w:type="dxa"/>
            <w:bottom w:w="0" w:type="dxa"/>
            <w:right w:w="108" w:type="dxa"/>
          </w:tblCellMar>
        </w:tblPrEx>
        <w:trPr>
          <w:trHeight w:val="113" w:hRule="atLeast"/>
          <w:tblHeader/>
          <w:jc w:val="center"/>
        </w:trPr>
        <w:tc>
          <w:tcPr>
            <w:tcW w:w="99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收        入</w:t>
            </w:r>
          </w:p>
        </w:tc>
        <w:tc>
          <w:tcPr>
            <w:tcW w:w="936"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预算数</w:t>
            </w:r>
          </w:p>
        </w:tc>
        <w:tc>
          <w:tcPr>
            <w:tcW w:w="1056"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调整预算数</w:t>
            </w:r>
          </w:p>
        </w:tc>
        <w:tc>
          <w:tcPr>
            <w:tcW w:w="1056"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变动预算数</w:t>
            </w:r>
          </w:p>
        </w:tc>
        <w:tc>
          <w:tcPr>
            <w:tcW w:w="1056"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w:t>
            </w:r>
          </w:p>
        </w:tc>
        <w:tc>
          <w:tcPr>
            <w:tcW w:w="961"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为变动预算数%</w:t>
            </w:r>
          </w:p>
        </w:tc>
        <w:tc>
          <w:tcPr>
            <w:tcW w:w="1305"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执行数比</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上年决算</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数增长%</w:t>
            </w:r>
          </w:p>
        </w:tc>
        <w:tc>
          <w:tcPr>
            <w:tcW w:w="1525"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支        出</w:t>
            </w:r>
          </w:p>
        </w:tc>
        <w:tc>
          <w:tcPr>
            <w:tcW w:w="936"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预算数</w:t>
            </w:r>
          </w:p>
        </w:tc>
        <w:tc>
          <w:tcPr>
            <w:tcW w:w="1056"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调整预算数</w:t>
            </w:r>
          </w:p>
        </w:tc>
        <w:tc>
          <w:tcPr>
            <w:tcW w:w="1134"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变动预算数</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w:t>
            </w:r>
          </w:p>
        </w:tc>
        <w:tc>
          <w:tcPr>
            <w:tcW w:w="1370"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为变动预算数%</w:t>
            </w:r>
          </w:p>
        </w:tc>
        <w:tc>
          <w:tcPr>
            <w:tcW w:w="1653"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执行数比</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上年决算</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数增长%</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总  计</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653511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1349228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1592234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1592234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w:t>
            </w:r>
          </w:p>
        </w:tc>
        <w:tc>
          <w:tcPr>
            <w:tcW w:w="152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总  计</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653511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1349228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1592234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1592234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100.00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本级收入合计</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w:t>
            </w:r>
          </w:p>
        </w:tc>
        <w:tc>
          <w:tcPr>
            <w:tcW w:w="152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本级支出合计</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271899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991616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1220805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1081967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88.63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69.08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52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一、文化旅游体育与传媒支出</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52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二、社会保障和就业支出</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58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58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46</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34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73.91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-2.86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52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三、城乡社区支出</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204749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588389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819183</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702885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85.80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20.37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961"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05"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525"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四、农林水支出</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2308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2308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2974</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248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8.34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-79.64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525"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五、其他支出</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9991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340749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338489</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318687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94.15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6026.24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525"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六、债务付息支出</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54781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60100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60100</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60100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100.00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21.38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525"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七、债务发行费用支出</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12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13</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100.00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30.00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525"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525"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525"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936"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525"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936"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961"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05"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52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52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转移性收入合计</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653511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1349228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1592234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1592234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w:t>
            </w:r>
          </w:p>
        </w:tc>
        <w:tc>
          <w:tcPr>
            <w:tcW w:w="152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转移性支出合计</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381612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357612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371429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510267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w:t>
            </w:r>
          </w:p>
        </w:tc>
        <w:tc>
          <w:tcPr>
            <w:tcW w:w="165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楷体_GBK" w:cs="宋体"/>
                <w:b/>
                <w:bCs/>
                <w:kern w:val="0"/>
                <w:sz w:val="24"/>
                <w:szCs w:val="24"/>
              </w:rPr>
            </w:pPr>
            <w:r>
              <w:rPr>
                <w:rFonts w:hint="eastAsia" w:ascii="Times New Roman" w:hAnsi="Times New Roman" w:eastAsia="方正楷体_GBK" w:cs="宋体"/>
                <w:b/>
                <w:bCs/>
                <w:kern w:val="0"/>
                <w:sz w:val="24"/>
                <w:szCs w:val="24"/>
              </w:rPr>
              <w:t>一、上级补助收入</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406174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771891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1014897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1014897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52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楷体_GBK" w:cs="宋体"/>
                <w:b/>
                <w:bCs/>
                <w:kern w:val="0"/>
                <w:sz w:val="24"/>
                <w:szCs w:val="24"/>
              </w:rPr>
            </w:pPr>
            <w:r>
              <w:rPr>
                <w:rFonts w:hint="eastAsia" w:ascii="Times New Roman" w:hAnsi="Times New Roman" w:eastAsia="方正楷体_GBK" w:cs="宋体"/>
                <w:b/>
                <w:bCs/>
                <w:kern w:val="0"/>
                <w:sz w:val="24"/>
                <w:szCs w:val="24"/>
              </w:rPr>
              <w:t>一、上解支出</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112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112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538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538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653" w:type="dxa"/>
            <w:tcBorders>
              <w:top w:val="nil"/>
              <w:left w:val="nil"/>
              <w:bottom w:val="single" w:color="auto" w:sz="4" w:space="0"/>
              <w:right w:val="single" w:color="auto" w:sz="4" w:space="0"/>
            </w:tcBorders>
            <w:shd w:val="clear" w:color="000000" w:fill="FFFFFF"/>
            <w:noWrap/>
            <w:vAlign w:val="bottom"/>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楷体_GBK" w:cs="宋体"/>
                <w:b/>
                <w:bCs/>
                <w:color w:val="000000"/>
                <w:kern w:val="0"/>
                <w:sz w:val="24"/>
                <w:szCs w:val="24"/>
              </w:rPr>
            </w:pPr>
            <w:r>
              <w:rPr>
                <w:rFonts w:hint="eastAsia" w:ascii="Times New Roman" w:hAnsi="Times New Roman" w:eastAsia="方正楷体_GBK" w:cs="宋体"/>
                <w:b/>
                <w:bCs/>
                <w:color w:val="000000"/>
                <w:kern w:val="0"/>
                <w:sz w:val="24"/>
                <w:szCs w:val="24"/>
              </w:rPr>
              <w:t xml:space="preserve">二、地方政府债务收入 </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181500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511500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511500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511500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52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楷体_GBK" w:cs="宋体"/>
                <w:b/>
                <w:bCs/>
                <w:kern w:val="0"/>
                <w:sz w:val="24"/>
                <w:szCs w:val="24"/>
              </w:rPr>
            </w:pPr>
            <w:r>
              <w:rPr>
                <w:rFonts w:hint="eastAsia" w:ascii="Times New Roman" w:hAnsi="Times New Roman" w:eastAsia="方正楷体_GBK" w:cs="宋体"/>
                <w:b/>
                <w:bCs/>
                <w:kern w:val="0"/>
                <w:sz w:val="24"/>
                <w:szCs w:val="24"/>
              </w:rPr>
              <w:t>二、调出资金</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200000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176000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189391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189391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653" w:type="dxa"/>
            <w:tcBorders>
              <w:top w:val="nil"/>
              <w:left w:val="nil"/>
              <w:bottom w:val="single" w:color="auto" w:sz="4" w:space="0"/>
              <w:right w:val="single" w:color="auto" w:sz="4" w:space="0"/>
            </w:tcBorders>
            <w:shd w:val="clear" w:color="000000" w:fill="FFFFFF"/>
            <w:noWrap/>
            <w:vAlign w:val="bottom"/>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地方政府债券收入(新增）</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330000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330000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330000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52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楷体_GBK" w:cs="宋体"/>
                <w:b/>
                <w:bCs/>
                <w:color w:val="000000"/>
                <w:kern w:val="0"/>
                <w:sz w:val="24"/>
                <w:szCs w:val="24"/>
              </w:rPr>
            </w:pPr>
            <w:r>
              <w:rPr>
                <w:rFonts w:hint="eastAsia" w:ascii="Times New Roman" w:hAnsi="Times New Roman" w:eastAsia="方正楷体_GBK" w:cs="宋体"/>
                <w:b/>
                <w:bCs/>
                <w:color w:val="000000"/>
                <w:kern w:val="0"/>
                <w:sz w:val="24"/>
                <w:szCs w:val="24"/>
              </w:rPr>
              <w:t>三、地方政府债务还本支出</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181500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181500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181500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181500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653" w:type="dxa"/>
            <w:tcBorders>
              <w:top w:val="nil"/>
              <w:left w:val="nil"/>
              <w:bottom w:val="single" w:color="auto" w:sz="4" w:space="0"/>
              <w:right w:val="single" w:color="auto" w:sz="4" w:space="0"/>
            </w:tcBorders>
            <w:shd w:val="clear" w:color="000000" w:fill="FFFFFF"/>
            <w:noWrap/>
            <w:vAlign w:val="bottom"/>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地方政府债券收入(再融资）</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181500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181500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181500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181500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52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楷体_GBK" w:cs="宋体"/>
                <w:b/>
                <w:bCs/>
                <w:color w:val="000000"/>
                <w:kern w:val="0"/>
                <w:sz w:val="24"/>
                <w:szCs w:val="24"/>
              </w:rPr>
            </w:pPr>
            <w:r>
              <w:rPr>
                <w:rFonts w:hint="eastAsia" w:ascii="Times New Roman" w:hAnsi="Times New Roman" w:eastAsia="方正楷体_GBK" w:cs="宋体"/>
                <w:b/>
                <w:bCs/>
                <w:color w:val="000000"/>
                <w:kern w:val="0"/>
                <w:sz w:val="24"/>
                <w:szCs w:val="24"/>
              </w:rPr>
              <w:t>四、结转下年</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138838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653" w:type="dxa"/>
            <w:tcBorders>
              <w:top w:val="nil"/>
              <w:left w:val="nil"/>
              <w:bottom w:val="single" w:color="auto" w:sz="4" w:space="0"/>
              <w:right w:val="single" w:color="auto" w:sz="4" w:space="0"/>
            </w:tcBorders>
            <w:shd w:val="clear" w:color="000000" w:fill="FFFFFF"/>
            <w:noWrap/>
            <w:vAlign w:val="bottom"/>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113" w:hRule="atLeast"/>
          <w:jc w:val="center"/>
        </w:trPr>
        <w:tc>
          <w:tcPr>
            <w:tcW w:w="99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楷体_GBK" w:cs="宋体"/>
                <w:b/>
                <w:bCs/>
                <w:kern w:val="0"/>
                <w:sz w:val="24"/>
                <w:szCs w:val="24"/>
              </w:rPr>
            </w:pPr>
            <w:r>
              <w:rPr>
                <w:rFonts w:hint="eastAsia" w:ascii="Times New Roman" w:hAnsi="Times New Roman" w:eastAsia="方正楷体_GBK" w:cs="宋体"/>
                <w:b/>
                <w:bCs/>
                <w:kern w:val="0"/>
                <w:sz w:val="24"/>
                <w:szCs w:val="24"/>
              </w:rPr>
              <w:t>三、上年结转</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65837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65837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65837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65837 </w:t>
            </w:r>
          </w:p>
        </w:tc>
        <w:tc>
          <w:tcPr>
            <w:tcW w:w="96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0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52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3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105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137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653" w:type="dxa"/>
            <w:tcBorders>
              <w:top w:val="nil"/>
              <w:left w:val="nil"/>
              <w:bottom w:val="single" w:color="auto" w:sz="4" w:space="0"/>
              <w:right w:val="single" w:color="auto" w:sz="4" w:space="0"/>
            </w:tcBorders>
            <w:shd w:val="clear" w:color="000000" w:fill="FFFFFF"/>
            <w:noWrap/>
            <w:vAlign w:val="bottom"/>
          </w:tcPr>
          <w:p>
            <w:pPr>
              <w:widowControl/>
              <w:adjustRightInd w:val="0"/>
              <w:snapToGrid w:val="0"/>
              <w:spacing w:line="340" w:lineRule="exact"/>
              <w:jc w:val="righ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r>
      <w:tr>
        <w:tblPrEx>
          <w:tblCellMar>
            <w:top w:w="0" w:type="dxa"/>
            <w:left w:w="108" w:type="dxa"/>
            <w:bottom w:w="0" w:type="dxa"/>
            <w:right w:w="108" w:type="dxa"/>
          </w:tblCellMar>
        </w:tblPrEx>
        <w:trPr>
          <w:gridAfter w:val="13"/>
          <w:wAfter w:w="15178" w:type="dxa"/>
          <w:trHeight w:val="113" w:hRule="atLeast"/>
          <w:jc w:val="center"/>
        </w:trPr>
        <w:tc>
          <w:tcPr>
            <w:tcW w:w="990" w:type="dxa"/>
            <w:tcBorders>
              <w:top w:val="nil"/>
              <w:left w:val="nil"/>
              <w:bottom w:val="nil"/>
              <w:right w:val="nil"/>
            </w:tcBorders>
            <w:shd w:val="clear" w:color="000000" w:fill="FFFFFF"/>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p>
        </w:tc>
      </w:tr>
    </w:tbl>
    <w:p>
      <w:pPr>
        <w:widowControl/>
        <w:adjustRightInd w:val="0"/>
        <w:snapToGrid w:val="0"/>
        <w:spacing w:line="60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注：1.本表直观反映2022年政府性基金预算收入与支出的平衡关系。</w:t>
      </w:r>
    </w:p>
    <w:p>
      <w:pPr>
        <w:widowControl/>
        <w:adjustRightInd w:val="0"/>
        <w:snapToGrid w:val="0"/>
        <w:spacing w:line="600" w:lineRule="exact"/>
        <w:ind w:firstLine="480" w:firstLineChars="200"/>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2.收入总计（本级收入合计+转移性收入合计）=支出总计（本级支出合计+转移性支出合计）。</w:t>
      </w:r>
    </w:p>
    <w:p>
      <w:pPr>
        <w:widowControl/>
        <w:adjustRightInd w:val="0"/>
        <w:snapToGrid w:val="0"/>
        <w:spacing w:line="600" w:lineRule="exact"/>
        <w:ind w:firstLine="480" w:firstLineChars="200"/>
        <w:jc w:val="left"/>
        <w:rPr>
          <w:rFonts w:ascii="Times New Roman" w:hAnsi="Times New Roman" w:eastAsia="方正仿宋_GBK" w:cs="Times New Roman"/>
          <w:sz w:val="24"/>
          <w:szCs w:val="24"/>
        </w:rPr>
      </w:pPr>
    </w:p>
    <w:p>
      <w:pPr>
        <w:widowControl/>
        <w:adjustRightInd w:val="0"/>
        <w:snapToGrid w:val="0"/>
        <w:spacing w:line="600" w:lineRule="exact"/>
        <w:ind w:firstLine="480" w:firstLineChars="200"/>
        <w:jc w:val="left"/>
        <w:rPr>
          <w:rFonts w:ascii="Times New Roman" w:hAnsi="Times New Roman" w:eastAsia="方正仿宋_GBK" w:cs="Times New Roman"/>
          <w:sz w:val="24"/>
          <w:szCs w:val="24"/>
        </w:rPr>
      </w:pPr>
    </w:p>
    <w:p>
      <w:pPr>
        <w:widowControl/>
        <w:adjustRightInd w:val="0"/>
        <w:snapToGrid w:val="0"/>
        <w:spacing w:line="600" w:lineRule="exact"/>
        <w:ind w:firstLine="480" w:firstLineChars="200"/>
        <w:jc w:val="left"/>
        <w:rPr>
          <w:rFonts w:ascii="Times New Roman" w:hAnsi="Times New Roman" w:eastAsia="方正仿宋_GBK" w:cs="Times New Roman"/>
          <w:sz w:val="24"/>
          <w:szCs w:val="24"/>
        </w:rPr>
      </w:pPr>
    </w:p>
    <w:p>
      <w:pPr>
        <w:widowControl/>
        <w:adjustRightInd w:val="0"/>
        <w:snapToGrid w:val="0"/>
        <w:spacing w:line="600" w:lineRule="exact"/>
        <w:ind w:firstLine="480" w:firstLineChars="200"/>
        <w:jc w:val="left"/>
        <w:rPr>
          <w:rFonts w:ascii="Times New Roman" w:hAnsi="Times New Roman" w:eastAsia="方正仿宋_GBK"/>
          <w:sz w:val="24"/>
          <w:szCs w:val="24"/>
        </w:rPr>
        <w:sectPr>
          <w:pgSz w:w="16838" w:h="11906" w:orient="landscape"/>
          <w:pgMar w:top="1446" w:right="1985" w:bottom="1446" w:left="1644" w:header="851" w:footer="1474" w:gutter="0"/>
          <w:cols w:space="425" w:num="1"/>
          <w:docGrid w:type="linesAndChars" w:linePitch="312" w:charSpace="0"/>
        </w:sectPr>
      </w:pPr>
    </w:p>
    <w:p>
      <w:pPr>
        <w:widowControl/>
        <w:adjustRightInd w:val="0"/>
        <w:snapToGrid w:val="0"/>
        <w:spacing w:line="600" w:lineRule="exact"/>
        <w:jc w:val="left"/>
        <w:rPr>
          <w:rFonts w:ascii="Times New Roman" w:hAnsi="Times New Roman" w:eastAsia="方正黑体_GBK" w:cs="Times New Roman"/>
          <w:snapToGrid w:val="0"/>
          <w:kern w:val="0"/>
          <w:sz w:val="32"/>
          <w:szCs w:val="32"/>
        </w:rPr>
      </w:pPr>
      <w:r>
        <w:rPr>
          <w:rFonts w:ascii="Times New Roman" w:hAnsi="Times New Roman" w:eastAsia="方正黑体_GBK" w:cs="Times New Roman"/>
          <w:snapToGrid w:val="0"/>
          <w:kern w:val="0"/>
          <w:sz w:val="32"/>
          <w:szCs w:val="32"/>
        </w:rPr>
        <w:t>表9</w:t>
      </w:r>
    </w:p>
    <w:p>
      <w:pPr>
        <w:widowControl/>
        <w:adjustRightInd w:val="0"/>
        <w:snapToGrid w:val="0"/>
        <w:spacing w:line="600" w:lineRule="exact"/>
        <w:ind w:firstLine="880" w:firstLineChars="20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九龙坡区2022年区级政府性基金预算本级支出执行表</w:t>
      </w:r>
    </w:p>
    <w:p>
      <w:pPr>
        <w:widowControl/>
        <w:spacing w:line="600" w:lineRule="exact"/>
        <w:jc w:val="right"/>
        <w:rPr>
          <w:rFonts w:ascii="Times New Roman" w:hAnsi="Times New Roman" w:eastAsia="方正仿宋_GBK" w:cs="Times New Roman"/>
          <w:snapToGrid w:val="0"/>
          <w:kern w:val="0"/>
          <w:sz w:val="28"/>
          <w:szCs w:val="28"/>
        </w:rPr>
      </w:pPr>
      <w:r>
        <w:rPr>
          <w:rFonts w:ascii="Times New Roman" w:hAnsi="Times New Roman" w:eastAsia="方正仿宋_GBK" w:cs="Times New Roman"/>
          <w:snapToGrid w:val="0"/>
          <w:kern w:val="0"/>
          <w:sz w:val="28"/>
          <w:szCs w:val="28"/>
        </w:rPr>
        <w:t>单位：万元</w:t>
      </w:r>
    </w:p>
    <w:tbl>
      <w:tblPr>
        <w:tblStyle w:val="9"/>
        <w:tblW w:w="10320" w:type="dxa"/>
        <w:jc w:val="center"/>
        <w:tblLayout w:type="autofit"/>
        <w:tblCellMar>
          <w:top w:w="0" w:type="dxa"/>
          <w:left w:w="108" w:type="dxa"/>
          <w:bottom w:w="0" w:type="dxa"/>
          <w:right w:w="108" w:type="dxa"/>
        </w:tblCellMar>
      </w:tblPr>
      <w:tblGrid>
        <w:gridCol w:w="1196"/>
        <w:gridCol w:w="7716"/>
        <w:gridCol w:w="1540"/>
      </w:tblGrid>
      <w:tr>
        <w:tblPrEx>
          <w:tblCellMar>
            <w:top w:w="0" w:type="dxa"/>
            <w:left w:w="108" w:type="dxa"/>
            <w:bottom w:w="0" w:type="dxa"/>
            <w:right w:w="108" w:type="dxa"/>
          </w:tblCellMar>
        </w:tblPrEx>
        <w:trPr>
          <w:trHeight w:val="402" w:hRule="atLeast"/>
          <w:tblHeader/>
          <w:jc w:val="center"/>
        </w:trPr>
        <w:tc>
          <w:tcPr>
            <w:tcW w:w="878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支        出</w:t>
            </w:r>
          </w:p>
        </w:tc>
        <w:tc>
          <w:tcPr>
            <w:tcW w:w="154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执行数</w:t>
            </w:r>
          </w:p>
        </w:tc>
      </w:tr>
      <w:tr>
        <w:tblPrEx>
          <w:tblCellMar>
            <w:top w:w="0" w:type="dxa"/>
            <w:left w:w="108" w:type="dxa"/>
            <w:bottom w:w="0" w:type="dxa"/>
            <w:right w:w="108" w:type="dxa"/>
          </w:tblCellMar>
        </w:tblPrEx>
        <w:trPr>
          <w:trHeight w:val="402" w:hRule="atLeast"/>
          <w:jc w:val="center"/>
        </w:trPr>
        <w:tc>
          <w:tcPr>
            <w:tcW w:w="878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本级支出合计</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bCs/>
                <w:color w:val="000000"/>
                <w:kern w:val="0"/>
                <w:sz w:val="28"/>
                <w:szCs w:val="28"/>
              </w:rPr>
            </w:pPr>
            <w:r>
              <w:rPr>
                <w:rFonts w:ascii="Times New Roman" w:hAnsi="Times New Roman" w:eastAsia="宋体" w:cs="Times New Roman"/>
                <w:bCs/>
                <w:color w:val="000000"/>
                <w:kern w:val="0"/>
                <w:sz w:val="28"/>
                <w:szCs w:val="28"/>
              </w:rPr>
              <w:t>1081967</w:t>
            </w:r>
          </w:p>
        </w:tc>
      </w:tr>
      <w:tr>
        <w:tblPrEx>
          <w:tblCellMar>
            <w:top w:w="0" w:type="dxa"/>
            <w:left w:w="108" w:type="dxa"/>
            <w:bottom w:w="0" w:type="dxa"/>
            <w:right w:w="108" w:type="dxa"/>
          </w:tblCellMar>
        </w:tblPrEx>
        <w:trPr>
          <w:trHeight w:val="402"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208</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楷体_GBK" w:cs="宋体"/>
                <w:bCs/>
                <w:kern w:val="0"/>
                <w:sz w:val="28"/>
                <w:szCs w:val="28"/>
              </w:rPr>
            </w:pPr>
            <w:r>
              <w:rPr>
                <w:rFonts w:hint="eastAsia" w:ascii="Times New Roman" w:hAnsi="Times New Roman" w:eastAsia="方正楷体_GBK" w:cs="宋体"/>
                <w:bCs/>
                <w:kern w:val="0"/>
                <w:sz w:val="28"/>
                <w:szCs w:val="28"/>
              </w:rPr>
              <w:t xml:space="preserve">  社会保障和就业支出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34</w:t>
            </w:r>
          </w:p>
        </w:tc>
      </w:tr>
      <w:tr>
        <w:tblPrEx>
          <w:tblCellMar>
            <w:top w:w="0" w:type="dxa"/>
            <w:left w:w="108" w:type="dxa"/>
            <w:bottom w:w="0" w:type="dxa"/>
            <w:right w:w="108" w:type="dxa"/>
          </w:tblCellMar>
        </w:tblPrEx>
        <w:trPr>
          <w:trHeight w:val="402"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20822</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8"/>
                <w:szCs w:val="28"/>
              </w:rPr>
            </w:pPr>
            <w:r>
              <w:rPr>
                <w:rFonts w:hint="eastAsia" w:ascii="Times New Roman" w:hAnsi="Times New Roman" w:eastAsia="方正仿宋_GBK" w:cs="宋体"/>
                <w:bCs/>
                <w:kern w:val="0"/>
                <w:sz w:val="28"/>
                <w:szCs w:val="28"/>
              </w:rPr>
              <w:t xml:space="preserve">    大中型水库移民后期扶持基金支出</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34</w:t>
            </w:r>
          </w:p>
        </w:tc>
      </w:tr>
      <w:tr>
        <w:tblPrEx>
          <w:tblCellMar>
            <w:top w:w="0" w:type="dxa"/>
            <w:left w:w="108" w:type="dxa"/>
            <w:bottom w:w="0" w:type="dxa"/>
            <w:right w:w="108" w:type="dxa"/>
          </w:tblCellMar>
        </w:tblPrEx>
        <w:trPr>
          <w:trHeight w:val="402"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2082201</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移民补助</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34</w:t>
            </w:r>
          </w:p>
        </w:tc>
      </w:tr>
      <w:tr>
        <w:tblPrEx>
          <w:tblCellMar>
            <w:top w:w="0" w:type="dxa"/>
            <w:left w:w="108" w:type="dxa"/>
            <w:bottom w:w="0" w:type="dxa"/>
            <w:right w:w="108" w:type="dxa"/>
          </w:tblCellMar>
        </w:tblPrEx>
        <w:trPr>
          <w:trHeight w:val="390"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212</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楷体_GBK" w:cs="宋体"/>
                <w:bCs/>
                <w:kern w:val="0"/>
                <w:sz w:val="28"/>
                <w:szCs w:val="28"/>
              </w:rPr>
            </w:pPr>
            <w:r>
              <w:rPr>
                <w:rFonts w:hint="eastAsia" w:ascii="Times New Roman" w:hAnsi="Times New Roman" w:eastAsia="方正楷体_GBK" w:cs="宋体"/>
                <w:bCs/>
                <w:kern w:val="0"/>
                <w:sz w:val="28"/>
                <w:szCs w:val="28"/>
              </w:rPr>
              <w:t xml:space="preserve">  城乡社区支出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702885</w:t>
            </w:r>
          </w:p>
        </w:tc>
      </w:tr>
      <w:tr>
        <w:tblPrEx>
          <w:tblCellMar>
            <w:top w:w="0" w:type="dxa"/>
            <w:left w:w="108" w:type="dxa"/>
            <w:bottom w:w="0" w:type="dxa"/>
            <w:right w:w="108" w:type="dxa"/>
          </w:tblCellMar>
        </w:tblPrEx>
        <w:trPr>
          <w:trHeight w:val="390"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21208</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8"/>
                <w:szCs w:val="28"/>
              </w:rPr>
            </w:pPr>
            <w:r>
              <w:rPr>
                <w:rFonts w:hint="eastAsia" w:ascii="Times New Roman" w:hAnsi="Times New Roman" w:eastAsia="方正仿宋_GBK" w:cs="宋体"/>
                <w:bCs/>
                <w:kern w:val="0"/>
                <w:sz w:val="28"/>
                <w:szCs w:val="28"/>
              </w:rPr>
              <w:t xml:space="preserve">    国有土地使用权出让收入安排的支出</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700214</w:t>
            </w:r>
          </w:p>
        </w:tc>
      </w:tr>
      <w:tr>
        <w:tblPrEx>
          <w:tblCellMar>
            <w:top w:w="0" w:type="dxa"/>
            <w:left w:w="108" w:type="dxa"/>
            <w:bottom w:w="0" w:type="dxa"/>
            <w:right w:w="108" w:type="dxa"/>
          </w:tblCellMar>
        </w:tblPrEx>
        <w:trPr>
          <w:trHeight w:val="390"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2120801</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征地和拆迁补偿支出</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405654</w:t>
            </w:r>
          </w:p>
        </w:tc>
      </w:tr>
      <w:tr>
        <w:tblPrEx>
          <w:tblCellMar>
            <w:top w:w="0" w:type="dxa"/>
            <w:left w:w="108" w:type="dxa"/>
            <w:bottom w:w="0" w:type="dxa"/>
            <w:right w:w="108" w:type="dxa"/>
          </w:tblCellMar>
        </w:tblPrEx>
        <w:trPr>
          <w:trHeight w:val="390"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2120802</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土地开发支出</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7326</w:t>
            </w:r>
          </w:p>
        </w:tc>
      </w:tr>
      <w:tr>
        <w:tblPrEx>
          <w:tblCellMar>
            <w:top w:w="0" w:type="dxa"/>
            <w:left w:w="108" w:type="dxa"/>
            <w:bottom w:w="0" w:type="dxa"/>
            <w:right w:w="108" w:type="dxa"/>
          </w:tblCellMar>
        </w:tblPrEx>
        <w:trPr>
          <w:trHeight w:val="390"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2120804</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农村基础设施建设支出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40369</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2120899</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其他国有土地使用权出让收入安排的支出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246865</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21213</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8"/>
                <w:szCs w:val="28"/>
              </w:rPr>
            </w:pPr>
            <w:r>
              <w:rPr>
                <w:rFonts w:hint="eastAsia" w:ascii="Times New Roman" w:hAnsi="Times New Roman" w:eastAsia="方正仿宋_GBK" w:cs="宋体"/>
                <w:bCs/>
                <w:kern w:val="0"/>
                <w:sz w:val="28"/>
                <w:szCs w:val="28"/>
              </w:rPr>
              <w:t xml:space="preserve">    城市基础设施配套费安排的支出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2671</w:t>
            </w:r>
          </w:p>
        </w:tc>
      </w:tr>
      <w:tr>
        <w:tblPrEx>
          <w:tblCellMar>
            <w:top w:w="0" w:type="dxa"/>
            <w:left w:w="108" w:type="dxa"/>
            <w:bottom w:w="0" w:type="dxa"/>
            <w:right w:w="108" w:type="dxa"/>
          </w:tblCellMar>
        </w:tblPrEx>
        <w:trPr>
          <w:trHeight w:val="375"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2121301</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城市公共设施</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2671</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213</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楷体_GBK" w:cs="宋体"/>
                <w:bCs/>
                <w:kern w:val="0"/>
                <w:sz w:val="28"/>
                <w:szCs w:val="28"/>
              </w:rPr>
            </w:pPr>
            <w:r>
              <w:rPr>
                <w:rFonts w:hint="eastAsia" w:ascii="Times New Roman" w:hAnsi="Times New Roman" w:eastAsia="方正楷体_GBK" w:cs="宋体"/>
                <w:bCs/>
                <w:kern w:val="0"/>
                <w:sz w:val="28"/>
                <w:szCs w:val="28"/>
              </w:rPr>
              <w:t xml:space="preserve">  农林水支出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248</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21367</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8"/>
                <w:szCs w:val="28"/>
              </w:rPr>
            </w:pPr>
            <w:r>
              <w:rPr>
                <w:rFonts w:hint="eastAsia" w:ascii="Times New Roman" w:hAnsi="Times New Roman" w:eastAsia="方正仿宋_GBK" w:cs="宋体"/>
                <w:bCs/>
                <w:kern w:val="0"/>
                <w:sz w:val="28"/>
                <w:szCs w:val="28"/>
              </w:rPr>
              <w:t xml:space="preserve">    三峡水库库区基金支出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15</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2136799</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其他三峡水库库区基金支出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15</w:t>
            </w:r>
          </w:p>
        </w:tc>
      </w:tr>
      <w:tr>
        <w:tblPrEx>
          <w:tblCellMar>
            <w:top w:w="0" w:type="dxa"/>
            <w:left w:w="108" w:type="dxa"/>
            <w:bottom w:w="0" w:type="dxa"/>
            <w:right w:w="108" w:type="dxa"/>
          </w:tblCellMar>
        </w:tblPrEx>
        <w:trPr>
          <w:trHeight w:val="375"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21369</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8"/>
                <w:szCs w:val="28"/>
              </w:rPr>
            </w:pPr>
            <w:r>
              <w:rPr>
                <w:rFonts w:hint="eastAsia" w:ascii="Times New Roman" w:hAnsi="Times New Roman" w:eastAsia="方正仿宋_GBK" w:cs="宋体"/>
                <w:bCs/>
                <w:kern w:val="0"/>
                <w:sz w:val="28"/>
                <w:szCs w:val="28"/>
              </w:rPr>
              <w:t xml:space="preserve">    国家重大水利工程建设基金安排的支出</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233</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2136902</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三峡后续工作</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233</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229</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楷体_GBK" w:cs="宋体"/>
                <w:bCs/>
                <w:kern w:val="0"/>
                <w:sz w:val="28"/>
                <w:szCs w:val="28"/>
              </w:rPr>
            </w:pPr>
            <w:r>
              <w:rPr>
                <w:rFonts w:hint="eastAsia" w:ascii="Times New Roman" w:hAnsi="Times New Roman" w:eastAsia="方正楷体_GBK" w:cs="宋体"/>
                <w:bCs/>
                <w:kern w:val="0"/>
                <w:sz w:val="28"/>
                <w:szCs w:val="28"/>
              </w:rPr>
              <w:t xml:space="preserve">  其他支出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318687</w:t>
            </w:r>
          </w:p>
        </w:tc>
      </w:tr>
      <w:tr>
        <w:tblPrEx>
          <w:tblCellMar>
            <w:top w:w="0" w:type="dxa"/>
            <w:left w:w="108" w:type="dxa"/>
            <w:bottom w:w="0" w:type="dxa"/>
            <w:right w:w="108" w:type="dxa"/>
          </w:tblCellMar>
        </w:tblPrEx>
        <w:trPr>
          <w:trHeight w:val="375"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22904</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8"/>
                <w:szCs w:val="28"/>
              </w:rPr>
            </w:pPr>
            <w:r>
              <w:rPr>
                <w:rFonts w:hint="eastAsia" w:ascii="Times New Roman" w:hAnsi="Times New Roman" w:eastAsia="方正仿宋_GBK" w:cs="宋体"/>
                <w:bCs/>
                <w:kern w:val="0"/>
                <w:sz w:val="28"/>
                <w:szCs w:val="28"/>
              </w:rPr>
              <w:t xml:space="preserve">    其他政府性基金及对应专项债务收入安排的支出</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313907</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2290402</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其他地方自行试点项目收益专项债券收入安排的支出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313907</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22908</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8"/>
                <w:szCs w:val="28"/>
              </w:rPr>
            </w:pPr>
            <w:r>
              <w:rPr>
                <w:rFonts w:hint="eastAsia" w:ascii="Times New Roman" w:hAnsi="Times New Roman" w:eastAsia="方正仿宋_GBK" w:cs="宋体"/>
                <w:bCs/>
                <w:kern w:val="0"/>
                <w:sz w:val="28"/>
                <w:szCs w:val="28"/>
              </w:rPr>
              <w:t xml:space="preserve">    彩票发行销售机构业务费安排的支出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21</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2290808</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彩票市场调控资金支出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22960</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8"/>
                <w:szCs w:val="28"/>
              </w:rPr>
            </w:pPr>
            <w:r>
              <w:rPr>
                <w:rFonts w:hint="eastAsia" w:ascii="Times New Roman" w:hAnsi="Times New Roman" w:eastAsia="方正仿宋_GBK" w:cs="宋体"/>
                <w:bCs/>
                <w:kern w:val="0"/>
                <w:sz w:val="28"/>
                <w:szCs w:val="28"/>
              </w:rPr>
              <w:t xml:space="preserve">    彩票公益金安排的支出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4759</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2296002</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用于社会福利的彩票公益金支出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2969</w:t>
            </w:r>
          </w:p>
        </w:tc>
      </w:tr>
      <w:tr>
        <w:tblPrEx>
          <w:tblCellMar>
            <w:top w:w="0" w:type="dxa"/>
            <w:left w:w="108" w:type="dxa"/>
            <w:bottom w:w="0" w:type="dxa"/>
            <w:right w:w="108" w:type="dxa"/>
          </w:tblCellMar>
        </w:tblPrEx>
        <w:trPr>
          <w:trHeight w:val="375"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2296003</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用于体育事业的彩票公益金支出</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1283</w:t>
            </w:r>
          </w:p>
        </w:tc>
      </w:tr>
      <w:tr>
        <w:tblPrEx>
          <w:tblCellMar>
            <w:top w:w="0" w:type="dxa"/>
            <w:left w:w="108" w:type="dxa"/>
            <w:bottom w:w="0" w:type="dxa"/>
            <w:right w:w="108" w:type="dxa"/>
          </w:tblCellMar>
        </w:tblPrEx>
        <w:trPr>
          <w:trHeight w:val="375"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2296004</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用于教育事业的彩票公益金支出</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185</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2296006</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用于残疾人事业的彩票公益金支出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151</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2296013</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用于城乡医疗救助的彩票公益金支出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30</w:t>
            </w:r>
          </w:p>
        </w:tc>
      </w:tr>
      <w:tr>
        <w:tblPrEx>
          <w:tblCellMar>
            <w:top w:w="0" w:type="dxa"/>
            <w:left w:w="108" w:type="dxa"/>
            <w:bottom w:w="0" w:type="dxa"/>
            <w:right w:w="108" w:type="dxa"/>
          </w:tblCellMar>
        </w:tblPrEx>
        <w:trPr>
          <w:trHeight w:val="375"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2296099</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用于其他社会公益事业的彩票公益金支出</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141</w:t>
            </w:r>
          </w:p>
        </w:tc>
      </w:tr>
      <w:tr>
        <w:tblPrEx>
          <w:tblCellMar>
            <w:top w:w="0" w:type="dxa"/>
            <w:left w:w="108" w:type="dxa"/>
            <w:bottom w:w="0" w:type="dxa"/>
            <w:right w:w="108" w:type="dxa"/>
          </w:tblCellMar>
        </w:tblPrEx>
        <w:trPr>
          <w:trHeight w:val="375"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232</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楷体_GBK" w:cs="宋体"/>
                <w:bCs/>
                <w:kern w:val="0"/>
                <w:sz w:val="28"/>
                <w:szCs w:val="28"/>
              </w:rPr>
            </w:pPr>
            <w:r>
              <w:rPr>
                <w:rFonts w:hint="eastAsia" w:ascii="Times New Roman" w:hAnsi="Times New Roman" w:eastAsia="方正楷体_GBK" w:cs="宋体"/>
                <w:bCs/>
                <w:kern w:val="0"/>
                <w:sz w:val="28"/>
                <w:szCs w:val="28"/>
              </w:rPr>
              <w:t xml:space="preserve">  债务付息支出</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60100</w:t>
            </w:r>
          </w:p>
        </w:tc>
      </w:tr>
      <w:tr>
        <w:tblPrEx>
          <w:tblCellMar>
            <w:top w:w="0" w:type="dxa"/>
            <w:left w:w="108" w:type="dxa"/>
            <w:bottom w:w="0" w:type="dxa"/>
            <w:right w:w="108" w:type="dxa"/>
          </w:tblCellMar>
        </w:tblPrEx>
        <w:trPr>
          <w:trHeight w:val="375"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23204</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8"/>
                <w:szCs w:val="28"/>
              </w:rPr>
            </w:pPr>
            <w:r>
              <w:rPr>
                <w:rFonts w:hint="eastAsia" w:ascii="Times New Roman" w:hAnsi="Times New Roman" w:eastAsia="方正仿宋_GBK" w:cs="宋体"/>
                <w:bCs/>
                <w:kern w:val="0"/>
                <w:sz w:val="28"/>
                <w:szCs w:val="28"/>
              </w:rPr>
              <w:t xml:space="preserve">    地方政府专项债务付息支出</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60100</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2320411</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国有土地使用权出让金债务付息支出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30749</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2320431</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土地储备专项债券付息支出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10094</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2320433</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棚户区改造专项债券付息支出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10043</w:t>
            </w:r>
          </w:p>
        </w:tc>
      </w:tr>
      <w:tr>
        <w:tblPrEx>
          <w:tblCellMar>
            <w:top w:w="0" w:type="dxa"/>
            <w:left w:w="108" w:type="dxa"/>
            <w:bottom w:w="0" w:type="dxa"/>
            <w:right w:w="108" w:type="dxa"/>
          </w:tblCellMar>
        </w:tblPrEx>
        <w:trPr>
          <w:trHeight w:val="375"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2320498</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其他地方自行试点项目收益专项债券付息支出</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9214</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233</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楷体_GBK" w:cs="宋体"/>
                <w:bCs/>
                <w:kern w:val="0"/>
                <w:sz w:val="28"/>
                <w:szCs w:val="28"/>
              </w:rPr>
            </w:pPr>
            <w:r>
              <w:rPr>
                <w:rFonts w:hint="eastAsia" w:ascii="Times New Roman" w:hAnsi="Times New Roman" w:eastAsia="方正楷体_GBK" w:cs="宋体"/>
                <w:bCs/>
                <w:kern w:val="0"/>
                <w:sz w:val="28"/>
                <w:szCs w:val="28"/>
              </w:rPr>
              <w:t xml:space="preserve">  债务发行费用支出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13</w:t>
            </w:r>
          </w:p>
        </w:tc>
      </w:tr>
      <w:tr>
        <w:tblPrEx>
          <w:tblCellMar>
            <w:top w:w="0" w:type="dxa"/>
            <w:left w:w="108" w:type="dxa"/>
            <w:bottom w:w="0" w:type="dxa"/>
            <w:right w:w="108" w:type="dxa"/>
          </w:tblCellMar>
        </w:tblPrEx>
        <w:trPr>
          <w:trHeight w:val="375" w:hRule="atLeast"/>
          <w:jc w:val="center"/>
        </w:trPr>
        <w:tc>
          <w:tcPr>
            <w:tcW w:w="1064"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23304</w:t>
            </w:r>
          </w:p>
        </w:tc>
        <w:tc>
          <w:tcPr>
            <w:tcW w:w="7716"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8"/>
                <w:szCs w:val="28"/>
              </w:rPr>
            </w:pPr>
            <w:r>
              <w:rPr>
                <w:rFonts w:hint="eastAsia" w:ascii="Times New Roman" w:hAnsi="Times New Roman" w:eastAsia="方正仿宋_GBK" w:cs="宋体"/>
                <w:bCs/>
                <w:kern w:val="0"/>
                <w:sz w:val="28"/>
                <w:szCs w:val="28"/>
              </w:rPr>
              <w:t xml:space="preserve">    地方政府专项债务发行费用支出</w:t>
            </w:r>
          </w:p>
        </w:tc>
        <w:tc>
          <w:tcPr>
            <w:tcW w:w="154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13</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2330411</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国有土地使用权出让金债务发行费用支出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7</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2330431</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土地储备专项债券发行费用支出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5</w:t>
            </w:r>
          </w:p>
        </w:tc>
      </w:tr>
      <w:tr>
        <w:tblPrEx>
          <w:tblCellMar>
            <w:top w:w="0" w:type="dxa"/>
            <w:left w:w="108" w:type="dxa"/>
            <w:bottom w:w="0" w:type="dxa"/>
            <w:right w:w="108" w:type="dxa"/>
          </w:tblCellMar>
        </w:tblPrEx>
        <w:trPr>
          <w:trHeight w:val="375"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2330433</w:t>
            </w:r>
          </w:p>
        </w:tc>
        <w:tc>
          <w:tcPr>
            <w:tcW w:w="7716"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棚户区改造专项债券发行费用支出</w:t>
            </w:r>
          </w:p>
        </w:tc>
        <w:tc>
          <w:tcPr>
            <w:tcW w:w="1540" w:type="dxa"/>
            <w:tcBorders>
              <w:top w:val="single" w:color="auto" w:sz="4" w:space="0"/>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p>
        </w:tc>
      </w:tr>
    </w:tbl>
    <w:p>
      <w:pPr>
        <w:widowControl/>
        <w:adjustRightInd w:val="0"/>
        <w:snapToGrid w:val="0"/>
        <w:spacing w:line="600" w:lineRule="exact"/>
        <w:ind w:firstLine="880" w:firstLineChars="200"/>
        <w:jc w:val="center"/>
        <w:rPr>
          <w:rFonts w:ascii="Times New Roman" w:hAnsi="Times New Roman" w:eastAsia="方正小标宋_GBK"/>
          <w:sz w:val="44"/>
          <w:szCs w:val="44"/>
        </w:rPr>
      </w:pPr>
    </w:p>
    <w:p>
      <w:pPr>
        <w:widowControl/>
        <w:adjustRightInd w:val="0"/>
        <w:snapToGrid w:val="0"/>
        <w:spacing w:line="600" w:lineRule="exact"/>
        <w:ind w:firstLine="880" w:firstLineChars="200"/>
        <w:jc w:val="center"/>
        <w:rPr>
          <w:rFonts w:ascii="Times New Roman" w:hAnsi="Times New Roman" w:eastAsia="方正小标宋_GBK"/>
          <w:sz w:val="44"/>
          <w:szCs w:val="44"/>
        </w:rPr>
      </w:pPr>
    </w:p>
    <w:p>
      <w:pPr>
        <w:widowControl/>
        <w:adjustRightInd w:val="0"/>
        <w:snapToGrid w:val="0"/>
        <w:spacing w:line="600" w:lineRule="exact"/>
        <w:ind w:firstLine="880" w:firstLineChars="200"/>
        <w:jc w:val="center"/>
        <w:rPr>
          <w:rFonts w:ascii="Times New Roman" w:hAnsi="Times New Roman" w:eastAsia="方正小标宋_GBK"/>
          <w:sz w:val="44"/>
          <w:szCs w:val="44"/>
        </w:rPr>
      </w:pPr>
    </w:p>
    <w:p>
      <w:pPr>
        <w:widowControl/>
        <w:adjustRightInd w:val="0"/>
        <w:snapToGrid w:val="0"/>
        <w:spacing w:line="600" w:lineRule="exact"/>
        <w:ind w:firstLine="880" w:firstLineChars="200"/>
        <w:jc w:val="center"/>
        <w:rPr>
          <w:rFonts w:ascii="Times New Roman" w:hAnsi="Times New Roman" w:eastAsia="方正小标宋_GBK"/>
          <w:sz w:val="44"/>
          <w:szCs w:val="44"/>
        </w:rPr>
      </w:pPr>
    </w:p>
    <w:p>
      <w:pPr>
        <w:widowControl/>
        <w:adjustRightInd w:val="0"/>
        <w:snapToGrid w:val="0"/>
        <w:spacing w:line="600" w:lineRule="exact"/>
        <w:ind w:firstLine="880" w:firstLineChars="200"/>
        <w:jc w:val="center"/>
        <w:rPr>
          <w:rFonts w:ascii="Times New Roman" w:hAnsi="Times New Roman" w:eastAsia="方正小标宋_GBK"/>
          <w:sz w:val="44"/>
          <w:szCs w:val="44"/>
        </w:rPr>
      </w:pPr>
    </w:p>
    <w:p>
      <w:pPr>
        <w:widowControl/>
        <w:adjustRightInd w:val="0"/>
        <w:snapToGrid w:val="0"/>
        <w:spacing w:line="600" w:lineRule="exact"/>
        <w:ind w:firstLine="880" w:firstLineChars="200"/>
        <w:jc w:val="center"/>
        <w:rPr>
          <w:rFonts w:ascii="Times New Roman" w:hAnsi="Times New Roman" w:eastAsia="方正小标宋_GBK"/>
          <w:sz w:val="44"/>
          <w:szCs w:val="44"/>
        </w:rPr>
      </w:pPr>
    </w:p>
    <w:p>
      <w:pPr>
        <w:widowControl/>
        <w:adjustRightInd w:val="0"/>
        <w:snapToGrid w:val="0"/>
        <w:spacing w:line="600" w:lineRule="exact"/>
        <w:ind w:firstLine="880" w:firstLineChars="200"/>
        <w:jc w:val="center"/>
        <w:rPr>
          <w:rFonts w:ascii="Times New Roman" w:hAnsi="Times New Roman" w:eastAsia="方正小标宋_GBK"/>
          <w:sz w:val="44"/>
          <w:szCs w:val="44"/>
        </w:rPr>
      </w:pPr>
    </w:p>
    <w:p>
      <w:pPr>
        <w:widowControl/>
        <w:adjustRightInd w:val="0"/>
        <w:snapToGrid w:val="0"/>
        <w:spacing w:line="600" w:lineRule="exact"/>
        <w:ind w:firstLine="880" w:firstLineChars="200"/>
        <w:jc w:val="center"/>
        <w:rPr>
          <w:rFonts w:ascii="Times New Roman" w:hAnsi="Times New Roman" w:eastAsia="方正小标宋_GBK"/>
          <w:sz w:val="44"/>
          <w:szCs w:val="44"/>
        </w:rPr>
      </w:pPr>
    </w:p>
    <w:p>
      <w:pPr>
        <w:widowControl/>
        <w:adjustRightInd w:val="0"/>
        <w:snapToGrid w:val="0"/>
        <w:spacing w:line="600" w:lineRule="exact"/>
        <w:ind w:firstLine="880" w:firstLineChars="200"/>
        <w:jc w:val="center"/>
        <w:rPr>
          <w:rFonts w:ascii="Times New Roman" w:hAnsi="Times New Roman" w:eastAsia="方正小标宋_GBK"/>
          <w:sz w:val="44"/>
          <w:szCs w:val="44"/>
        </w:rPr>
      </w:pPr>
    </w:p>
    <w:p>
      <w:pPr>
        <w:widowControl/>
        <w:adjustRightInd w:val="0"/>
        <w:snapToGrid w:val="0"/>
        <w:spacing w:line="600" w:lineRule="exact"/>
        <w:ind w:firstLine="880" w:firstLineChars="200"/>
        <w:jc w:val="center"/>
        <w:rPr>
          <w:rFonts w:ascii="Times New Roman" w:hAnsi="Times New Roman" w:eastAsia="方正小标宋_GBK"/>
          <w:sz w:val="44"/>
          <w:szCs w:val="44"/>
        </w:rPr>
      </w:pPr>
    </w:p>
    <w:p>
      <w:pPr>
        <w:widowControl/>
        <w:adjustRightInd w:val="0"/>
        <w:snapToGrid w:val="0"/>
        <w:spacing w:line="600" w:lineRule="exact"/>
        <w:ind w:firstLine="880" w:firstLineChars="200"/>
        <w:jc w:val="center"/>
        <w:rPr>
          <w:rFonts w:ascii="Times New Roman" w:hAnsi="Times New Roman" w:eastAsia="方正小标宋_GBK"/>
          <w:sz w:val="44"/>
          <w:szCs w:val="44"/>
        </w:rPr>
        <w:sectPr>
          <w:pgSz w:w="11906" w:h="16838"/>
          <w:pgMar w:top="1985" w:right="1446" w:bottom="1644" w:left="1446" w:header="851" w:footer="1474" w:gutter="0"/>
          <w:cols w:space="425" w:num="1"/>
          <w:docGrid w:type="lines" w:linePitch="312" w:charSpace="0"/>
        </w:sectPr>
      </w:pPr>
    </w:p>
    <w:p>
      <w:pPr>
        <w:adjustRightInd w:val="0"/>
        <w:snapToGrid w:val="0"/>
        <w:spacing w:line="600" w:lineRule="exact"/>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表10</w:t>
      </w:r>
    </w:p>
    <w:p>
      <w:pPr>
        <w:widowControl/>
        <w:adjustRightInd w:val="0"/>
        <w:snapToGrid w:val="0"/>
        <w:spacing w:line="600" w:lineRule="exact"/>
        <w:ind w:firstLine="880" w:firstLineChars="20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九龙坡区2022年区级政府性基金预算转移支付收支执行表</w:t>
      </w:r>
    </w:p>
    <w:p>
      <w:pPr>
        <w:adjustRightInd w:val="0"/>
        <w:snapToGrid w:val="0"/>
        <w:spacing w:line="60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5619" w:type="pct"/>
        <w:jc w:val="center"/>
        <w:tblLayout w:type="autofit"/>
        <w:tblCellMar>
          <w:top w:w="0" w:type="dxa"/>
          <w:left w:w="108" w:type="dxa"/>
          <w:bottom w:w="0" w:type="dxa"/>
          <w:right w:w="108" w:type="dxa"/>
        </w:tblCellMar>
      </w:tblPr>
      <w:tblGrid>
        <w:gridCol w:w="4677"/>
        <w:gridCol w:w="1245"/>
        <w:gridCol w:w="3524"/>
        <w:gridCol w:w="4251"/>
        <w:gridCol w:w="1390"/>
      </w:tblGrid>
      <w:tr>
        <w:tblPrEx>
          <w:tblCellMar>
            <w:top w:w="0" w:type="dxa"/>
            <w:left w:w="108" w:type="dxa"/>
            <w:bottom w:w="0" w:type="dxa"/>
            <w:right w:w="108" w:type="dxa"/>
          </w:tblCellMar>
        </w:tblPrEx>
        <w:trPr>
          <w:trHeight w:val="480" w:hRule="atLeast"/>
          <w:jc w:val="center"/>
        </w:trPr>
        <w:tc>
          <w:tcPr>
            <w:tcW w:w="467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400" w:lineRule="exact"/>
              <w:jc w:val="center"/>
              <w:rPr>
                <w:rFonts w:ascii="Times New Roman" w:hAnsi="Times New Roman" w:eastAsia="黑体" w:cs="宋体"/>
                <w:kern w:val="0"/>
                <w:sz w:val="28"/>
                <w:szCs w:val="28"/>
              </w:rPr>
            </w:pPr>
            <w:r>
              <w:rPr>
                <w:rFonts w:hint="eastAsia" w:ascii="Times New Roman" w:hAnsi="Times New Roman" w:eastAsia="黑体" w:cs="宋体"/>
                <w:kern w:val="0"/>
                <w:sz w:val="28"/>
                <w:szCs w:val="28"/>
              </w:rPr>
              <w:t>收       入</w:t>
            </w:r>
          </w:p>
        </w:tc>
        <w:tc>
          <w:tcPr>
            <w:tcW w:w="1245"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center"/>
              <w:rPr>
                <w:rFonts w:ascii="Times New Roman" w:hAnsi="Times New Roman" w:eastAsia="黑体" w:cs="宋体"/>
                <w:kern w:val="0"/>
                <w:sz w:val="28"/>
                <w:szCs w:val="28"/>
              </w:rPr>
            </w:pPr>
            <w:r>
              <w:rPr>
                <w:rFonts w:hint="eastAsia" w:ascii="Times New Roman" w:hAnsi="Times New Roman" w:eastAsia="黑体" w:cs="宋体"/>
                <w:kern w:val="0"/>
                <w:sz w:val="28"/>
                <w:szCs w:val="28"/>
              </w:rPr>
              <w:t>执行数</w:t>
            </w:r>
          </w:p>
        </w:tc>
        <w:tc>
          <w:tcPr>
            <w:tcW w:w="3524"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center"/>
              <w:rPr>
                <w:rFonts w:ascii="Times New Roman" w:hAnsi="Times New Roman" w:eastAsia="黑体" w:cs="宋体"/>
                <w:kern w:val="0"/>
                <w:sz w:val="28"/>
                <w:szCs w:val="28"/>
              </w:rPr>
            </w:pPr>
            <w:r>
              <w:rPr>
                <w:rFonts w:hint="eastAsia" w:ascii="Times New Roman" w:hAnsi="Times New Roman" w:eastAsia="黑体" w:cs="宋体"/>
                <w:kern w:val="0"/>
                <w:sz w:val="28"/>
                <w:szCs w:val="28"/>
              </w:rPr>
              <w:t>支        出</w:t>
            </w:r>
          </w:p>
        </w:tc>
        <w:tc>
          <w:tcPr>
            <w:tcW w:w="4251"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center"/>
              <w:rPr>
                <w:rFonts w:ascii="Times New Roman" w:hAnsi="Times New Roman" w:eastAsia="黑体" w:cs="宋体"/>
                <w:kern w:val="0"/>
                <w:sz w:val="28"/>
                <w:szCs w:val="28"/>
              </w:rPr>
            </w:pPr>
            <w:r>
              <w:rPr>
                <w:rFonts w:hint="eastAsia" w:ascii="Times New Roman" w:hAnsi="Times New Roman" w:eastAsia="黑体" w:cs="宋体"/>
                <w:kern w:val="0"/>
                <w:sz w:val="28"/>
                <w:szCs w:val="28"/>
              </w:rPr>
              <w:t>支        出</w:t>
            </w:r>
          </w:p>
        </w:tc>
        <w:tc>
          <w:tcPr>
            <w:tcW w:w="1390"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center"/>
              <w:rPr>
                <w:rFonts w:ascii="Times New Roman" w:hAnsi="Times New Roman" w:eastAsia="黑体" w:cs="宋体"/>
                <w:kern w:val="0"/>
                <w:sz w:val="28"/>
                <w:szCs w:val="28"/>
              </w:rPr>
            </w:pPr>
            <w:r>
              <w:rPr>
                <w:rFonts w:hint="eastAsia" w:ascii="Times New Roman" w:hAnsi="Times New Roman" w:eastAsia="黑体" w:cs="宋体"/>
                <w:kern w:val="0"/>
                <w:sz w:val="28"/>
                <w:szCs w:val="28"/>
              </w:rPr>
              <w:t>执行数</w:t>
            </w:r>
          </w:p>
        </w:tc>
      </w:tr>
      <w:tr>
        <w:tblPrEx>
          <w:tblCellMar>
            <w:top w:w="0" w:type="dxa"/>
            <w:left w:w="108" w:type="dxa"/>
            <w:bottom w:w="0" w:type="dxa"/>
            <w:right w:w="108" w:type="dxa"/>
          </w:tblCellMar>
        </w:tblPrEx>
        <w:trPr>
          <w:trHeight w:val="480" w:hRule="atLeast"/>
          <w:jc w:val="center"/>
        </w:trPr>
        <w:tc>
          <w:tcPr>
            <w:tcW w:w="467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上级补助收入</w:t>
            </w:r>
          </w:p>
        </w:tc>
        <w:tc>
          <w:tcPr>
            <w:tcW w:w="124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 xml:space="preserve">1014897 </w:t>
            </w:r>
          </w:p>
        </w:tc>
        <w:tc>
          <w:tcPr>
            <w:tcW w:w="352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补助镇支出</w:t>
            </w:r>
          </w:p>
        </w:tc>
        <w:tc>
          <w:tcPr>
            <w:tcW w:w="4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补助镇支出</w:t>
            </w:r>
          </w:p>
        </w:tc>
        <w:tc>
          <w:tcPr>
            <w:tcW w:w="139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2102 </w:t>
            </w:r>
          </w:p>
        </w:tc>
      </w:tr>
      <w:tr>
        <w:tblPrEx>
          <w:tblCellMar>
            <w:top w:w="0" w:type="dxa"/>
            <w:left w:w="108" w:type="dxa"/>
            <w:bottom w:w="0" w:type="dxa"/>
            <w:right w:w="108" w:type="dxa"/>
          </w:tblCellMar>
        </w:tblPrEx>
        <w:trPr>
          <w:trHeight w:val="480" w:hRule="atLeast"/>
          <w:jc w:val="center"/>
        </w:trPr>
        <w:tc>
          <w:tcPr>
            <w:tcW w:w="4677"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大中型水库移民后期扶持基金</w:t>
            </w:r>
          </w:p>
        </w:tc>
        <w:tc>
          <w:tcPr>
            <w:tcW w:w="124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31 </w:t>
            </w:r>
          </w:p>
        </w:tc>
        <w:tc>
          <w:tcPr>
            <w:tcW w:w="352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国有土地使用权出让收入安排的支出</w:t>
            </w:r>
          </w:p>
        </w:tc>
        <w:tc>
          <w:tcPr>
            <w:tcW w:w="425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国有土地使用权出让收入安排的支出</w:t>
            </w:r>
          </w:p>
        </w:tc>
        <w:tc>
          <w:tcPr>
            <w:tcW w:w="139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1351 </w:t>
            </w:r>
          </w:p>
        </w:tc>
      </w:tr>
      <w:tr>
        <w:tblPrEx>
          <w:tblCellMar>
            <w:top w:w="0" w:type="dxa"/>
            <w:left w:w="108" w:type="dxa"/>
            <w:bottom w:w="0" w:type="dxa"/>
            <w:right w:w="108" w:type="dxa"/>
          </w:tblCellMar>
        </w:tblPrEx>
        <w:trPr>
          <w:trHeight w:val="420" w:hRule="atLeast"/>
          <w:jc w:val="center"/>
        </w:trPr>
        <w:tc>
          <w:tcPr>
            <w:tcW w:w="4677"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国有土地使用权出让收入安排的支出</w:t>
            </w:r>
          </w:p>
        </w:tc>
        <w:tc>
          <w:tcPr>
            <w:tcW w:w="124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982632 </w:t>
            </w:r>
          </w:p>
        </w:tc>
        <w:tc>
          <w:tcPr>
            <w:tcW w:w="352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三峡水库库区基金</w:t>
            </w:r>
          </w:p>
        </w:tc>
        <w:tc>
          <w:tcPr>
            <w:tcW w:w="425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彩票公益金安排的支出</w:t>
            </w:r>
          </w:p>
        </w:tc>
        <w:tc>
          <w:tcPr>
            <w:tcW w:w="139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387 </w:t>
            </w:r>
          </w:p>
        </w:tc>
      </w:tr>
      <w:tr>
        <w:tblPrEx>
          <w:tblCellMar>
            <w:top w:w="0" w:type="dxa"/>
            <w:left w:w="108" w:type="dxa"/>
            <w:bottom w:w="0" w:type="dxa"/>
            <w:right w:w="108" w:type="dxa"/>
          </w:tblCellMar>
        </w:tblPrEx>
        <w:trPr>
          <w:trHeight w:val="420" w:hRule="atLeast"/>
          <w:jc w:val="center"/>
        </w:trPr>
        <w:tc>
          <w:tcPr>
            <w:tcW w:w="4677"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国有土地收益基金安排的支出</w:t>
            </w:r>
          </w:p>
        </w:tc>
        <w:tc>
          <w:tcPr>
            <w:tcW w:w="124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22354 </w:t>
            </w:r>
          </w:p>
        </w:tc>
        <w:tc>
          <w:tcPr>
            <w:tcW w:w="352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彩票公益金安排的支出</w:t>
            </w:r>
          </w:p>
        </w:tc>
        <w:tc>
          <w:tcPr>
            <w:tcW w:w="425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三峡后续工作</w:t>
            </w:r>
          </w:p>
        </w:tc>
        <w:tc>
          <w:tcPr>
            <w:tcW w:w="139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219 </w:t>
            </w:r>
          </w:p>
        </w:tc>
      </w:tr>
      <w:tr>
        <w:tblPrEx>
          <w:tblCellMar>
            <w:top w:w="0" w:type="dxa"/>
            <w:left w:w="108" w:type="dxa"/>
            <w:bottom w:w="0" w:type="dxa"/>
            <w:right w:w="108" w:type="dxa"/>
          </w:tblCellMar>
        </w:tblPrEx>
        <w:trPr>
          <w:trHeight w:val="420" w:hRule="atLeast"/>
          <w:jc w:val="center"/>
        </w:trPr>
        <w:tc>
          <w:tcPr>
            <w:tcW w:w="4677"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城市基础设施配套费安排的支出</w:t>
            </w:r>
          </w:p>
        </w:tc>
        <w:tc>
          <w:tcPr>
            <w:tcW w:w="124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3319 </w:t>
            </w:r>
          </w:p>
        </w:tc>
        <w:tc>
          <w:tcPr>
            <w:tcW w:w="352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ind w:firstLine="280" w:firstLineChars="100"/>
              <w:jc w:val="left"/>
              <w:rPr>
                <w:rFonts w:ascii="Times New Roman" w:hAnsi="Times New Roman" w:eastAsia="宋体" w:cs="宋体"/>
                <w:kern w:val="0"/>
                <w:sz w:val="28"/>
                <w:szCs w:val="28"/>
              </w:rPr>
            </w:pPr>
            <w:r>
              <w:rPr>
                <w:rFonts w:hint="eastAsia" w:ascii="Times New Roman" w:hAnsi="Times New Roman" w:eastAsia="宋体" w:cs="宋体"/>
                <w:kern w:val="0"/>
                <w:sz w:val="28"/>
                <w:szCs w:val="28"/>
              </w:rPr>
              <w:t>　</w:t>
            </w:r>
          </w:p>
        </w:tc>
        <w:tc>
          <w:tcPr>
            <w:tcW w:w="425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农村基础设施建设支出</w:t>
            </w:r>
          </w:p>
        </w:tc>
        <w:tc>
          <w:tcPr>
            <w:tcW w:w="139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145 </w:t>
            </w:r>
          </w:p>
        </w:tc>
      </w:tr>
      <w:tr>
        <w:tblPrEx>
          <w:tblCellMar>
            <w:top w:w="0" w:type="dxa"/>
            <w:left w:w="108" w:type="dxa"/>
            <w:bottom w:w="0" w:type="dxa"/>
            <w:right w:w="108" w:type="dxa"/>
          </w:tblCellMar>
        </w:tblPrEx>
        <w:trPr>
          <w:trHeight w:val="420" w:hRule="atLeast"/>
          <w:jc w:val="center"/>
        </w:trPr>
        <w:tc>
          <w:tcPr>
            <w:tcW w:w="4677"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三峡水库库区基金支出</w:t>
            </w:r>
          </w:p>
        </w:tc>
        <w:tc>
          <w:tcPr>
            <w:tcW w:w="124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27 </w:t>
            </w:r>
          </w:p>
        </w:tc>
        <w:tc>
          <w:tcPr>
            <w:tcW w:w="352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ind w:firstLine="280" w:firstLineChars="100"/>
              <w:jc w:val="left"/>
              <w:rPr>
                <w:rFonts w:ascii="Times New Roman" w:hAnsi="Times New Roman" w:eastAsia="宋体" w:cs="宋体"/>
                <w:kern w:val="0"/>
                <w:sz w:val="28"/>
                <w:szCs w:val="28"/>
              </w:rPr>
            </w:pPr>
            <w:r>
              <w:rPr>
                <w:rFonts w:hint="eastAsia" w:ascii="Times New Roman" w:hAnsi="Times New Roman" w:eastAsia="宋体" w:cs="宋体"/>
                <w:kern w:val="0"/>
                <w:sz w:val="28"/>
                <w:szCs w:val="28"/>
              </w:rPr>
              <w:t>　</w:t>
            </w:r>
          </w:p>
        </w:tc>
        <w:tc>
          <w:tcPr>
            <w:tcW w:w="425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ind w:firstLine="280" w:firstLineChars="100"/>
              <w:jc w:val="left"/>
              <w:rPr>
                <w:rFonts w:ascii="Times New Roman" w:hAnsi="Times New Roman" w:eastAsia="宋体" w:cs="宋体"/>
                <w:kern w:val="0"/>
                <w:sz w:val="28"/>
                <w:szCs w:val="28"/>
              </w:rPr>
            </w:pPr>
          </w:p>
        </w:tc>
        <w:tc>
          <w:tcPr>
            <w:tcW w:w="139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宋体" w:cs="宋体"/>
                <w:kern w:val="0"/>
                <w:sz w:val="28"/>
                <w:szCs w:val="28"/>
              </w:rPr>
            </w:pPr>
            <w:r>
              <w:rPr>
                <w:rFonts w:hint="eastAsia" w:ascii="Times New Roman" w:hAnsi="Times New Roman" w:eastAsia="宋体" w:cs="宋体"/>
                <w:kern w:val="0"/>
                <w:sz w:val="28"/>
                <w:szCs w:val="28"/>
              </w:rPr>
              <w:t>　</w:t>
            </w:r>
          </w:p>
        </w:tc>
      </w:tr>
      <w:tr>
        <w:tblPrEx>
          <w:tblCellMar>
            <w:top w:w="0" w:type="dxa"/>
            <w:left w:w="108" w:type="dxa"/>
            <w:bottom w:w="0" w:type="dxa"/>
            <w:right w:w="108" w:type="dxa"/>
          </w:tblCellMar>
        </w:tblPrEx>
        <w:trPr>
          <w:trHeight w:val="420" w:hRule="atLeast"/>
          <w:jc w:val="center"/>
        </w:trPr>
        <w:tc>
          <w:tcPr>
            <w:tcW w:w="4677"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国家重大水利工程建设基金安排的支出</w:t>
            </w:r>
          </w:p>
        </w:tc>
        <w:tc>
          <w:tcPr>
            <w:tcW w:w="124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1928 </w:t>
            </w:r>
          </w:p>
        </w:tc>
        <w:tc>
          <w:tcPr>
            <w:tcW w:w="352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ind w:firstLine="280" w:firstLineChars="100"/>
              <w:jc w:val="left"/>
              <w:rPr>
                <w:rFonts w:ascii="Times New Roman" w:hAnsi="Times New Roman" w:eastAsia="宋体" w:cs="宋体"/>
                <w:kern w:val="0"/>
                <w:sz w:val="28"/>
                <w:szCs w:val="28"/>
              </w:rPr>
            </w:pPr>
            <w:r>
              <w:rPr>
                <w:rFonts w:hint="eastAsia" w:ascii="Times New Roman" w:hAnsi="Times New Roman" w:eastAsia="宋体" w:cs="宋体"/>
                <w:kern w:val="0"/>
                <w:sz w:val="28"/>
                <w:szCs w:val="28"/>
              </w:rPr>
              <w:t>　</w:t>
            </w:r>
          </w:p>
        </w:tc>
        <w:tc>
          <w:tcPr>
            <w:tcW w:w="425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ind w:firstLine="280" w:firstLineChars="100"/>
              <w:jc w:val="left"/>
              <w:rPr>
                <w:rFonts w:ascii="Times New Roman" w:hAnsi="Times New Roman" w:eastAsia="宋体" w:cs="宋体"/>
                <w:kern w:val="0"/>
                <w:sz w:val="28"/>
                <w:szCs w:val="28"/>
              </w:rPr>
            </w:pPr>
          </w:p>
        </w:tc>
        <w:tc>
          <w:tcPr>
            <w:tcW w:w="139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宋体" w:cs="宋体"/>
                <w:kern w:val="0"/>
                <w:sz w:val="28"/>
                <w:szCs w:val="28"/>
              </w:rPr>
            </w:pPr>
            <w:r>
              <w:rPr>
                <w:rFonts w:hint="eastAsia" w:ascii="Times New Roman" w:hAnsi="Times New Roman" w:eastAsia="宋体" w:cs="宋体"/>
                <w:kern w:val="0"/>
                <w:sz w:val="28"/>
                <w:szCs w:val="28"/>
              </w:rPr>
              <w:t>　</w:t>
            </w:r>
          </w:p>
        </w:tc>
      </w:tr>
      <w:tr>
        <w:tblPrEx>
          <w:tblCellMar>
            <w:top w:w="0" w:type="dxa"/>
            <w:left w:w="108" w:type="dxa"/>
            <w:bottom w:w="0" w:type="dxa"/>
            <w:right w:w="108" w:type="dxa"/>
          </w:tblCellMar>
        </w:tblPrEx>
        <w:trPr>
          <w:trHeight w:val="420" w:hRule="atLeast"/>
          <w:jc w:val="center"/>
        </w:trPr>
        <w:tc>
          <w:tcPr>
            <w:tcW w:w="4677"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彩票公益金安排的支出</w:t>
            </w:r>
          </w:p>
        </w:tc>
        <w:tc>
          <w:tcPr>
            <w:tcW w:w="124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4606 </w:t>
            </w:r>
          </w:p>
        </w:tc>
        <w:tc>
          <w:tcPr>
            <w:tcW w:w="352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ind w:firstLine="280" w:firstLineChars="100"/>
              <w:jc w:val="left"/>
              <w:rPr>
                <w:rFonts w:ascii="Times New Roman" w:hAnsi="Times New Roman" w:eastAsia="宋体" w:cs="宋体"/>
                <w:kern w:val="0"/>
                <w:sz w:val="28"/>
                <w:szCs w:val="28"/>
              </w:rPr>
            </w:pPr>
            <w:r>
              <w:rPr>
                <w:rFonts w:hint="eastAsia" w:ascii="Times New Roman" w:hAnsi="Times New Roman" w:eastAsia="宋体" w:cs="宋体"/>
                <w:kern w:val="0"/>
                <w:sz w:val="28"/>
                <w:szCs w:val="28"/>
              </w:rPr>
              <w:t>　</w:t>
            </w:r>
          </w:p>
        </w:tc>
        <w:tc>
          <w:tcPr>
            <w:tcW w:w="425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ind w:firstLine="280" w:firstLineChars="100"/>
              <w:jc w:val="left"/>
              <w:rPr>
                <w:rFonts w:ascii="Times New Roman" w:hAnsi="Times New Roman" w:eastAsia="宋体" w:cs="宋体"/>
                <w:kern w:val="0"/>
                <w:sz w:val="28"/>
                <w:szCs w:val="28"/>
              </w:rPr>
            </w:pPr>
          </w:p>
        </w:tc>
        <w:tc>
          <w:tcPr>
            <w:tcW w:w="139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宋体" w:cs="宋体"/>
                <w:kern w:val="0"/>
                <w:sz w:val="28"/>
                <w:szCs w:val="28"/>
              </w:rPr>
            </w:pPr>
            <w:r>
              <w:rPr>
                <w:rFonts w:hint="eastAsia" w:ascii="Times New Roman" w:hAnsi="Times New Roman" w:eastAsia="宋体" w:cs="宋体"/>
                <w:kern w:val="0"/>
                <w:sz w:val="28"/>
                <w:szCs w:val="28"/>
              </w:rPr>
              <w:t>　</w:t>
            </w:r>
          </w:p>
        </w:tc>
      </w:tr>
    </w:tbl>
    <w:p>
      <w:pPr>
        <w:widowControl/>
        <w:adjustRightInd w:val="0"/>
        <w:snapToGrid w:val="0"/>
        <w:spacing w:line="600" w:lineRule="exact"/>
        <w:ind w:firstLine="880" w:firstLineChars="200"/>
        <w:jc w:val="center"/>
        <w:rPr>
          <w:rFonts w:ascii="Times New Roman" w:hAnsi="Times New Roman" w:eastAsia="方正小标宋_GBK"/>
          <w:sz w:val="44"/>
          <w:szCs w:val="44"/>
        </w:rPr>
      </w:pPr>
    </w:p>
    <w:p>
      <w:pPr>
        <w:widowControl/>
        <w:adjustRightInd w:val="0"/>
        <w:snapToGrid w:val="0"/>
        <w:spacing w:line="600" w:lineRule="exact"/>
        <w:ind w:firstLine="880" w:firstLineChars="200"/>
        <w:jc w:val="center"/>
        <w:rPr>
          <w:rFonts w:ascii="Times New Roman" w:hAnsi="Times New Roman" w:eastAsia="方正小标宋_GBK"/>
          <w:sz w:val="44"/>
          <w:szCs w:val="44"/>
        </w:rPr>
      </w:pPr>
    </w:p>
    <w:p>
      <w:pPr>
        <w:adjustRightInd w:val="0"/>
        <w:snapToGrid w:val="0"/>
        <w:spacing w:line="600" w:lineRule="exact"/>
        <w:jc w:val="left"/>
        <w:rPr>
          <w:rFonts w:ascii="Times New Roman" w:hAnsi="Times New Roman" w:eastAsia="方正仿宋_GBK" w:cs="Times New Roman"/>
          <w:kern w:val="0"/>
          <w:sz w:val="32"/>
          <w:szCs w:val="32"/>
        </w:rPr>
      </w:pPr>
      <w:r>
        <w:rPr>
          <w:rFonts w:ascii="Times New Roman" w:hAnsi="Times New Roman" w:eastAsia="方正黑体_GBK" w:cs="Times New Roman"/>
          <w:kern w:val="0"/>
          <w:sz w:val="32"/>
          <w:szCs w:val="32"/>
        </w:rPr>
        <w:t>表11</w:t>
      </w:r>
    </w:p>
    <w:p>
      <w:pPr>
        <w:widowControl/>
        <w:adjustRightInd w:val="0"/>
        <w:snapToGrid w:val="0"/>
        <w:spacing w:line="600" w:lineRule="exact"/>
        <w:ind w:firstLine="880" w:firstLineChars="20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九龙坡区2022年区级国有资本经营预算收支执行表</w:t>
      </w:r>
    </w:p>
    <w:p>
      <w:pPr>
        <w:adjustRightInd w:val="0"/>
        <w:snapToGrid w:val="0"/>
        <w:spacing w:line="60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6048" w:type="pct"/>
        <w:jc w:val="center"/>
        <w:tblLayout w:type="fixed"/>
        <w:tblCellMar>
          <w:top w:w="0" w:type="dxa"/>
          <w:left w:w="108" w:type="dxa"/>
          <w:bottom w:w="0" w:type="dxa"/>
          <w:right w:w="108" w:type="dxa"/>
        </w:tblCellMar>
      </w:tblPr>
      <w:tblGrid>
        <w:gridCol w:w="1434"/>
        <w:gridCol w:w="962"/>
        <w:gridCol w:w="839"/>
        <w:gridCol w:w="955"/>
        <w:gridCol w:w="992"/>
        <w:gridCol w:w="1276"/>
        <w:gridCol w:w="1276"/>
        <w:gridCol w:w="1662"/>
        <w:gridCol w:w="826"/>
        <w:gridCol w:w="1134"/>
        <w:gridCol w:w="992"/>
        <w:gridCol w:w="993"/>
        <w:gridCol w:w="1275"/>
        <w:gridCol w:w="1623"/>
      </w:tblGrid>
      <w:tr>
        <w:tblPrEx>
          <w:tblCellMar>
            <w:top w:w="0" w:type="dxa"/>
            <w:left w:w="108" w:type="dxa"/>
            <w:bottom w:w="0" w:type="dxa"/>
            <w:right w:w="108" w:type="dxa"/>
          </w:tblCellMar>
        </w:tblPrEx>
        <w:trPr>
          <w:trHeight w:val="20" w:hRule="atLeast"/>
          <w:tblHeader/>
          <w:jc w:val="center"/>
        </w:trPr>
        <w:tc>
          <w:tcPr>
            <w:tcW w:w="143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收      入</w:t>
            </w:r>
          </w:p>
        </w:tc>
        <w:tc>
          <w:tcPr>
            <w:tcW w:w="962"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预算数</w:t>
            </w:r>
          </w:p>
        </w:tc>
        <w:tc>
          <w:tcPr>
            <w:tcW w:w="839"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调整预算数</w:t>
            </w:r>
          </w:p>
        </w:tc>
        <w:tc>
          <w:tcPr>
            <w:tcW w:w="955"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变动预算数</w:t>
            </w:r>
          </w:p>
        </w:tc>
        <w:tc>
          <w:tcPr>
            <w:tcW w:w="992"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w:t>
            </w:r>
          </w:p>
        </w:tc>
        <w:tc>
          <w:tcPr>
            <w:tcW w:w="1276"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为变动预算数%</w:t>
            </w:r>
          </w:p>
        </w:tc>
        <w:tc>
          <w:tcPr>
            <w:tcW w:w="1276"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执行数比</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上年决算</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数增长%</w:t>
            </w:r>
          </w:p>
        </w:tc>
        <w:tc>
          <w:tcPr>
            <w:tcW w:w="1662"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支       出</w:t>
            </w:r>
          </w:p>
        </w:tc>
        <w:tc>
          <w:tcPr>
            <w:tcW w:w="826"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预算数</w:t>
            </w:r>
          </w:p>
        </w:tc>
        <w:tc>
          <w:tcPr>
            <w:tcW w:w="1134"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调整预算数</w:t>
            </w:r>
          </w:p>
        </w:tc>
        <w:tc>
          <w:tcPr>
            <w:tcW w:w="992"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变动预算数</w:t>
            </w:r>
          </w:p>
        </w:tc>
        <w:tc>
          <w:tcPr>
            <w:tcW w:w="993"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w:t>
            </w:r>
          </w:p>
        </w:tc>
        <w:tc>
          <w:tcPr>
            <w:tcW w:w="1275"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为变动预算数%</w:t>
            </w:r>
          </w:p>
        </w:tc>
        <w:tc>
          <w:tcPr>
            <w:tcW w:w="1623"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执行数比</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上年决算</w:t>
            </w:r>
            <w:r>
              <w:rPr>
                <w:rFonts w:hint="eastAsia" w:ascii="Times New Roman" w:hAnsi="Times New Roman" w:eastAsia="方正黑体_GBK" w:cs="宋体"/>
                <w:kern w:val="0"/>
                <w:sz w:val="24"/>
                <w:szCs w:val="24"/>
              </w:rPr>
              <w:br w:type="textWrapping"/>
            </w:r>
            <w:r>
              <w:rPr>
                <w:rFonts w:hint="eastAsia" w:ascii="Times New Roman" w:hAnsi="Times New Roman" w:eastAsia="方正黑体_GBK" w:cs="宋体"/>
                <w:kern w:val="0"/>
                <w:sz w:val="24"/>
                <w:szCs w:val="24"/>
              </w:rPr>
              <w:t>数增长%</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总  计</w:t>
            </w: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19250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11431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11431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11431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w:t>
            </w:r>
          </w:p>
        </w:tc>
        <w:tc>
          <w:tcPr>
            <w:tcW w:w="16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总  计</w:t>
            </w: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19250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11431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11431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11431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p>
        </w:tc>
        <w:tc>
          <w:tcPr>
            <w:tcW w:w="162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本级收入合计</w:t>
            </w: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19242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11423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11423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11423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100.00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100.09 </w:t>
            </w:r>
          </w:p>
        </w:tc>
        <w:tc>
          <w:tcPr>
            <w:tcW w:w="16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本级支出合计</w:t>
            </w: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8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8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340" w:lineRule="atLeast"/>
              <w:jc w:val="left"/>
              <w:rPr>
                <w:rFonts w:ascii="Times New Roman" w:hAnsi="Times New Roman" w:eastAsia="方正楷体_GBK" w:cs="宋体"/>
                <w:bCs/>
                <w:color w:val="000000"/>
                <w:kern w:val="0"/>
                <w:sz w:val="24"/>
                <w:szCs w:val="24"/>
              </w:rPr>
            </w:pPr>
            <w:r>
              <w:rPr>
                <w:rFonts w:hint="eastAsia" w:ascii="Times New Roman" w:hAnsi="Times New Roman" w:eastAsia="方正楷体_GBK" w:cs="宋体"/>
                <w:bCs/>
                <w:color w:val="000000"/>
                <w:kern w:val="0"/>
                <w:sz w:val="24"/>
                <w:szCs w:val="24"/>
              </w:rPr>
              <w:t>一、利润收入</w:t>
            </w: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19242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11423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11423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11423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100.00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100.09 </w:t>
            </w:r>
          </w:p>
        </w:tc>
        <w:tc>
          <w:tcPr>
            <w:tcW w:w="16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楷体_GBK" w:cs="宋体"/>
                <w:bCs/>
                <w:color w:val="000000"/>
                <w:kern w:val="0"/>
                <w:sz w:val="24"/>
                <w:szCs w:val="24"/>
              </w:rPr>
            </w:pPr>
            <w:r>
              <w:rPr>
                <w:rFonts w:hint="eastAsia" w:ascii="Times New Roman" w:hAnsi="Times New Roman" w:eastAsia="方正楷体_GBK" w:cs="宋体"/>
                <w:bCs/>
                <w:color w:val="000000"/>
                <w:kern w:val="0"/>
                <w:sz w:val="24"/>
                <w:szCs w:val="24"/>
              </w:rPr>
              <w:t>一、解决历史遗留问题及改革成本支出</w:t>
            </w: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340" w:lineRule="atLeast"/>
              <w:jc w:val="left"/>
              <w:rPr>
                <w:rFonts w:ascii="Times New Roman" w:hAnsi="Times New Roman" w:eastAsia="方正楷体_GBK" w:cs="宋体"/>
                <w:bCs/>
                <w:color w:val="000000"/>
                <w:kern w:val="0"/>
                <w:sz w:val="24"/>
                <w:szCs w:val="24"/>
              </w:rPr>
            </w:pPr>
            <w:r>
              <w:rPr>
                <w:rFonts w:hint="eastAsia" w:ascii="Times New Roman" w:hAnsi="Times New Roman" w:eastAsia="方正楷体_GBK" w:cs="宋体"/>
                <w:bCs/>
                <w:color w:val="000000"/>
                <w:kern w:val="0"/>
                <w:sz w:val="24"/>
                <w:szCs w:val="24"/>
              </w:rPr>
              <w:t>二、股利、股息收入</w:t>
            </w: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66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“三供一业”移交补助支出</w:t>
            </w: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340" w:lineRule="atLeast"/>
              <w:jc w:val="left"/>
              <w:rPr>
                <w:rFonts w:ascii="Times New Roman" w:hAnsi="Times New Roman" w:eastAsia="方正楷体_GBK" w:cs="宋体"/>
                <w:bCs/>
                <w:color w:val="000000"/>
                <w:kern w:val="0"/>
                <w:sz w:val="24"/>
                <w:szCs w:val="24"/>
              </w:rPr>
            </w:pPr>
            <w:r>
              <w:rPr>
                <w:rFonts w:hint="eastAsia" w:ascii="Times New Roman" w:hAnsi="Times New Roman" w:eastAsia="方正楷体_GBK" w:cs="宋体"/>
                <w:bCs/>
                <w:color w:val="000000"/>
                <w:kern w:val="0"/>
                <w:sz w:val="24"/>
                <w:szCs w:val="24"/>
              </w:rPr>
              <w:t>三、产权转让收入</w:t>
            </w: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66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国有企业棚户区改造支出</w:t>
            </w: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340" w:lineRule="atLeast"/>
              <w:jc w:val="left"/>
              <w:rPr>
                <w:rFonts w:ascii="Times New Roman" w:hAnsi="Times New Roman" w:eastAsia="方正楷体_GBK" w:cs="宋体"/>
                <w:bCs/>
                <w:color w:val="000000"/>
                <w:kern w:val="0"/>
                <w:sz w:val="24"/>
                <w:szCs w:val="24"/>
              </w:rPr>
            </w:pPr>
            <w:r>
              <w:rPr>
                <w:rFonts w:hint="eastAsia" w:ascii="Times New Roman" w:hAnsi="Times New Roman" w:eastAsia="方正楷体_GBK" w:cs="宋体"/>
                <w:bCs/>
                <w:color w:val="000000"/>
                <w:kern w:val="0"/>
                <w:sz w:val="24"/>
                <w:szCs w:val="24"/>
              </w:rPr>
              <w:t>四、其他国有资本经营预算收入</w:t>
            </w: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66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国有企业改革成本支出</w:t>
            </w: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仿宋_GBK" w:cs="宋体"/>
                <w:color w:val="000000"/>
                <w:kern w:val="0"/>
                <w:sz w:val="24"/>
                <w:szCs w:val="24"/>
              </w:rPr>
            </w:pP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66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其他解决历史遗留问题及改革成本支出</w:t>
            </w: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仿宋_GBK" w:cs="宋体"/>
                <w:color w:val="000000"/>
                <w:kern w:val="0"/>
                <w:sz w:val="24"/>
                <w:szCs w:val="24"/>
              </w:rPr>
            </w:pP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66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left"/>
              <w:rPr>
                <w:rFonts w:ascii="Times New Roman" w:hAnsi="Times New Roman" w:eastAsia="方正楷体_GBK" w:cs="宋体"/>
                <w:bCs/>
                <w:color w:val="000000"/>
                <w:kern w:val="0"/>
                <w:sz w:val="24"/>
                <w:szCs w:val="24"/>
              </w:rPr>
            </w:pPr>
            <w:r>
              <w:rPr>
                <w:rFonts w:hint="eastAsia" w:ascii="Times New Roman" w:hAnsi="Times New Roman" w:eastAsia="方正楷体_GBK" w:cs="宋体"/>
                <w:bCs/>
                <w:color w:val="000000"/>
                <w:kern w:val="0"/>
                <w:sz w:val="24"/>
                <w:szCs w:val="24"/>
              </w:rPr>
              <w:t>二、国有企业资本金注入</w:t>
            </w: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仿宋_GBK" w:cs="宋体"/>
                <w:color w:val="000000"/>
                <w:kern w:val="0"/>
                <w:sz w:val="24"/>
                <w:szCs w:val="24"/>
              </w:rPr>
            </w:pP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66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其他国有企业资本金注入</w:t>
            </w: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宋体"/>
                <w:color w:val="000000"/>
                <w:kern w:val="0"/>
                <w:sz w:val="24"/>
                <w:szCs w:val="24"/>
              </w:rPr>
            </w:pP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66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left"/>
              <w:rPr>
                <w:rFonts w:ascii="Times New Roman" w:hAnsi="Times New Roman" w:eastAsia="宋体" w:cs="宋体"/>
                <w:color w:val="000000"/>
                <w:kern w:val="0"/>
                <w:sz w:val="24"/>
                <w:szCs w:val="24"/>
              </w:rPr>
            </w:pP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宋体"/>
                <w:color w:val="000000"/>
                <w:kern w:val="0"/>
                <w:sz w:val="24"/>
                <w:szCs w:val="24"/>
              </w:rPr>
            </w:pP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662"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340" w:lineRule="atLeast"/>
              <w:jc w:val="left"/>
              <w:rPr>
                <w:rFonts w:ascii="Times New Roman" w:hAnsi="Times New Roman" w:eastAsia="宋体" w:cs="宋体"/>
                <w:color w:val="000000"/>
                <w:kern w:val="0"/>
                <w:sz w:val="24"/>
                <w:szCs w:val="24"/>
              </w:rPr>
            </w:pP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bottom"/>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宋体"/>
                <w:color w:val="000000"/>
                <w:kern w:val="0"/>
                <w:sz w:val="24"/>
                <w:szCs w:val="24"/>
              </w:rPr>
            </w:pP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6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宋体"/>
                <w:color w:val="000000"/>
                <w:kern w:val="0"/>
                <w:sz w:val="24"/>
                <w:szCs w:val="24"/>
              </w:rPr>
            </w:pP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bottom"/>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宋体"/>
                <w:color w:val="000000"/>
                <w:kern w:val="0"/>
                <w:sz w:val="24"/>
                <w:szCs w:val="24"/>
              </w:rPr>
            </w:pP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6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宋体"/>
                <w:color w:val="000000"/>
                <w:kern w:val="0"/>
                <w:sz w:val="24"/>
                <w:szCs w:val="24"/>
              </w:rPr>
            </w:pP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bottom"/>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nil"/>
              <w:right w:val="single" w:color="auto" w:sz="4" w:space="0"/>
            </w:tcBorders>
            <w:shd w:val="clear" w:color="000000" w:fill="FFFFFF"/>
            <w:noWrap/>
            <w:vAlign w:val="bottom"/>
          </w:tcPr>
          <w:p>
            <w:pPr>
              <w:widowControl/>
              <w:adjustRightInd w:val="0"/>
              <w:snapToGrid w:val="0"/>
              <w:spacing w:line="340" w:lineRule="atLeast"/>
              <w:jc w:val="left"/>
              <w:rPr>
                <w:rFonts w:ascii="Times New Roman" w:hAnsi="Times New Roman" w:eastAsia="宋体" w:cs="宋体"/>
                <w:color w:val="000000"/>
                <w:kern w:val="0"/>
                <w:sz w:val="24"/>
                <w:szCs w:val="24"/>
              </w:rPr>
            </w:pPr>
          </w:p>
        </w:tc>
        <w:tc>
          <w:tcPr>
            <w:tcW w:w="962" w:type="dxa"/>
            <w:tcBorders>
              <w:top w:val="nil"/>
              <w:left w:val="nil"/>
              <w:bottom w:val="nil"/>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839" w:type="dxa"/>
            <w:tcBorders>
              <w:top w:val="nil"/>
              <w:left w:val="nil"/>
              <w:bottom w:val="nil"/>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55" w:type="dxa"/>
            <w:tcBorders>
              <w:top w:val="nil"/>
              <w:left w:val="nil"/>
              <w:bottom w:val="nil"/>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992" w:type="dxa"/>
            <w:tcBorders>
              <w:top w:val="nil"/>
              <w:left w:val="nil"/>
              <w:bottom w:val="nil"/>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276" w:type="dxa"/>
            <w:tcBorders>
              <w:top w:val="nil"/>
              <w:left w:val="nil"/>
              <w:bottom w:val="nil"/>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276" w:type="dxa"/>
            <w:tcBorders>
              <w:top w:val="nil"/>
              <w:left w:val="nil"/>
              <w:bottom w:val="nil"/>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6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宋体"/>
                <w:color w:val="000000"/>
                <w:kern w:val="0"/>
                <w:sz w:val="24"/>
                <w:szCs w:val="24"/>
              </w:rPr>
            </w:pP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转移性收入合计</w:t>
            </w:r>
          </w:p>
        </w:tc>
        <w:tc>
          <w:tcPr>
            <w:tcW w:w="962"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8 </w:t>
            </w:r>
          </w:p>
        </w:tc>
        <w:tc>
          <w:tcPr>
            <w:tcW w:w="839"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8 </w:t>
            </w:r>
          </w:p>
        </w:tc>
        <w:tc>
          <w:tcPr>
            <w:tcW w:w="955"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8 </w:t>
            </w:r>
          </w:p>
        </w:tc>
        <w:tc>
          <w:tcPr>
            <w:tcW w:w="992"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8 </w:t>
            </w:r>
          </w:p>
        </w:tc>
        <w:tc>
          <w:tcPr>
            <w:tcW w:w="1276"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宋体"/>
                <w:bCs/>
                <w:kern w:val="0"/>
                <w:sz w:val="24"/>
                <w:szCs w:val="24"/>
              </w:rPr>
            </w:pPr>
            <w:r>
              <w:rPr>
                <w:rFonts w:hint="eastAsia" w:ascii="Times New Roman" w:hAnsi="Times New Roman" w:eastAsia="宋体" w:cs="宋体"/>
                <w:bCs/>
                <w:kern w:val="0"/>
                <w:sz w:val="24"/>
                <w:szCs w:val="24"/>
              </w:rPr>
              <w:t>-</w:t>
            </w:r>
          </w:p>
        </w:tc>
        <w:tc>
          <w:tcPr>
            <w:tcW w:w="1276"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宋体"/>
                <w:bCs/>
                <w:kern w:val="0"/>
                <w:sz w:val="24"/>
                <w:szCs w:val="24"/>
              </w:rPr>
            </w:pPr>
            <w:r>
              <w:rPr>
                <w:rFonts w:hint="eastAsia" w:ascii="Times New Roman" w:hAnsi="Times New Roman" w:eastAsia="宋体" w:cs="宋体"/>
                <w:bCs/>
                <w:kern w:val="0"/>
                <w:sz w:val="24"/>
                <w:szCs w:val="24"/>
              </w:rPr>
              <w:t>-</w:t>
            </w:r>
          </w:p>
        </w:tc>
        <w:tc>
          <w:tcPr>
            <w:tcW w:w="16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转移性支出合计</w:t>
            </w: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19242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11423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11431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11431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w:t>
            </w:r>
          </w:p>
        </w:tc>
        <w:tc>
          <w:tcPr>
            <w:tcW w:w="162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一、上级补助收入</w:t>
            </w: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6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一、调出资金</w:t>
            </w: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19242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11423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11431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11431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bottom"/>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20" w:hRule="atLeast"/>
          <w:jc w:val="center"/>
        </w:trPr>
        <w:tc>
          <w:tcPr>
            <w:tcW w:w="1434"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二、上年结转</w:t>
            </w:r>
          </w:p>
        </w:tc>
        <w:tc>
          <w:tcPr>
            <w:tcW w:w="9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c>
          <w:tcPr>
            <w:tcW w:w="839"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c>
          <w:tcPr>
            <w:tcW w:w="95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66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二、结转下年</w:t>
            </w:r>
          </w:p>
        </w:tc>
        <w:tc>
          <w:tcPr>
            <w:tcW w:w="82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atLeas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c>
          <w:tcPr>
            <w:tcW w:w="1623" w:type="dxa"/>
            <w:tcBorders>
              <w:top w:val="nil"/>
              <w:left w:val="nil"/>
              <w:bottom w:val="single" w:color="auto" w:sz="4" w:space="0"/>
              <w:right w:val="single" w:color="auto" w:sz="4" w:space="0"/>
            </w:tcBorders>
            <w:shd w:val="clear" w:color="000000" w:fill="FFFFFF"/>
            <w:noWrap/>
            <w:vAlign w:val="bottom"/>
          </w:tcPr>
          <w:p>
            <w:pPr>
              <w:widowControl/>
              <w:adjustRightInd w:val="0"/>
              <w:snapToGrid w:val="0"/>
              <w:spacing w:line="340" w:lineRule="atLeas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20" w:hRule="atLeast"/>
          <w:jc w:val="center"/>
        </w:trPr>
        <w:tc>
          <w:tcPr>
            <w:tcW w:w="16239" w:type="dxa"/>
            <w:gridSpan w:val="14"/>
            <w:tcBorders>
              <w:top w:val="nil"/>
              <w:left w:val="nil"/>
              <w:bottom w:val="nil"/>
              <w:right w:val="nil"/>
            </w:tcBorders>
            <w:shd w:val="clear" w:color="000000" w:fill="FFFFFF"/>
            <w:vAlign w:val="center"/>
          </w:tcPr>
          <w:p>
            <w:pPr>
              <w:widowControl/>
              <w:adjustRightInd w:val="0"/>
              <w:snapToGrid w:val="0"/>
              <w:spacing w:line="340" w:lineRule="atLeast"/>
              <w:jc w:val="left"/>
              <w:rPr>
                <w:rFonts w:ascii="Times New Roman" w:hAnsi="Times New Roman" w:eastAsia="宋体" w:cs="Times New Roman"/>
                <w:color w:val="000000"/>
                <w:kern w:val="0"/>
                <w:sz w:val="22"/>
              </w:rPr>
            </w:pPr>
            <w:r>
              <w:rPr>
                <w:rFonts w:hint="eastAsia" w:ascii="Times New Roman" w:hAnsi="Times New Roman" w:eastAsia="方正仿宋_GBK" w:cs="Times New Roman"/>
                <w:color w:val="000000"/>
                <w:kern w:val="0"/>
                <w:sz w:val="22"/>
              </w:rPr>
              <w:t>注：</w:t>
            </w:r>
            <w:r>
              <w:rPr>
                <w:rFonts w:ascii="Times New Roman" w:hAnsi="Times New Roman" w:eastAsia="宋体" w:cs="Times New Roman"/>
                <w:color w:val="000000"/>
                <w:kern w:val="0"/>
                <w:sz w:val="22"/>
              </w:rPr>
              <w:t>1.</w:t>
            </w:r>
            <w:r>
              <w:rPr>
                <w:rFonts w:hint="eastAsia" w:ascii="Times New Roman" w:hAnsi="Times New Roman" w:eastAsia="方正仿宋_GBK" w:cs="Times New Roman"/>
                <w:color w:val="000000"/>
                <w:kern w:val="0"/>
                <w:sz w:val="22"/>
              </w:rPr>
              <w:t>本表直观反映</w:t>
            </w:r>
            <w:r>
              <w:rPr>
                <w:rFonts w:ascii="Times New Roman" w:hAnsi="Times New Roman" w:eastAsia="宋体" w:cs="Times New Roman"/>
                <w:color w:val="000000"/>
                <w:kern w:val="0"/>
                <w:sz w:val="22"/>
              </w:rPr>
              <w:t>2022</w:t>
            </w:r>
            <w:r>
              <w:rPr>
                <w:rFonts w:hint="eastAsia" w:ascii="Times New Roman" w:hAnsi="Times New Roman" w:eastAsia="方正仿宋_GBK" w:cs="Times New Roman"/>
                <w:color w:val="000000"/>
                <w:kern w:val="0"/>
                <w:sz w:val="22"/>
              </w:rPr>
              <w:t>年国有资本经营预算收入与支出的平衡关系。</w:t>
            </w:r>
            <w:r>
              <w:rPr>
                <w:rFonts w:hint="eastAsia" w:ascii="Times New Roman" w:hAnsi="Times New Roman" w:eastAsia="方正仿宋_GBK" w:cs="Times New Roman"/>
                <w:color w:val="000000"/>
                <w:kern w:val="0"/>
                <w:sz w:val="22"/>
              </w:rPr>
              <w:br w:type="page"/>
            </w:r>
            <w:r>
              <w:rPr>
                <w:rFonts w:ascii="Times New Roman" w:hAnsi="Times New Roman" w:eastAsia="宋体" w:cs="Times New Roman"/>
                <w:color w:val="000000"/>
                <w:kern w:val="0"/>
                <w:sz w:val="22"/>
              </w:rPr>
              <w:t xml:space="preserve">        </w:t>
            </w:r>
          </w:p>
          <w:p>
            <w:pPr>
              <w:widowControl/>
              <w:adjustRightInd w:val="0"/>
              <w:snapToGrid w:val="0"/>
              <w:spacing w:line="340" w:lineRule="atLeast"/>
              <w:ind w:firstLine="440" w:firstLineChars="200"/>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r>
              <w:rPr>
                <w:rFonts w:hint="eastAsia" w:ascii="Times New Roman" w:hAnsi="Times New Roman" w:eastAsia="方正仿宋_GBK" w:cs="Times New Roman"/>
                <w:color w:val="000000"/>
                <w:kern w:val="0"/>
                <w:sz w:val="22"/>
              </w:rPr>
              <w:t>收入总计（本级收入合计</w:t>
            </w:r>
            <w:r>
              <w:rPr>
                <w:rFonts w:ascii="Times New Roman" w:hAnsi="Times New Roman" w:eastAsia="宋体" w:cs="Times New Roman"/>
                <w:color w:val="000000"/>
                <w:kern w:val="0"/>
                <w:sz w:val="22"/>
              </w:rPr>
              <w:t>+</w:t>
            </w:r>
            <w:r>
              <w:rPr>
                <w:rFonts w:hint="eastAsia" w:ascii="Times New Roman" w:hAnsi="Times New Roman" w:eastAsia="方正仿宋_GBK" w:cs="Times New Roman"/>
                <w:color w:val="000000"/>
                <w:kern w:val="0"/>
                <w:sz w:val="22"/>
              </w:rPr>
              <w:t>转移性收入合计）</w:t>
            </w:r>
            <w:r>
              <w:rPr>
                <w:rFonts w:ascii="Times New Roman" w:hAnsi="Times New Roman" w:eastAsia="宋体" w:cs="Times New Roman"/>
                <w:color w:val="000000"/>
                <w:kern w:val="0"/>
                <w:sz w:val="22"/>
              </w:rPr>
              <w:t>=</w:t>
            </w:r>
            <w:r>
              <w:rPr>
                <w:rFonts w:hint="eastAsia" w:ascii="Times New Roman" w:hAnsi="Times New Roman" w:eastAsia="方正仿宋_GBK" w:cs="Times New Roman"/>
                <w:color w:val="000000"/>
                <w:kern w:val="0"/>
                <w:sz w:val="22"/>
              </w:rPr>
              <w:t>支出总计（本级支出合计</w:t>
            </w:r>
            <w:r>
              <w:rPr>
                <w:rFonts w:ascii="Times New Roman" w:hAnsi="Times New Roman" w:eastAsia="宋体" w:cs="Times New Roman"/>
                <w:color w:val="000000"/>
                <w:kern w:val="0"/>
                <w:sz w:val="22"/>
              </w:rPr>
              <w:t>+</w:t>
            </w:r>
            <w:r>
              <w:rPr>
                <w:rFonts w:hint="eastAsia" w:ascii="Times New Roman" w:hAnsi="Times New Roman" w:eastAsia="方正仿宋_GBK" w:cs="Times New Roman"/>
                <w:color w:val="000000"/>
                <w:kern w:val="0"/>
                <w:sz w:val="22"/>
              </w:rPr>
              <w:t>转移性支出合计）。</w:t>
            </w:r>
            <w:r>
              <w:rPr>
                <w:rFonts w:hint="eastAsia" w:ascii="Times New Roman" w:hAnsi="Times New Roman" w:eastAsia="方正仿宋_GBK" w:cs="Times New Roman"/>
                <w:color w:val="000000"/>
                <w:kern w:val="0"/>
                <w:sz w:val="22"/>
              </w:rPr>
              <w:br w:type="page"/>
            </w:r>
            <w:r>
              <w:rPr>
                <w:rFonts w:ascii="Times New Roman" w:hAnsi="Times New Roman" w:eastAsia="宋体" w:cs="Times New Roman"/>
                <w:color w:val="000000"/>
                <w:kern w:val="0"/>
                <w:sz w:val="22"/>
              </w:rPr>
              <w:t xml:space="preserve"> </w:t>
            </w:r>
          </w:p>
        </w:tc>
      </w:tr>
    </w:tbl>
    <w:p>
      <w:pPr>
        <w:adjustRightInd w:val="0"/>
        <w:snapToGrid w:val="0"/>
        <w:spacing w:line="600" w:lineRule="exact"/>
        <w:jc w:val="right"/>
        <w:rPr>
          <w:rFonts w:ascii="Times New Roman" w:hAnsi="Times New Roman" w:eastAsia="方正小标宋_GBK"/>
          <w:sz w:val="44"/>
          <w:szCs w:val="44"/>
        </w:rPr>
      </w:pPr>
    </w:p>
    <w:p>
      <w:pPr>
        <w:adjustRightInd w:val="0"/>
        <w:snapToGrid w:val="0"/>
        <w:spacing w:line="600" w:lineRule="exact"/>
        <w:jc w:val="right"/>
        <w:rPr>
          <w:rFonts w:ascii="Times New Roman" w:hAnsi="Times New Roman" w:eastAsia="方正小标宋_GBK"/>
          <w:sz w:val="44"/>
          <w:szCs w:val="44"/>
        </w:rPr>
      </w:pPr>
    </w:p>
    <w:p>
      <w:pPr>
        <w:widowControl/>
        <w:spacing w:line="600" w:lineRule="exact"/>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表12</w:t>
      </w:r>
    </w:p>
    <w:p>
      <w:pPr>
        <w:widowControl/>
        <w:spacing w:line="600" w:lineRule="exact"/>
        <w:jc w:val="left"/>
        <w:rPr>
          <w:rFonts w:ascii="Times New Roman" w:hAnsi="Times New Roman" w:eastAsia="方正黑体_GBK" w:cs="Times New Roman"/>
          <w:kern w:val="0"/>
          <w:sz w:val="32"/>
          <w:szCs w:val="32"/>
        </w:rPr>
      </w:pPr>
    </w:p>
    <w:p>
      <w:pPr>
        <w:adjustRightInd w:val="0"/>
        <w:snapToGrid w:val="0"/>
        <w:spacing w:line="60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九龙坡区2022年社会保险基金预算收支执行表（空表）</w:t>
      </w:r>
    </w:p>
    <w:p>
      <w:pPr>
        <w:adjustRightInd w:val="0"/>
        <w:snapToGrid w:val="0"/>
        <w:spacing w:line="60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13895" w:type="dxa"/>
        <w:jc w:val="center"/>
        <w:tblLayout w:type="autofit"/>
        <w:tblCellMar>
          <w:top w:w="0" w:type="dxa"/>
          <w:left w:w="108" w:type="dxa"/>
          <w:bottom w:w="0" w:type="dxa"/>
          <w:right w:w="108" w:type="dxa"/>
        </w:tblCellMar>
      </w:tblPr>
      <w:tblGrid>
        <w:gridCol w:w="1616"/>
        <w:gridCol w:w="964"/>
        <w:gridCol w:w="964"/>
        <w:gridCol w:w="964"/>
        <w:gridCol w:w="964"/>
        <w:gridCol w:w="1756"/>
        <w:gridCol w:w="964"/>
        <w:gridCol w:w="964"/>
        <w:gridCol w:w="964"/>
        <w:gridCol w:w="964"/>
        <w:gridCol w:w="1194"/>
        <w:gridCol w:w="1617"/>
      </w:tblGrid>
      <w:tr>
        <w:tblPrEx>
          <w:tblCellMar>
            <w:top w:w="0" w:type="dxa"/>
            <w:left w:w="108" w:type="dxa"/>
            <w:bottom w:w="0" w:type="dxa"/>
            <w:right w:w="108" w:type="dxa"/>
          </w:tblCellMar>
        </w:tblPrEx>
        <w:trPr>
          <w:trHeight w:val="1080" w:hRule="atLeast"/>
          <w:jc w:val="center"/>
        </w:trPr>
        <w:tc>
          <w:tcPr>
            <w:tcW w:w="0" w:type="auto"/>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收      入</w:t>
            </w:r>
          </w:p>
        </w:tc>
        <w:tc>
          <w:tcPr>
            <w:tcW w:w="0" w:type="auto"/>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预算数</w:t>
            </w:r>
          </w:p>
        </w:tc>
        <w:tc>
          <w:tcPr>
            <w:tcW w:w="0" w:type="auto"/>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调整</w:t>
            </w:r>
            <w:r>
              <w:rPr>
                <w:rFonts w:hint="eastAsia" w:ascii="Times New Roman" w:hAnsi="Times New Roman" w:eastAsia="方正黑体_GBK" w:cs="宋体"/>
                <w:kern w:val="0"/>
                <w:sz w:val="28"/>
                <w:szCs w:val="28"/>
              </w:rPr>
              <w:br w:type="textWrapping"/>
            </w:r>
            <w:r>
              <w:rPr>
                <w:rFonts w:hint="eastAsia" w:ascii="Times New Roman" w:hAnsi="Times New Roman" w:eastAsia="方正黑体_GBK" w:cs="宋体"/>
                <w:kern w:val="0"/>
                <w:sz w:val="28"/>
                <w:szCs w:val="28"/>
              </w:rPr>
              <w:t>预算数</w:t>
            </w:r>
          </w:p>
        </w:tc>
        <w:tc>
          <w:tcPr>
            <w:tcW w:w="0" w:type="auto"/>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变动</w:t>
            </w:r>
            <w:r>
              <w:rPr>
                <w:rFonts w:hint="eastAsia" w:ascii="Times New Roman" w:hAnsi="Times New Roman" w:eastAsia="方正黑体_GBK" w:cs="宋体"/>
                <w:kern w:val="0"/>
                <w:sz w:val="28"/>
                <w:szCs w:val="28"/>
              </w:rPr>
              <w:br w:type="textWrapping"/>
            </w:r>
            <w:r>
              <w:rPr>
                <w:rFonts w:hint="eastAsia" w:ascii="Times New Roman" w:hAnsi="Times New Roman" w:eastAsia="方正黑体_GBK" w:cs="宋体"/>
                <w:kern w:val="0"/>
                <w:sz w:val="28"/>
                <w:szCs w:val="28"/>
              </w:rPr>
              <w:t>预算数</w:t>
            </w:r>
          </w:p>
        </w:tc>
        <w:tc>
          <w:tcPr>
            <w:tcW w:w="0" w:type="auto"/>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执行数</w:t>
            </w:r>
          </w:p>
        </w:tc>
        <w:tc>
          <w:tcPr>
            <w:tcW w:w="0" w:type="auto"/>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支       出</w:t>
            </w:r>
          </w:p>
        </w:tc>
        <w:tc>
          <w:tcPr>
            <w:tcW w:w="0" w:type="auto"/>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预算数</w:t>
            </w:r>
          </w:p>
        </w:tc>
        <w:tc>
          <w:tcPr>
            <w:tcW w:w="0" w:type="auto"/>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调整</w:t>
            </w:r>
            <w:r>
              <w:rPr>
                <w:rFonts w:hint="eastAsia" w:ascii="Times New Roman" w:hAnsi="Times New Roman" w:eastAsia="方正黑体_GBK" w:cs="宋体"/>
                <w:kern w:val="0"/>
                <w:sz w:val="28"/>
                <w:szCs w:val="28"/>
              </w:rPr>
              <w:br w:type="textWrapping"/>
            </w:r>
            <w:r>
              <w:rPr>
                <w:rFonts w:hint="eastAsia" w:ascii="Times New Roman" w:hAnsi="Times New Roman" w:eastAsia="方正黑体_GBK" w:cs="宋体"/>
                <w:kern w:val="0"/>
                <w:sz w:val="28"/>
                <w:szCs w:val="28"/>
              </w:rPr>
              <w:t>预算数</w:t>
            </w:r>
          </w:p>
        </w:tc>
        <w:tc>
          <w:tcPr>
            <w:tcW w:w="0" w:type="auto"/>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变动</w:t>
            </w:r>
            <w:r>
              <w:rPr>
                <w:rFonts w:hint="eastAsia" w:ascii="Times New Roman" w:hAnsi="Times New Roman" w:eastAsia="方正黑体_GBK" w:cs="宋体"/>
                <w:kern w:val="0"/>
                <w:sz w:val="28"/>
                <w:szCs w:val="28"/>
              </w:rPr>
              <w:br w:type="textWrapping"/>
            </w:r>
            <w:r>
              <w:rPr>
                <w:rFonts w:hint="eastAsia" w:ascii="Times New Roman" w:hAnsi="Times New Roman" w:eastAsia="方正黑体_GBK" w:cs="宋体"/>
                <w:kern w:val="0"/>
                <w:sz w:val="28"/>
                <w:szCs w:val="28"/>
              </w:rPr>
              <w:t>预算数</w:t>
            </w:r>
          </w:p>
        </w:tc>
        <w:tc>
          <w:tcPr>
            <w:tcW w:w="0" w:type="auto"/>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执行数</w:t>
            </w:r>
          </w:p>
        </w:tc>
        <w:tc>
          <w:tcPr>
            <w:tcW w:w="1193"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执行数</w:t>
            </w:r>
            <w:r>
              <w:rPr>
                <w:rFonts w:hint="eastAsia" w:ascii="Times New Roman" w:hAnsi="Times New Roman" w:eastAsia="方正黑体_GBK" w:cs="宋体"/>
                <w:kern w:val="0"/>
                <w:sz w:val="28"/>
                <w:szCs w:val="28"/>
              </w:rPr>
              <w:br w:type="textWrapping"/>
            </w:r>
            <w:r>
              <w:rPr>
                <w:rFonts w:hint="eastAsia" w:ascii="Times New Roman" w:hAnsi="Times New Roman" w:eastAsia="方正黑体_GBK" w:cs="宋体"/>
                <w:kern w:val="0"/>
                <w:sz w:val="28"/>
                <w:szCs w:val="28"/>
              </w:rPr>
              <w:t>为变动</w:t>
            </w:r>
            <w:r>
              <w:rPr>
                <w:rFonts w:hint="eastAsia" w:ascii="Times New Roman" w:hAnsi="Times New Roman" w:eastAsia="方正黑体_GBK" w:cs="宋体"/>
                <w:kern w:val="0"/>
                <w:sz w:val="28"/>
                <w:szCs w:val="28"/>
              </w:rPr>
              <w:br w:type="textWrapping"/>
            </w:r>
            <w:r>
              <w:rPr>
                <w:rFonts w:hint="eastAsia" w:ascii="Times New Roman" w:hAnsi="Times New Roman" w:eastAsia="方正黑体_GBK" w:cs="宋体"/>
                <w:kern w:val="0"/>
                <w:sz w:val="28"/>
                <w:szCs w:val="28"/>
              </w:rPr>
              <w:t>预算%</w:t>
            </w:r>
          </w:p>
        </w:tc>
        <w:tc>
          <w:tcPr>
            <w:tcW w:w="1615" w:type="dxa"/>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执行数比</w:t>
            </w:r>
            <w:r>
              <w:rPr>
                <w:rFonts w:hint="eastAsia" w:ascii="Times New Roman" w:hAnsi="Times New Roman" w:eastAsia="方正黑体_GBK" w:cs="宋体"/>
                <w:kern w:val="0"/>
                <w:sz w:val="28"/>
                <w:szCs w:val="28"/>
              </w:rPr>
              <w:br w:type="textWrapping"/>
            </w:r>
            <w:r>
              <w:rPr>
                <w:rFonts w:hint="eastAsia" w:ascii="Times New Roman" w:hAnsi="Times New Roman" w:eastAsia="方正黑体_GBK" w:cs="宋体"/>
                <w:kern w:val="0"/>
                <w:sz w:val="28"/>
                <w:szCs w:val="28"/>
              </w:rPr>
              <w:t>上年决算</w:t>
            </w:r>
            <w:r>
              <w:rPr>
                <w:rFonts w:hint="eastAsia" w:ascii="Times New Roman" w:hAnsi="Times New Roman" w:eastAsia="方正黑体_GBK" w:cs="宋体"/>
                <w:kern w:val="0"/>
                <w:sz w:val="28"/>
                <w:szCs w:val="28"/>
              </w:rPr>
              <w:br w:type="textWrapping"/>
            </w:r>
            <w:r>
              <w:rPr>
                <w:rFonts w:hint="eastAsia" w:ascii="Times New Roman" w:hAnsi="Times New Roman" w:eastAsia="方正黑体_GBK" w:cs="宋体"/>
                <w:kern w:val="0"/>
                <w:sz w:val="28"/>
                <w:szCs w:val="28"/>
              </w:rPr>
              <w:t>数增长%</w:t>
            </w:r>
          </w:p>
        </w:tc>
      </w:tr>
      <w:tr>
        <w:tblPrEx>
          <w:tblCellMar>
            <w:top w:w="0" w:type="dxa"/>
            <w:left w:w="108" w:type="dxa"/>
            <w:bottom w:w="0" w:type="dxa"/>
            <w:right w:w="108" w:type="dxa"/>
          </w:tblCellMar>
        </w:tblPrEx>
        <w:trPr>
          <w:trHeight w:val="750" w:hRule="atLeast"/>
          <w:jc w:val="center"/>
        </w:trPr>
        <w:tc>
          <w:tcPr>
            <w:tcW w:w="0" w:type="auto"/>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此表无数据</w:t>
            </w:r>
          </w:p>
        </w:tc>
        <w:tc>
          <w:tcPr>
            <w:tcW w:w="0" w:type="auto"/>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黑体_GBK" w:cs="宋体"/>
                <w:b/>
                <w:bCs/>
                <w:kern w:val="0"/>
                <w:sz w:val="24"/>
                <w:szCs w:val="24"/>
              </w:rPr>
            </w:pPr>
            <w:r>
              <w:rPr>
                <w:rFonts w:hint="eastAsia" w:ascii="Times New Roman" w:hAnsi="Times New Roman" w:eastAsia="方正黑体_GBK" w:cs="宋体"/>
                <w:b/>
                <w:bCs/>
                <w:kern w:val="0"/>
                <w:sz w:val="24"/>
                <w:szCs w:val="24"/>
              </w:rPr>
              <w:t>　</w:t>
            </w:r>
          </w:p>
        </w:tc>
        <w:tc>
          <w:tcPr>
            <w:tcW w:w="0" w:type="auto"/>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方正黑体_GBK" w:cs="宋体"/>
                <w:b/>
                <w:bCs/>
                <w:kern w:val="0"/>
                <w:sz w:val="24"/>
                <w:szCs w:val="24"/>
              </w:rPr>
            </w:pPr>
            <w:r>
              <w:rPr>
                <w:rFonts w:hint="eastAsia" w:ascii="Times New Roman" w:hAnsi="Times New Roman" w:eastAsia="方正黑体_GBK" w:cs="宋体"/>
                <w:b/>
                <w:bCs/>
                <w:kern w:val="0"/>
                <w:sz w:val="24"/>
                <w:szCs w:val="24"/>
              </w:rPr>
              <w:t>　</w:t>
            </w:r>
          </w:p>
        </w:tc>
        <w:tc>
          <w:tcPr>
            <w:tcW w:w="0" w:type="auto"/>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方正黑体_GBK" w:cs="宋体"/>
                <w:b/>
                <w:bCs/>
                <w:kern w:val="0"/>
                <w:sz w:val="24"/>
                <w:szCs w:val="24"/>
              </w:rPr>
            </w:pPr>
            <w:r>
              <w:rPr>
                <w:rFonts w:hint="eastAsia" w:ascii="Times New Roman" w:hAnsi="Times New Roman" w:eastAsia="方正黑体_GBK" w:cs="宋体"/>
                <w:b/>
                <w:bCs/>
                <w:kern w:val="0"/>
                <w:sz w:val="24"/>
                <w:szCs w:val="24"/>
              </w:rPr>
              <w:t>　</w:t>
            </w:r>
          </w:p>
        </w:tc>
        <w:tc>
          <w:tcPr>
            <w:tcW w:w="0" w:type="auto"/>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方正黑体_GBK" w:cs="宋体"/>
                <w:b/>
                <w:bCs/>
                <w:kern w:val="0"/>
                <w:sz w:val="24"/>
                <w:szCs w:val="24"/>
              </w:rPr>
            </w:pPr>
            <w:r>
              <w:rPr>
                <w:rFonts w:hint="eastAsia" w:ascii="Times New Roman" w:hAnsi="Times New Roman" w:eastAsia="方正黑体_GBK" w:cs="宋体"/>
                <w:b/>
                <w:bCs/>
                <w:kern w:val="0"/>
                <w:sz w:val="24"/>
                <w:szCs w:val="24"/>
              </w:rPr>
              <w:t>　</w:t>
            </w:r>
          </w:p>
        </w:tc>
        <w:tc>
          <w:tcPr>
            <w:tcW w:w="0" w:type="auto"/>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总  计</w:t>
            </w:r>
          </w:p>
        </w:tc>
        <w:tc>
          <w:tcPr>
            <w:tcW w:w="0" w:type="auto"/>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黑体_GBK" w:cs="宋体"/>
                <w:b/>
                <w:bCs/>
                <w:kern w:val="0"/>
                <w:sz w:val="24"/>
                <w:szCs w:val="24"/>
              </w:rPr>
            </w:pPr>
            <w:r>
              <w:rPr>
                <w:rFonts w:hint="eastAsia" w:ascii="Times New Roman" w:hAnsi="Times New Roman" w:eastAsia="方正黑体_GBK" w:cs="宋体"/>
                <w:b/>
                <w:bCs/>
                <w:kern w:val="0"/>
                <w:sz w:val="24"/>
                <w:szCs w:val="24"/>
              </w:rPr>
              <w:t>　</w:t>
            </w:r>
          </w:p>
        </w:tc>
        <w:tc>
          <w:tcPr>
            <w:tcW w:w="0" w:type="auto"/>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方正黑体_GBK" w:cs="宋体"/>
                <w:b/>
                <w:bCs/>
                <w:kern w:val="0"/>
                <w:sz w:val="24"/>
                <w:szCs w:val="24"/>
              </w:rPr>
            </w:pPr>
            <w:r>
              <w:rPr>
                <w:rFonts w:hint="eastAsia" w:ascii="Times New Roman" w:hAnsi="Times New Roman" w:eastAsia="方正黑体_GBK" w:cs="宋体"/>
                <w:b/>
                <w:bCs/>
                <w:kern w:val="0"/>
                <w:sz w:val="24"/>
                <w:szCs w:val="24"/>
              </w:rPr>
              <w:t>　</w:t>
            </w:r>
          </w:p>
        </w:tc>
        <w:tc>
          <w:tcPr>
            <w:tcW w:w="0" w:type="auto"/>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方正黑体_GBK" w:cs="宋体"/>
                <w:b/>
                <w:bCs/>
                <w:kern w:val="0"/>
                <w:sz w:val="24"/>
                <w:szCs w:val="24"/>
              </w:rPr>
            </w:pPr>
            <w:r>
              <w:rPr>
                <w:rFonts w:hint="eastAsia" w:ascii="Times New Roman" w:hAnsi="Times New Roman" w:eastAsia="方正黑体_GBK" w:cs="宋体"/>
                <w:b/>
                <w:bCs/>
                <w:kern w:val="0"/>
                <w:sz w:val="24"/>
                <w:szCs w:val="24"/>
              </w:rPr>
              <w:t>　</w:t>
            </w:r>
          </w:p>
        </w:tc>
        <w:tc>
          <w:tcPr>
            <w:tcW w:w="0" w:type="auto"/>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方正黑体_GBK" w:cs="宋体"/>
                <w:b/>
                <w:bCs/>
                <w:kern w:val="0"/>
                <w:sz w:val="24"/>
                <w:szCs w:val="24"/>
              </w:rPr>
            </w:pPr>
            <w:r>
              <w:rPr>
                <w:rFonts w:hint="eastAsia" w:ascii="Times New Roman" w:hAnsi="Times New Roman" w:eastAsia="方正黑体_GBK" w:cs="宋体"/>
                <w:b/>
                <w:bCs/>
                <w:kern w:val="0"/>
                <w:sz w:val="24"/>
                <w:szCs w:val="24"/>
              </w:rPr>
              <w:t>　</w:t>
            </w:r>
          </w:p>
        </w:tc>
        <w:tc>
          <w:tcPr>
            <w:tcW w:w="1193"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right"/>
              <w:rPr>
                <w:rFonts w:ascii="Times New Roman" w:hAnsi="Times New Roman" w:eastAsia="方正黑体_GBK" w:cs="宋体"/>
                <w:b/>
                <w:bCs/>
                <w:kern w:val="0"/>
                <w:sz w:val="24"/>
                <w:szCs w:val="24"/>
              </w:rPr>
            </w:pPr>
            <w:r>
              <w:rPr>
                <w:rFonts w:hint="eastAsia" w:ascii="Times New Roman" w:hAnsi="Times New Roman" w:eastAsia="方正黑体_GBK" w:cs="宋体"/>
                <w:b/>
                <w:bCs/>
                <w:kern w:val="0"/>
                <w:sz w:val="24"/>
                <w:szCs w:val="24"/>
              </w:rPr>
              <w:t>　</w:t>
            </w:r>
          </w:p>
        </w:tc>
        <w:tc>
          <w:tcPr>
            <w:tcW w:w="161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400" w:lineRule="exact"/>
              <w:jc w:val="left"/>
              <w:rPr>
                <w:rFonts w:ascii="Times New Roman" w:hAnsi="Times New Roman" w:eastAsia="方正黑体_GBK" w:cs="宋体"/>
                <w:b/>
                <w:bCs/>
                <w:color w:val="000000"/>
                <w:kern w:val="0"/>
                <w:sz w:val="22"/>
              </w:rPr>
            </w:pPr>
            <w:r>
              <w:rPr>
                <w:rFonts w:hint="eastAsia" w:ascii="Times New Roman" w:hAnsi="Times New Roman" w:eastAsia="方正黑体_GBK" w:cs="宋体"/>
                <w:b/>
                <w:bCs/>
                <w:color w:val="000000"/>
                <w:kern w:val="0"/>
                <w:sz w:val="22"/>
              </w:rPr>
              <w:t>　</w:t>
            </w:r>
          </w:p>
        </w:tc>
      </w:tr>
    </w:tbl>
    <w:p>
      <w:pPr>
        <w:widowControl/>
        <w:adjustRightInd w:val="0"/>
        <w:snapToGrid w:val="0"/>
        <w:spacing w:line="400" w:lineRule="exact"/>
        <w:jc w:val="left"/>
        <w:rPr>
          <w:rFonts w:ascii="Times New Roman" w:hAnsi="Times New Roman" w:eastAsia="方正仿宋_GBK" w:cs="宋体"/>
          <w:color w:val="000000"/>
          <w:kern w:val="0"/>
          <w:sz w:val="22"/>
        </w:rPr>
        <w:sectPr>
          <w:pgSz w:w="16838" w:h="11906" w:orient="landscape"/>
          <w:pgMar w:top="1446" w:right="1985" w:bottom="1446" w:left="1644" w:header="851" w:footer="1474" w:gutter="0"/>
          <w:cols w:space="425" w:num="1"/>
          <w:docGrid w:type="linesAndChars" w:linePitch="312" w:charSpace="0"/>
        </w:sectPr>
      </w:pPr>
      <w:r>
        <w:rPr>
          <w:rFonts w:hint="eastAsia" w:ascii="Times New Roman" w:hAnsi="Times New Roman" w:eastAsia="方正仿宋_GBK" w:cs="宋体"/>
          <w:color w:val="000000"/>
          <w:kern w:val="0"/>
          <w:sz w:val="22"/>
        </w:rPr>
        <w:t>注：社会保险基金全市统筹，我区社保基金预算统一由市级公开。</w:t>
      </w:r>
    </w:p>
    <w:p>
      <w:pPr>
        <w:adjustRightInd w:val="0"/>
        <w:snapToGrid w:val="0"/>
        <w:spacing w:line="600" w:lineRule="exact"/>
        <w:jc w:val="left"/>
        <w:rPr>
          <w:rFonts w:ascii="Times New Roman" w:hAnsi="Times New Roman" w:eastAsia="方正黑体_GBK"/>
          <w:sz w:val="32"/>
          <w:szCs w:val="32"/>
        </w:rPr>
      </w:pPr>
      <w:r>
        <w:rPr>
          <w:rFonts w:hint="eastAsia" w:ascii="Times New Roman" w:hAnsi="Times New Roman" w:eastAsia="方正黑体_GBK"/>
          <w:sz w:val="32"/>
          <w:szCs w:val="32"/>
        </w:rPr>
        <w:t>表13</w:t>
      </w:r>
    </w:p>
    <w:p>
      <w:pPr>
        <w:adjustRightInd w:val="0"/>
        <w:snapToGrid w:val="0"/>
        <w:spacing w:line="60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九龙坡区2023年全区财政预算收入执行表</w:t>
      </w:r>
    </w:p>
    <w:p>
      <w:pPr>
        <w:adjustRightInd w:val="0"/>
        <w:snapToGrid w:val="0"/>
        <w:spacing w:line="480" w:lineRule="exact"/>
        <w:jc w:val="right"/>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单位：万元</w:t>
      </w:r>
    </w:p>
    <w:tbl>
      <w:tblPr>
        <w:tblStyle w:val="9"/>
        <w:tblW w:w="10660" w:type="dxa"/>
        <w:jc w:val="center"/>
        <w:tblLayout w:type="autofit"/>
        <w:tblCellMar>
          <w:top w:w="0" w:type="dxa"/>
          <w:left w:w="108" w:type="dxa"/>
          <w:bottom w:w="0" w:type="dxa"/>
          <w:right w:w="108" w:type="dxa"/>
        </w:tblCellMar>
      </w:tblPr>
      <w:tblGrid>
        <w:gridCol w:w="4960"/>
        <w:gridCol w:w="1900"/>
        <w:gridCol w:w="1900"/>
        <w:gridCol w:w="1900"/>
      </w:tblGrid>
      <w:tr>
        <w:tblPrEx>
          <w:tblCellMar>
            <w:top w:w="0" w:type="dxa"/>
            <w:left w:w="108" w:type="dxa"/>
            <w:bottom w:w="0" w:type="dxa"/>
            <w:right w:w="108" w:type="dxa"/>
          </w:tblCellMar>
        </w:tblPrEx>
        <w:trPr>
          <w:trHeight w:val="765" w:hRule="atLeast"/>
          <w:tblHeader/>
          <w:jc w:val="center"/>
        </w:trPr>
        <w:tc>
          <w:tcPr>
            <w:tcW w:w="49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2"/>
              </w:rPr>
            </w:pPr>
            <w:r>
              <w:rPr>
                <w:rFonts w:hint="eastAsia" w:ascii="Times New Roman" w:hAnsi="Times New Roman" w:eastAsia="方正黑体_GBK" w:cs="宋体"/>
                <w:kern w:val="0"/>
                <w:sz w:val="22"/>
              </w:rPr>
              <w:t>项    目</w:t>
            </w:r>
          </w:p>
        </w:tc>
        <w:tc>
          <w:tcPr>
            <w:tcW w:w="190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2022</w:t>
            </w:r>
            <w:r>
              <w:rPr>
                <w:rFonts w:hint="eastAsia" w:ascii="Times New Roman" w:hAnsi="Times New Roman" w:eastAsia="方正黑体_GBK" w:cs="Times New Roman"/>
                <w:kern w:val="0"/>
                <w:sz w:val="22"/>
              </w:rPr>
              <w:t>年执行数</w:t>
            </w:r>
          </w:p>
        </w:tc>
        <w:tc>
          <w:tcPr>
            <w:tcW w:w="190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2023</w:t>
            </w:r>
            <w:r>
              <w:rPr>
                <w:rFonts w:hint="eastAsia" w:ascii="Times New Roman" w:hAnsi="Times New Roman" w:eastAsia="方正黑体_GBK" w:cs="Times New Roman"/>
                <w:kern w:val="0"/>
                <w:sz w:val="22"/>
              </w:rPr>
              <w:t>年预算数</w:t>
            </w:r>
          </w:p>
        </w:tc>
        <w:tc>
          <w:tcPr>
            <w:tcW w:w="190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2"/>
              </w:rPr>
            </w:pPr>
            <w:r>
              <w:rPr>
                <w:rFonts w:hint="eastAsia" w:ascii="Times New Roman" w:hAnsi="Times New Roman" w:eastAsia="方正黑体_GBK" w:cs="宋体"/>
                <w:kern w:val="0"/>
                <w:sz w:val="22"/>
              </w:rPr>
              <w:t>预算数为上年</w:t>
            </w:r>
            <w:r>
              <w:rPr>
                <w:rFonts w:hint="eastAsia" w:ascii="Times New Roman" w:hAnsi="Times New Roman" w:eastAsia="方正黑体_GBK" w:cs="宋体"/>
                <w:kern w:val="0"/>
                <w:sz w:val="22"/>
              </w:rPr>
              <w:br w:type="textWrapping"/>
            </w:r>
            <w:r>
              <w:rPr>
                <w:rFonts w:hint="eastAsia" w:ascii="Times New Roman" w:hAnsi="Times New Roman" w:eastAsia="方正黑体_GBK" w:cs="宋体"/>
                <w:kern w:val="0"/>
                <w:sz w:val="22"/>
              </w:rPr>
              <w:t>执行数的%</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方正黑体_GBK" w:cs="宋体"/>
                <w:kern w:val="0"/>
                <w:sz w:val="22"/>
              </w:rPr>
            </w:pPr>
            <w:r>
              <w:rPr>
                <w:rFonts w:hint="eastAsia" w:ascii="Times New Roman" w:hAnsi="Times New Roman" w:eastAsia="方正黑体_GBK" w:cs="宋体"/>
                <w:kern w:val="0"/>
                <w:sz w:val="22"/>
              </w:rPr>
              <w:t>一、一般公共预算收入</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
                <w:bCs/>
                <w:kern w:val="0"/>
                <w:sz w:val="22"/>
              </w:rPr>
            </w:pPr>
            <w:r>
              <w:rPr>
                <w:rFonts w:ascii="Times New Roman" w:hAnsi="Times New Roman" w:eastAsia="宋体" w:cs="Times New Roman"/>
                <w:b/>
                <w:bCs/>
                <w:kern w:val="0"/>
                <w:sz w:val="22"/>
              </w:rPr>
              <w:t xml:space="preserve">561038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
                <w:bCs/>
                <w:kern w:val="0"/>
                <w:sz w:val="22"/>
              </w:rPr>
            </w:pPr>
            <w:r>
              <w:rPr>
                <w:rFonts w:ascii="Times New Roman" w:hAnsi="Times New Roman" w:eastAsia="宋体" w:cs="Times New Roman"/>
                <w:b/>
                <w:bCs/>
                <w:kern w:val="0"/>
                <w:sz w:val="22"/>
              </w:rPr>
              <w:t xml:space="preserve">617141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b/>
                <w:bCs/>
                <w:kern w:val="0"/>
                <w:sz w:val="22"/>
              </w:rPr>
            </w:pPr>
            <w:r>
              <w:rPr>
                <w:rFonts w:ascii="Times New Roman" w:hAnsi="Times New Roman" w:eastAsia="宋体" w:cs="Times New Roman"/>
                <w:b/>
                <w:bCs/>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
                <w:bCs/>
                <w:kern w:val="0"/>
                <w:sz w:val="22"/>
              </w:rPr>
            </w:pPr>
            <w:r>
              <w:rPr>
                <w:rFonts w:hint="eastAsia" w:ascii="Times New Roman" w:hAnsi="Times New Roman" w:eastAsia="方正仿宋_GBK" w:cs="宋体"/>
                <w:b/>
                <w:bCs/>
                <w:kern w:val="0"/>
                <w:sz w:val="22"/>
              </w:rPr>
              <w:t xml:space="preserve">   税收收入</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
                <w:bCs/>
                <w:kern w:val="0"/>
                <w:sz w:val="22"/>
              </w:rPr>
            </w:pPr>
            <w:r>
              <w:rPr>
                <w:rFonts w:ascii="Times New Roman" w:hAnsi="Times New Roman" w:eastAsia="宋体" w:cs="Times New Roman"/>
                <w:b/>
                <w:bCs/>
                <w:kern w:val="0"/>
                <w:sz w:val="22"/>
              </w:rPr>
              <w:t xml:space="preserve">391257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
                <w:bCs/>
                <w:kern w:val="0"/>
                <w:sz w:val="22"/>
              </w:rPr>
            </w:pPr>
            <w:r>
              <w:rPr>
                <w:rFonts w:ascii="Times New Roman" w:hAnsi="Times New Roman" w:eastAsia="宋体" w:cs="Times New Roman"/>
                <w:b/>
                <w:bCs/>
                <w:kern w:val="0"/>
                <w:sz w:val="22"/>
              </w:rPr>
              <w:t xml:space="preserve">431999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b/>
                <w:bCs/>
                <w:kern w:val="0"/>
                <w:sz w:val="22"/>
              </w:rPr>
            </w:pPr>
            <w:r>
              <w:rPr>
                <w:rFonts w:ascii="Times New Roman" w:hAnsi="Times New Roman" w:eastAsia="宋体" w:cs="Times New Roman"/>
                <w:b/>
                <w:bCs/>
                <w:kern w:val="0"/>
                <w:sz w:val="22"/>
              </w:rPr>
              <w:t xml:space="preserve">110.41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增值税</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86571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95228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企业所得税</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25192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27711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个人所得税</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15834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17417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资源税</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10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11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城市维护建设税</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14244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15668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房产税</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18603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20463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印花税</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16081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17689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城镇土地使用税</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26306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28937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土地增值税</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111753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124545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111.45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耕地占用税</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626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689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110.06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契税</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75337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82871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环境保护税</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232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255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109.91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其他税收收入</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468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515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110.04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
                <w:bCs/>
                <w:kern w:val="0"/>
                <w:sz w:val="22"/>
              </w:rPr>
            </w:pPr>
            <w:r>
              <w:rPr>
                <w:rFonts w:hint="eastAsia" w:ascii="Times New Roman" w:hAnsi="Times New Roman" w:eastAsia="方正仿宋_GBK" w:cs="宋体"/>
                <w:b/>
                <w:bCs/>
                <w:kern w:val="0"/>
                <w:sz w:val="22"/>
              </w:rPr>
              <w:t xml:space="preserve">   非税收入</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b/>
                <w:bCs/>
                <w:kern w:val="0"/>
                <w:sz w:val="22"/>
              </w:rPr>
            </w:pPr>
            <w:r>
              <w:rPr>
                <w:rFonts w:ascii="Times New Roman" w:hAnsi="Times New Roman" w:eastAsia="宋体" w:cs="Times New Roman"/>
                <w:b/>
                <w:bCs/>
                <w:kern w:val="0"/>
                <w:sz w:val="22"/>
              </w:rPr>
              <w:t xml:space="preserve">169781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b/>
                <w:bCs/>
                <w:kern w:val="0"/>
                <w:sz w:val="22"/>
              </w:rPr>
            </w:pPr>
            <w:r>
              <w:rPr>
                <w:rFonts w:ascii="Times New Roman" w:hAnsi="Times New Roman" w:eastAsia="宋体" w:cs="Times New Roman"/>
                <w:b/>
                <w:bCs/>
                <w:kern w:val="0"/>
                <w:sz w:val="22"/>
              </w:rPr>
              <w:t xml:space="preserve">185142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b/>
                <w:bCs/>
                <w:kern w:val="0"/>
                <w:sz w:val="22"/>
              </w:rPr>
            </w:pPr>
            <w:r>
              <w:rPr>
                <w:rFonts w:ascii="Times New Roman" w:hAnsi="Times New Roman" w:eastAsia="宋体" w:cs="Times New Roman"/>
                <w:b/>
                <w:bCs/>
                <w:kern w:val="0"/>
                <w:sz w:val="22"/>
              </w:rPr>
              <w:t xml:space="preserve">109.05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专项收入</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14462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15908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行政事业性收费收入</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352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387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109.94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罚没收入</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16161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17777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国有资源(资产)有偿使用收入</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135930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147906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108.81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捐赠收入</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300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330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政府住房基金收入</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310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341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110.00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其他收入</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2266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2493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110.02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方正黑体_GBK" w:cs="宋体"/>
                <w:kern w:val="0"/>
                <w:sz w:val="22"/>
              </w:rPr>
            </w:pPr>
            <w:r>
              <w:rPr>
                <w:rFonts w:hint="eastAsia" w:ascii="Times New Roman" w:hAnsi="Times New Roman" w:eastAsia="方正黑体_GBK" w:cs="宋体"/>
                <w:kern w:val="0"/>
                <w:sz w:val="22"/>
              </w:rPr>
              <w:t>二、政府性基金预算收入</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方正黑体_GBK" w:cs="宋体"/>
                <w:kern w:val="0"/>
                <w:sz w:val="22"/>
              </w:rPr>
            </w:pPr>
            <w:r>
              <w:rPr>
                <w:rFonts w:hint="eastAsia" w:ascii="Times New Roman" w:hAnsi="Times New Roman" w:eastAsia="方正黑体_GBK" w:cs="宋体"/>
                <w:kern w:val="0"/>
                <w:sz w:val="22"/>
              </w:rPr>
              <w:t>三、国有资本经营预算收入</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11423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20507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xml:space="preserve">179.52 </w:t>
            </w:r>
          </w:p>
        </w:tc>
      </w:tr>
      <w:tr>
        <w:tblPrEx>
          <w:tblCellMar>
            <w:top w:w="0" w:type="dxa"/>
            <w:left w:w="108" w:type="dxa"/>
            <w:bottom w:w="0" w:type="dxa"/>
            <w:right w:w="108" w:type="dxa"/>
          </w:tblCellMar>
        </w:tblPrEx>
        <w:trPr>
          <w:trHeight w:val="499" w:hRule="atLeast"/>
          <w:jc w:val="center"/>
        </w:trPr>
        <w:tc>
          <w:tcPr>
            <w:tcW w:w="4960"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方正黑体_GBK" w:cs="宋体"/>
                <w:kern w:val="0"/>
                <w:sz w:val="22"/>
              </w:rPr>
            </w:pPr>
            <w:r>
              <w:rPr>
                <w:rFonts w:hint="eastAsia" w:ascii="Times New Roman" w:hAnsi="Times New Roman" w:eastAsia="方正黑体_GBK" w:cs="宋体"/>
                <w:kern w:val="0"/>
                <w:sz w:val="22"/>
              </w:rPr>
              <w:t>四、社会保险基金预算收入</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9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w:t>
            </w:r>
          </w:p>
        </w:tc>
      </w:tr>
      <w:tr>
        <w:tblPrEx>
          <w:tblCellMar>
            <w:top w:w="0" w:type="dxa"/>
            <w:left w:w="108" w:type="dxa"/>
            <w:bottom w:w="0" w:type="dxa"/>
            <w:right w:w="108" w:type="dxa"/>
          </w:tblCellMar>
        </w:tblPrEx>
        <w:trPr>
          <w:trHeight w:val="465" w:hRule="atLeast"/>
          <w:jc w:val="center"/>
        </w:trPr>
        <w:tc>
          <w:tcPr>
            <w:tcW w:w="10660" w:type="dxa"/>
            <w:gridSpan w:val="4"/>
            <w:tcBorders>
              <w:top w:val="single" w:color="auto" w:sz="4" w:space="0"/>
              <w:left w:val="nil"/>
              <w:bottom w:val="nil"/>
              <w:right w:val="nil"/>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注：由于四舍五入因素，部分分项加和与总数可能略有差异，下同。</w:t>
            </w:r>
          </w:p>
        </w:tc>
      </w:tr>
    </w:tbl>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widowControl/>
        <w:adjustRightInd w:val="0"/>
        <w:snapToGrid w:val="0"/>
        <w:spacing w:line="500" w:lineRule="exact"/>
        <w:ind w:right="-680" w:rightChars="-324"/>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表14</w:t>
      </w:r>
    </w:p>
    <w:p>
      <w:pPr>
        <w:adjustRightInd w:val="0"/>
        <w:snapToGrid w:val="0"/>
        <w:spacing w:line="60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九龙坡区2023年全区财政预算支出执行表</w:t>
      </w:r>
    </w:p>
    <w:p>
      <w:pPr>
        <w:widowControl/>
        <w:wordWrap w:val="0"/>
        <w:adjustRightInd w:val="0"/>
        <w:snapToGrid w:val="0"/>
        <w:spacing w:line="500" w:lineRule="exact"/>
        <w:jc w:val="right"/>
        <w:rPr>
          <w:rFonts w:ascii="Times New Roman" w:hAnsi="Times New Roman" w:eastAsia="方正仿宋_GBK" w:cs="Times New Roman"/>
          <w:kern w:val="0"/>
          <w:sz w:val="28"/>
          <w:szCs w:val="28"/>
        </w:rPr>
      </w:pPr>
      <w:r>
        <w:rPr>
          <w:rFonts w:hint="eastAsia" w:ascii="Times New Roman" w:hAnsi="Times New Roman" w:eastAsia="方正仿宋_GBK" w:cs="Times New Roman"/>
          <w:kern w:val="0"/>
          <w:sz w:val="28"/>
          <w:szCs w:val="28"/>
        </w:rPr>
        <w:t xml:space="preserve">    </w:t>
      </w:r>
      <w:r>
        <w:rPr>
          <w:rFonts w:ascii="Times New Roman" w:hAnsi="Times New Roman" w:eastAsia="方正仿宋_GBK" w:cs="Times New Roman"/>
          <w:kern w:val="0"/>
          <w:sz w:val="28"/>
          <w:szCs w:val="28"/>
        </w:rPr>
        <w:t>单位：万元</w:t>
      </w:r>
    </w:p>
    <w:tbl>
      <w:tblPr>
        <w:tblStyle w:val="9"/>
        <w:tblW w:w="10660" w:type="dxa"/>
        <w:jc w:val="center"/>
        <w:tblLayout w:type="autofit"/>
        <w:tblCellMar>
          <w:top w:w="0" w:type="dxa"/>
          <w:left w:w="108" w:type="dxa"/>
          <w:bottom w:w="0" w:type="dxa"/>
          <w:right w:w="108" w:type="dxa"/>
        </w:tblCellMar>
      </w:tblPr>
      <w:tblGrid>
        <w:gridCol w:w="5020"/>
        <w:gridCol w:w="1880"/>
        <w:gridCol w:w="1880"/>
        <w:gridCol w:w="1880"/>
      </w:tblGrid>
      <w:tr>
        <w:tblPrEx>
          <w:tblCellMar>
            <w:top w:w="0" w:type="dxa"/>
            <w:left w:w="108" w:type="dxa"/>
            <w:bottom w:w="0" w:type="dxa"/>
            <w:right w:w="108" w:type="dxa"/>
          </w:tblCellMar>
        </w:tblPrEx>
        <w:trPr>
          <w:trHeight w:val="619" w:hRule="atLeast"/>
          <w:tblHeader/>
          <w:jc w:val="center"/>
        </w:trPr>
        <w:tc>
          <w:tcPr>
            <w:tcW w:w="5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 w:val="22"/>
              </w:rPr>
            </w:pPr>
            <w:r>
              <w:rPr>
                <w:rFonts w:hint="eastAsia" w:ascii="Times New Roman" w:hAnsi="Times New Roman" w:eastAsia="方正黑体_GBK" w:cs="宋体"/>
                <w:kern w:val="0"/>
                <w:sz w:val="22"/>
              </w:rPr>
              <w:t>项    目</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2022</w:t>
            </w:r>
            <w:r>
              <w:rPr>
                <w:rFonts w:hint="eastAsia" w:ascii="Times New Roman" w:hAnsi="Times New Roman" w:eastAsia="方正黑体_GBK" w:cs="Times New Roman"/>
                <w:kern w:val="0"/>
                <w:sz w:val="22"/>
              </w:rPr>
              <w:t>年预算数</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2023</w:t>
            </w:r>
            <w:r>
              <w:rPr>
                <w:rFonts w:hint="eastAsia" w:ascii="Times New Roman" w:hAnsi="Times New Roman" w:eastAsia="方正黑体_GBK" w:cs="Times New Roman"/>
                <w:kern w:val="0"/>
                <w:sz w:val="22"/>
              </w:rPr>
              <w:t>年预算数</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 w:val="22"/>
              </w:rPr>
            </w:pPr>
            <w:r>
              <w:rPr>
                <w:rFonts w:hint="eastAsia" w:ascii="Times New Roman" w:hAnsi="Times New Roman" w:eastAsia="方正黑体_GBK" w:cs="宋体"/>
                <w:kern w:val="0"/>
                <w:sz w:val="22"/>
              </w:rPr>
              <w:t>预算数为上年</w:t>
            </w:r>
            <w:r>
              <w:rPr>
                <w:rFonts w:hint="eastAsia" w:ascii="Times New Roman" w:hAnsi="Times New Roman" w:eastAsia="方正黑体_GBK" w:cs="宋体"/>
                <w:kern w:val="0"/>
                <w:sz w:val="22"/>
              </w:rPr>
              <w:br w:type="textWrapping"/>
            </w:r>
            <w:r>
              <w:rPr>
                <w:rFonts w:hint="eastAsia" w:ascii="Times New Roman" w:hAnsi="Times New Roman" w:eastAsia="方正黑体_GBK" w:cs="宋体"/>
                <w:kern w:val="0"/>
                <w:sz w:val="22"/>
              </w:rPr>
              <w:t>预算数的%</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kern w:val="0"/>
                <w:sz w:val="22"/>
              </w:rPr>
            </w:pPr>
            <w:r>
              <w:rPr>
                <w:rFonts w:hint="eastAsia" w:ascii="Times New Roman" w:hAnsi="Times New Roman" w:eastAsia="方正黑体_GBK" w:cs="宋体"/>
                <w:kern w:val="0"/>
                <w:sz w:val="22"/>
              </w:rPr>
              <w:t>一、一般公共预算支出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b/>
                <w:bCs/>
                <w:kern w:val="0"/>
                <w:sz w:val="22"/>
              </w:rPr>
            </w:pPr>
            <w:r>
              <w:rPr>
                <w:rFonts w:ascii="Times New Roman" w:hAnsi="Times New Roman" w:eastAsia="宋体" w:cs="Times New Roman"/>
                <w:b/>
                <w:bCs/>
                <w:kern w:val="0"/>
                <w:sz w:val="22"/>
              </w:rPr>
              <w:t xml:space="preserve">990421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b/>
                <w:bCs/>
                <w:kern w:val="0"/>
                <w:sz w:val="22"/>
              </w:rPr>
            </w:pPr>
            <w:r>
              <w:rPr>
                <w:rFonts w:ascii="Times New Roman" w:hAnsi="Times New Roman" w:eastAsia="宋体" w:cs="Times New Roman"/>
                <w:b/>
                <w:bCs/>
                <w:kern w:val="0"/>
                <w:sz w:val="22"/>
              </w:rPr>
              <w:t xml:space="preserve">1091731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b/>
                <w:bCs/>
                <w:kern w:val="0"/>
                <w:sz w:val="22"/>
              </w:rPr>
            </w:pPr>
            <w:r>
              <w:rPr>
                <w:rFonts w:ascii="Times New Roman" w:hAnsi="Times New Roman" w:eastAsia="宋体" w:cs="Times New Roman"/>
                <w:b/>
                <w:bCs/>
                <w:kern w:val="0"/>
                <w:sz w:val="22"/>
              </w:rPr>
              <w:t>110.2</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一、一般公共服务支出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67506</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78033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115.6</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二、外交支出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三、国防支出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3023</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1583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52.4</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四、公共安全支出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80012</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73763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92.2</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五、教育支出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249057</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250182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100.5</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六、科学技术支出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13794</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15788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114.5</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七、文化旅游体育与传媒支出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8321</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9563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114.9</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八、社会保障和就业支出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183681</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177871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96.8</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九、卫生健康支出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66346</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97868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147.5</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十、节能环保支出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27514</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42543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154.6</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十一、城乡社区支出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75987</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119012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156.6</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十二、农林水支出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25674</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26760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104.2</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十三、交通运输支出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11916</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14230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119.4</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十四、资源勘探工业信息等支出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31242</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8209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26.3</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十五、商业服务业等支出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3987</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4086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102.5</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十六、金融支出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89</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156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175.3</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十七、援助其他地区支出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lef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　</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十八、自然资源海洋气象等支出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4043</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3060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75.7</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十九、住房保障支出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50513</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41119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81.4</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二十、粮油物资储备支出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1497</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1769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118.2</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二十一、灾害防治及应急管理支出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11727</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11877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101.3</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二十二、预备费</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18012</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30000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166.6</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二十三、其他支出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28440</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56019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197.0</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二十四、债务付息支出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28036</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28238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100.7</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 xml:space="preserve">    二十五、债务发行费用支出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4</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2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50.0</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kern w:val="0"/>
                <w:sz w:val="22"/>
              </w:rPr>
            </w:pPr>
            <w:r>
              <w:rPr>
                <w:rFonts w:hint="eastAsia" w:ascii="Times New Roman" w:hAnsi="Times New Roman" w:eastAsia="方正黑体_GBK" w:cs="宋体"/>
                <w:kern w:val="0"/>
                <w:sz w:val="22"/>
              </w:rPr>
              <w:t>二、政府性基金预算支出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b/>
                <w:bCs/>
                <w:kern w:val="0"/>
                <w:sz w:val="22"/>
              </w:rPr>
            </w:pPr>
            <w:r>
              <w:rPr>
                <w:rFonts w:ascii="Times New Roman" w:hAnsi="Times New Roman" w:eastAsia="宋体" w:cs="Times New Roman"/>
                <w:b/>
                <w:bCs/>
                <w:kern w:val="0"/>
                <w:sz w:val="22"/>
              </w:rPr>
              <w:t xml:space="preserve">271899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b/>
                <w:bCs/>
                <w:kern w:val="0"/>
                <w:sz w:val="22"/>
              </w:rPr>
            </w:pPr>
            <w:r>
              <w:rPr>
                <w:rFonts w:ascii="Times New Roman" w:hAnsi="Times New Roman" w:eastAsia="宋体" w:cs="Times New Roman"/>
                <w:b/>
                <w:bCs/>
                <w:kern w:val="0"/>
                <w:sz w:val="22"/>
              </w:rPr>
              <w:t xml:space="preserve">453279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b/>
                <w:bCs/>
                <w:kern w:val="0"/>
                <w:sz w:val="22"/>
              </w:rPr>
            </w:pPr>
            <w:r>
              <w:rPr>
                <w:rFonts w:ascii="Times New Roman" w:hAnsi="Times New Roman" w:eastAsia="宋体" w:cs="Times New Roman"/>
                <w:b/>
                <w:bCs/>
                <w:kern w:val="0"/>
                <w:sz w:val="22"/>
              </w:rPr>
              <w:t>166.7</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kern w:val="0"/>
                <w:sz w:val="22"/>
              </w:rPr>
            </w:pPr>
            <w:r>
              <w:rPr>
                <w:rFonts w:hint="eastAsia" w:ascii="Times New Roman" w:hAnsi="Times New Roman" w:eastAsia="方正黑体_GBK" w:cs="宋体"/>
                <w:kern w:val="0"/>
                <w:sz w:val="22"/>
              </w:rPr>
              <w:t>三、国有资本经营预算支出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8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xml:space="preserve">8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宋体" w:cs="Times New Roman"/>
                <w:kern w:val="0"/>
                <w:sz w:val="22"/>
              </w:rPr>
            </w:pPr>
            <w:r>
              <w:rPr>
                <w:rFonts w:ascii="Times New Roman" w:hAnsi="Times New Roman" w:eastAsia="宋体" w:cs="Times New Roman"/>
                <w:kern w:val="0"/>
                <w:sz w:val="22"/>
              </w:rPr>
              <w:t>100.0</w:t>
            </w:r>
          </w:p>
        </w:tc>
      </w:tr>
      <w:tr>
        <w:tblPrEx>
          <w:tblCellMar>
            <w:top w:w="0" w:type="dxa"/>
            <w:left w:w="108" w:type="dxa"/>
            <w:bottom w:w="0" w:type="dxa"/>
            <w:right w:w="108" w:type="dxa"/>
          </w:tblCellMar>
        </w:tblPrEx>
        <w:trPr>
          <w:trHeight w:val="469" w:hRule="atLeast"/>
          <w:jc w:val="center"/>
        </w:trPr>
        <w:tc>
          <w:tcPr>
            <w:tcW w:w="50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kern w:val="0"/>
                <w:sz w:val="22"/>
              </w:rPr>
            </w:pPr>
            <w:r>
              <w:rPr>
                <w:rFonts w:hint="eastAsia" w:ascii="Times New Roman" w:hAnsi="Times New Roman" w:eastAsia="方正黑体_GBK" w:cs="宋体"/>
                <w:kern w:val="0"/>
                <w:sz w:val="22"/>
              </w:rPr>
              <w:t>四、社会保险基金预算支出</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 w:val="22"/>
              </w:rPr>
            </w:pPr>
            <w:r>
              <w:rPr>
                <w:rFonts w:ascii="Times New Roman" w:hAnsi="Times New Roman" w:eastAsia="宋体" w:cs="Times New Roman"/>
                <w:kern w:val="0"/>
                <w:sz w:val="22"/>
              </w:rPr>
              <w:t>　</w:t>
            </w:r>
          </w:p>
        </w:tc>
        <w:tc>
          <w:tcPr>
            <w:tcW w:w="18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left"/>
              <w:rPr>
                <w:rFonts w:ascii="Times New Roman" w:hAnsi="Times New Roman" w:eastAsia="宋体" w:cs="宋体"/>
                <w:kern w:val="0"/>
                <w:sz w:val="22"/>
              </w:rPr>
            </w:pPr>
            <w:r>
              <w:rPr>
                <w:rFonts w:hint="eastAsia" w:ascii="Times New Roman" w:hAnsi="Times New Roman" w:eastAsia="宋体" w:cs="宋体"/>
                <w:kern w:val="0"/>
                <w:sz w:val="22"/>
              </w:rPr>
              <w:t>　</w:t>
            </w:r>
          </w:p>
        </w:tc>
      </w:tr>
    </w:tbl>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left"/>
        <w:rPr>
          <w:rFonts w:ascii="Times New Roman" w:hAnsi="Times New Roman" w:eastAsia="方正黑体_GBK"/>
          <w:sz w:val="32"/>
          <w:szCs w:val="32"/>
        </w:rPr>
        <w:sectPr>
          <w:pgSz w:w="11906" w:h="16838"/>
          <w:pgMar w:top="1985" w:right="1446" w:bottom="1644" w:left="1446" w:header="851" w:footer="1474" w:gutter="0"/>
          <w:cols w:space="425" w:num="1"/>
          <w:docGrid w:type="lines" w:linePitch="312" w:charSpace="0"/>
        </w:sectPr>
      </w:pPr>
    </w:p>
    <w:p>
      <w:pPr>
        <w:adjustRightInd w:val="0"/>
        <w:snapToGrid w:val="0"/>
        <w:spacing w:line="600" w:lineRule="exact"/>
        <w:jc w:val="left"/>
        <w:rPr>
          <w:rFonts w:ascii="Times New Roman" w:hAnsi="Times New Roman" w:eastAsia="方正黑体_GBK"/>
          <w:sz w:val="32"/>
          <w:szCs w:val="32"/>
        </w:rPr>
      </w:pPr>
      <w:r>
        <w:rPr>
          <w:rFonts w:hint="eastAsia" w:ascii="Times New Roman" w:hAnsi="Times New Roman" w:eastAsia="方正黑体_GBK"/>
          <w:sz w:val="32"/>
          <w:szCs w:val="32"/>
        </w:rPr>
        <w:t>表15</w:t>
      </w:r>
    </w:p>
    <w:p>
      <w:pPr>
        <w:adjustRightInd w:val="0"/>
        <w:snapToGrid w:val="0"/>
        <w:spacing w:line="60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九龙坡区2023年区级一般公共预算收支预算表</w:t>
      </w:r>
    </w:p>
    <w:p>
      <w:pPr>
        <w:widowControl/>
        <w:adjustRightInd w:val="0"/>
        <w:snapToGrid w:val="0"/>
        <w:spacing w:line="48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14401" w:type="dxa"/>
        <w:jc w:val="center"/>
        <w:tblLayout w:type="autofit"/>
        <w:tblCellMar>
          <w:top w:w="0" w:type="dxa"/>
          <w:left w:w="108" w:type="dxa"/>
          <w:bottom w:w="0" w:type="dxa"/>
          <w:right w:w="108" w:type="dxa"/>
        </w:tblCellMar>
      </w:tblPr>
      <w:tblGrid>
        <w:gridCol w:w="3736"/>
        <w:gridCol w:w="1056"/>
        <w:gridCol w:w="1755"/>
        <w:gridCol w:w="2826"/>
        <w:gridCol w:w="1056"/>
        <w:gridCol w:w="1176"/>
        <w:gridCol w:w="1176"/>
        <w:gridCol w:w="1812"/>
      </w:tblGrid>
      <w:tr>
        <w:tblPrEx>
          <w:tblCellMar>
            <w:top w:w="0" w:type="dxa"/>
            <w:left w:w="108" w:type="dxa"/>
            <w:bottom w:w="0" w:type="dxa"/>
            <w:right w:w="108" w:type="dxa"/>
          </w:tblCellMar>
        </w:tblPrEx>
        <w:trPr>
          <w:trHeight w:val="555" w:hRule="atLeast"/>
          <w:tblHeader/>
          <w:jc w:val="center"/>
        </w:trPr>
        <w:tc>
          <w:tcPr>
            <w:tcW w:w="0" w:type="auto"/>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收            入</w:t>
            </w:r>
          </w:p>
        </w:tc>
        <w:tc>
          <w:tcPr>
            <w:tcW w:w="100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预算数</w:t>
            </w:r>
          </w:p>
        </w:tc>
        <w:tc>
          <w:tcPr>
            <w:tcW w:w="175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同比增长%</w:t>
            </w:r>
          </w:p>
        </w:tc>
        <w:tc>
          <w:tcPr>
            <w:tcW w:w="282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支            出</w:t>
            </w:r>
          </w:p>
        </w:tc>
        <w:tc>
          <w:tcPr>
            <w:tcW w:w="0" w:type="auto"/>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预算数</w:t>
            </w:r>
          </w:p>
        </w:tc>
        <w:tc>
          <w:tcPr>
            <w:tcW w:w="181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同比增长%</w:t>
            </w:r>
          </w:p>
        </w:tc>
      </w:tr>
      <w:tr>
        <w:tblPrEx>
          <w:tblCellMar>
            <w:top w:w="0" w:type="dxa"/>
            <w:left w:w="108" w:type="dxa"/>
            <w:bottom w:w="0" w:type="dxa"/>
            <w:right w:w="108" w:type="dxa"/>
          </w:tblCellMar>
        </w:tblPrEx>
        <w:trPr>
          <w:trHeight w:val="555" w:hRule="atLeast"/>
          <w:tblHeader/>
          <w:jc w:val="center"/>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340" w:lineRule="exact"/>
              <w:jc w:val="left"/>
              <w:rPr>
                <w:rFonts w:ascii="Times New Roman" w:hAnsi="Times New Roman" w:eastAsia="方正黑体_GBK" w:cs="宋体"/>
                <w:kern w:val="0"/>
                <w:sz w:val="24"/>
                <w:szCs w:val="24"/>
              </w:rPr>
            </w:pPr>
          </w:p>
        </w:tc>
        <w:tc>
          <w:tcPr>
            <w:tcW w:w="1000"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340" w:lineRule="exact"/>
              <w:jc w:val="left"/>
              <w:rPr>
                <w:rFonts w:ascii="Times New Roman" w:hAnsi="Times New Roman" w:eastAsia="方正黑体_GBK" w:cs="宋体"/>
                <w:kern w:val="0"/>
                <w:sz w:val="24"/>
                <w:szCs w:val="24"/>
              </w:rPr>
            </w:pPr>
          </w:p>
        </w:tc>
        <w:tc>
          <w:tcPr>
            <w:tcW w:w="1755"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340" w:lineRule="exact"/>
              <w:jc w:val="left"/>
              <w:rPr>
                <w:rFonts w:ascii="Times New Roman" w:hAnsi="Times New Roman" w:eastAsia="方正黑体_GBK" w:cs="宋体"/>
                <w:kern w:val="0"/>
                <w:sz w:val="24"/>
                <w:szCs w:val="24"/>
              </w:rPr>
            </w:pPr>
          </w:p>
        </w:tc>
        <w:tc>
          <w:tcPr>
            <w:tcW w:w="282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40" w:lineRule="exact"/>
              <w:jc w:val="left"/>
              <w:rPr>
                <w:rFonts w:ascii="Times New Roman" w:hAnsi="Times New Roman" w:eastAsia="方正黑体_GBK" w:cs="宋体"/>
                <w:color w:val="000000"/>
                <w:kern w:val="0"/>
                <w:sz w:val="24"/>
                <w:szCs w:val="24"/>
              </w:rPr>
            </w:pP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小计</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当年预算</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上年结转</w:t>
            </w:r>
          </w:p>
        </w:tc>
        <w:tc>
          <w:tcPr>
            <w:tcW w:w="1812"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340" w:lineRule="exact"/>
              <w:jc w:val="left"/>
              <w:rPr>
                <w:rFonts w:ascii="Times New Roman" w:hAnsi="Times New Roman" w:eastAsia="方正黑体_GBK" w:cs="宋体"/>
                <w:kern w:val="0"/>
                <w:sz w:val="24"/>
                <w:szCs w:val="24"/>
              </w:rPr>
            </w:pPr>
          </w:p>
        </w:tc>
      </w:tr>
      <w:tr>
        <w:tblPrEx>
          <w:tblCellMar>
            <w:top w:w="0" w:type="dxa"/>
            <w:left w:w="108" w:type="dxa"/>
            <w:bottom w:w="0" w:type="dxa"/>
            <w:right w:w="108" w:type="dxa"/>
          </w:tblCellMar>
        </w:tblPrEx>
        <w:trPr>
          <w:trHeight w:val="55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总    计</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1186376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b/>
                <w:bCs/>
                <w:kern w:val="0"/>
                <w:sz w:val="24"/>
                <w:szCs w:val="24"/>
              </w:rPr>
            </w:pPr>
            <w:r>
              <w:rPr>
                <w:rFonts w:hint="eastAsia" w:ascii="Times New Roman" w:hAnsi="Times New Roman" w:eastAsia="方正黑体_GBK" w:cs="宋体"/>
                <w:b/>
                <w:bCs/>
                <w:kern w:val="0"/>
                <w:sz w:val="24"/>
                <w:szCs w:val="24"/>
              </w:rPr>
              <w:t>-</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总     计</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1186376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1101377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84999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w:t>
            </w:r>
          </w:p>
        </w:tc>
      </w:tr>
      <w:tr>
        <w:tblPrEx>
          <w:tblCellMar>
            <w:top w:w="0" w:type="dxa"/>
            <w:left w:w="108" w:type="dxa"/>
            <w:bottom w:w="0" w:type="dxa"/>
            <w:right w:w="108" w:type="dxa"/>
          </w:tblCellMar>
        </w:tblPrEx>
        <w:trPr>
          <w:trHeight w:val="40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区级收入合计</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617141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区级支出合计</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1091731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1006732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84999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10.23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b/>
                <w:bCs/>
                <w:kern w:val="0"/>
                <w:sz w:val="24"/>
                <w:szCs w:val="24"/>
              </w:rPr>
            </w:pPr>
            <w:r>
              <w:rPr>
                <w:rFonts w:hint="eastAsia" w:ascii="Times New Roman" w:hAnsi="Times New Roman" w:eastAsia="方正楷体_GBK" w:cs="宋体"/>
                <w:b/>
                <w:bCs/>
                <w:kern w:val="0"/>
                <w:sz w:val="24"/>
                <w:szCs w:val="24"/>
              </w:rPr>
              <w:t>（一）税收收入</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431999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10.41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一、一般公共服务支出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78033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77876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157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15.59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增值税</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95228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二、国防支出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1583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1583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-47.63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企业所得税</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27711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三、公共安全支出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73763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73720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-7.81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个人所得税</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17417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四、教育支出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250182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246013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4169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0.45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资源税</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五、科学技术支出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15788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15466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322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14.46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城市维护建设税</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15668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六、文化旅游体育与传媒支出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9563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9523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14.93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房产税</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20463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七、社会保障和就业支出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177871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173528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4343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-3.16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印花税</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17689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八、卫生健康支出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97868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94010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3858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47.51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城镇土地使用税</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28937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九、节能环保支出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42543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23029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19514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54.62 </w:t>
            </w:r>
          </w:p>
        </w:tc>
      </w:tr>
      <w:tr>
        <w:tblPrEx>
          <w:tblCellMar>
            <w:top w:w="0" w:type="dxa"/>
            <w:left w:w="108" w:type="dxa"/>
            <w:bottom w:w="0" w:type="dxa"/>
            <w:right w:w="108" w:type="dxa"/>
          </w:tblCellMar>
        </w:tblPrEx>
        <w:trPr>
          <w:trHeight w:val="39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土地增值税</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124545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11.45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十、城乡社区支出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119012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90233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28779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56.62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耕地占用税</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689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10.06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十一、农林水支出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26760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24099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2661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4.23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契税</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82871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十二、交通运输支出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14230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7932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6298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19.42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环境保护税</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255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9.91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十三、资源勘探工业信息等支出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8209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8209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-73.72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其他税收收入</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515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10.04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十四、商业服务业等支出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4086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2828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1258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2.48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b/>
                <w:bCs/>
                <w:color w:val="000000"/>
                <w:kern w:val="0"/>
                <w:sz w:val="24"/>
                <w:szCs w:val="24"/>
              </w:rPr>
            </w:pPr>
            <w:r>
              <w:rPr>
                <w:rFonts w:hint="eastAsia" w:ascii="Times New Roman" w:hAnsi="Times New Roman" w:eastAsia="方正楷体_GBK" w:cs="宋体"/>
                <w:b/>
                <w:bCs/>
                <w:color w:val="000000"/>
                <w:kern w:val="0"/>
                <w:sz w:val="24"/>
                <w:szCs w:val="24"/>
              </w:rPr>
              <w:t>（二）非税收入</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185142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9.05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十五、金融支出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156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156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75.28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专项收入</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15908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十六、自然资源海洋气象等支出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3060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2760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300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-24.31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行政事业性收费收入</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387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9.94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十七、住房保障支出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41119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28080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13039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-18.60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罚没收入</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17777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十八、粮油物资储备支出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1769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1769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18.17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国有资源(资产)有偿使用收入</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147906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8.81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十九、灾害防治及应急管理支出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11957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11824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133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1.96 </w:t>
            </w:r>
          </w:p>
        </w:tc>
      </w:tr>
      <w:tr>
        <w:tblPrEx>
          <w:tblCellMar>
            <w:top w:w="0" w:type="dxa"/>
            <w:left w:w="108" w:type="dxa"/>
            <w:bottom w:w="0" w:type="dxa"/>
            <w:right w:w="108" w:type="dxa"/>
          </w:tblCellMar>
        </w:tblPrEx>
        <w:trPr>
          <w:trHeight w:val="43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捐赠收入</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330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二十、预备费</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30000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30000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66.56 </w:t>
            </w:r>
          </w:p>
        </w:tc>
      </w:tr>
      <w:tr>
        <w:tblPrEx>
          <w:tblCellMar>
            <w:top w:w="0" w:type="dxa"/>
            <w:left w:w="108" w:type="dxa"/>
            <w:bottom w:w="0" w:type="dxa"/>
            <w:right w:w="108" w:type="dxa"/>
          </w:tblCellMar>
        </w:tblPrEx>
        <w:trPr>
          <w:trHeight w:val="43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政府住房基金收入</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341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10.00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二十一、其他支出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55939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55854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85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96.69 </w:t>
            </w:r>
          </w:p>
        </w:tc>
      </w:tr>
      <w:tr>
        <w:tblPrEx>
          <w:tblCellMar>
            <w:top w:w="0" w:type="dxa"/>
            <w:left w:w="108" w:type="dxa"/>
            <w:bottom w:w="0" w:type="dxa"/>
            <w:right w:w="108" w:type="dxa"/>
          </w:tblCellMar>
        </w:tblPrEx>
        <w:trPr>
          <w:trHeight w:val="43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其他收入</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2493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10.02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二十二、债务付息支出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28238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28238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0.72 </w:t>
            </w:r>
          </w:p>
        </w:tc>
      </w:tr>
      <w:tr>
        <w:tblPrEx>
          <w:tblCellMar>
            <w:top w:w="0" w:type="dxa"/>
            <w:left w:w="108" w:type="dxa"/>
            <w:bottom w:w="0" w:type="dxa"/>
            <w:right w:w="108" w:type="dxa"/>
          </w:tblCellMar>
        </w:tblPrEx>
        <w:trPr>
          <w:trHeight w:val="43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二十三、债务发行费用支出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-50.00 </w:t>
            </w:r>
          </w:p>
        </w:tc>
      </w:tr>
      <w:tr>
        <w:tblPrEx>
          <w:tblCellMar>
            <w:top w:w="0" w:type="dxa"/>
            <w:left w:w="108" w:type="dxa"/>
            <w:bottom w:w="0" w:type="dxa"/>
            <w:right w:w="108" w:type="dxa"/>
          </w:tblCellMar>
        </w:tblPrEx>
        <w:trPr>
          <w:trHeight w:val="43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转移性收入合计</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xml:space="preserve">569235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转移性支出合计</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94645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94645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0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43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b/>
                <w:bCs/>
                <w:color w:val="000000"/>
                <w:kern w:val="0"/>
                <w:sz w:val="24"/>
                <w:szCs w:val="24"/>
              </w:rPr>
            </w:pPr>
            <w:r>
              <w:rPr>
                <w:rFonts w:hint="eastAsia" w:ascii="Times New Roman" w:hAnsi="Times New Roman" w:eastAsia="方正楷体_GBK" w:cs="宋体"/>
                <w:b/>
                <w:bCs/>
                <w:color w:val="000000"/>
                <w:kern w:val="0"/>
                <w:sz w:val="24"/>
                <w:szCs w:val="24"/>
              </w:rPr>
              <w:t xml:space="preserve">    一、上级补助收入</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214957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b/>
                <w:bCs/>
                <w:color w:val="000000"/>
                <w:kern w:val="0"/>
                <w:sz w:val="24"/>
                <w:szCs w:val="24"/>
              </w:rPr>
            </w:pPr>
            <w:r>
              <w:rPr>
                <w:rFonts w:hint="eastAsia" w:ascii="Times New Roman" w:hAnsi="Times New Roman" w:eastAsia="方正楷体_GBK" w:cs="宋体"/>
                <w:b/>
                <w:bCs/>
                <w:color w:val="000000"/>
                <w:kern w:val="0"/>
                <w:sz w:val="24"/>
                <w:szCs w:val="24"/>
              </w:rPr>
              <w:t xml:space="preserve">    一、上解支出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80545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80545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b/>
                <w:bCs/>
                <w:color w:val="000000"/>
                <w:kern w:val="0"/>
                <w:sz w:val="24"/>
                <w:szCs w:val="24"/>
              </w:rPr>
            </w:pPr>
            <w:r>
              <w:rPr>
                <w:rFonts w:hint="eastAsia" w:ascii="Times New Roman" w:hAnsi="Times New Roman" w:eastAsia="方正楷体_GBK" w:cs="宋体"/>
                <w:b/>
                <w:bCs/>
                <w:color w:val="000000"/>
                <w:kern w:val="0"/>
                <w:sz w:val="24"/>
                <w:szCs w:val="24"/>
              </w:rPr>
              <w:t xml:space="preserve">    二、债务转贷收入</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14100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b/>
                <w:bCs/>
                <w:color w:val="000000"/>
                <w:kern w:val="0"/>
                <w:sz w:val="24"/>
                <w:szCs w:val="24"/>
              </w:rPr>
            </w:pPr>
            <w:r>
              <w:rPr>
                <w:rFonts w:hint="eastAsia" w:ascii="Times New Roman" w:hAnsi="Times New Roman" w:eastAsia="方正楷体_GBK" w:cs="宋体"/>
                <w:b/>
                <w:bCs/>
                <w:color w:val="000000"/>
                <w:kern w:val="0"/>
                <w:sz w:val="24"/>
                <w:szCs w:val="24"/>
              </w:rPr>
              <w:t xml:space="preserve">    二、地方政府一般债务还本支出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14100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14100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b/>
                <w:bCs/>
                <w:color w:val="000000"/>
                <w:kern w:val="0"/>
                <w:sz w:val="24"/>
                <w:szCs w:val="24"/>
              </w:rPr>
            </w:pPr>
            <w:r>
              <w:rPr>
                <w:rFonts w:hint="eastAsia" w:ascii="Times New Roman" w:hAnsi="Times New Roman" w:eastAsia="方正楷体_GBK" w:cs="宋体"/>
                <w:b/>
                <w:bCs/>
                <w:color w:val="000000"/>
                <w:kern w:val="0"/>
                <w:sz w:val="24"/>
                <w:szCs w:val="24"/>
              </w:rPr>
              <w:t xml:space="preserve">    三、动用预算稳定调节基金</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84672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b/>
                <w:bCs/>
                <w:color w:val="000000"/>
                <w:kern w:val="0"/>
                <w:sz w:val="24"/>
                <w:szCs w:val="24"/>
              </w:rPr>
            </w:pPr>
            <w:r>
              <w:rPr>
                <w:rFonts w:hint="eastAsia" w:ascii="Times New Roman" w:hAnsi="Times New Roman" w:eastAsia="方正楷体_GBK" w:cs="宋体"/>
                <w:b/>
                <w:bCs/>
                <w:color w:val="000000"/>
                <w:kern w:val="0"/>
                <w:sz w:val="24"/>
                <w:szCs w:val="24"/>
              </w:rPr>
              <w:t xml:space="preserve">    四、调入资金</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170507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375"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b/>
                <w:bCs/>
                <w:color w:val="000000"/>
                <w:kern w:val="0"/>
                <w:sz w:val="24"/>
                <w:szCs w:val="24"/>
              </w:rPr>
            </w:pPr>
            <w:r>
              <w:rPr>
                <w:rFonts w:hint="eastAsia" w:ascii="Times New Roman" w:hAnsi="Times New Roman" w:eastAsia="方正楷体_GBK" w:cs="宋体"/>
                <w:b/>
                <w:bCs/>
                <w:color w:val="000000"/>
                <w:kern w:val="0"/>
                <w:sz w:val="24"/>
                <w:szCs w:val="24"/>
              </w:rPr>
              <w:t xml:space="preserve">    五、上年结转</w:t>
            </w:r>
          </w:p>
        </w:tc>
        <w:tc>
          <w:tcPr>
            <w:tcW w:w="10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84999 </w:t>
            </w:r>
          </w:p>
        </w:tc>
        <w:tc>
          <w:tcPr>
            <w:tcW w:w="1755"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　</w:t>
            </w:r>
          </w:p>
        </w:tc>
        <w:tc>
          <w:tcPr>
            <w:tcW w:w="28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1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270" w:hRule="atLeast"/>
          <w:jc w:val="center"/>
        </w:trPr>
        <w:tc>
          <w:tcPr>
            <w:tcW w:w="14401" w:type="dxa"/>
            <w:gridSpan w:val="8"/>
            <w:tcBorders>
              <w:top w:val="single" w:color="auto" w:sz="4" w:space="0"/>
              <w:left w:val="nil"/>
              <w:bottom w:val="nil"/>
              <w:right w:val="nil"/>
            </w:tcBorders>
            <w:shd w:val="clear" w:color="auto" w:fill="auto"/>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注：</w:t>
            </w:r>
            <w:r>
              <w:rPr>
                <w:rFonts w:ascii="Times New Roman" w:hAnsi="Times New Roman" w:eastAsia="宋体" w:cs="Times New Roman"/>
                <w:color w:val="000000"/>
                <w:kern w:val="0"/>
                <w:sz w:val="24"/>
                <w:szCs w:val="24"/>
              </w:rPr>
              <w:t>1.</w:t>
            </w:r>
            <w:r>
              <w:rPr>
                <w:rFonts w:hint="eastAsia" w:ascii="Times New Roman" w:hAnsi="Times New Roman" w:eastAsia="方正仿宋_GBK" w:cs="Times New Roman"/>
                <w:color w:val="000000"/>
                <w:kern w:val="0"/>
                <w:sz w:val="24"/>
                <w:szCs w:val="24"/>
              </w:rPr>
              <w:t>本表直观反映</w:t>
            </w:r>
            <w:r>
              <w:rPr>
                <w:rFonts w:ascii="Times New Roman" w:hAnsi="Times New Roman" w:eastAsia="宋体" w:cs="Times New Roman"/>
                <w:color w:val="000000"/>
                <w:kern w:val="0"/>
                <w:sz w:val="24"/>
                <w:szCs w:val="24"/>
              </w:rPr>
              <w:t>2023</w:t>
            </w:r>
            <w:r>
              <w:rPr>
                <w:rFonts w:hint="eastAsia" w:ascii="Times New Roman" w:hAnsi="Times New Roman" w:eastAsia="方正仿宋_GBK" w:cs="Times New Roman"/>
                <w:color w:val="000000"/>
                <w:kern w:val="0"/>
                <w:sz w:val="24"/>
                <w:szCs w:val="24"/>
              </w:rPr>
              <w:t>年一般公共预算收入与支出的平衡关系。</w:t>
            </w:r>
          </w:p>
        </w:tc>
      </w:tr>
      <w:tr>
        <w:tblPrEx>
          <w:tblCellMar>
            <w:top w:w="0" w:type="dxa"/>
            <w:left w:w="108" w:type="dxa"/>
            <w:bottom w:w="0" w:type="dxa"/>
            <w:right w:w="108" w:type="dxa"/>
          </w:tblCellMar>
        </w:tblPrEx>
        <w:trPr>
          <w:trHeight w:val="270" w:hRule="atLeast"/>
          <w:jc w:val="center"/>
        </w:trPr>
        <w:tc>
          <w:tcPr>
            <w:tcW w:w="14401" w:type="dxa"/>
            <w:gridSpan w:val="8"/>
            <w:tcBorders>
              <w:top w:val="nil"/>
              <w:left w:val="nil"/>
              <w:bottom w:val="nil"/>
              <w:right w:val="nil"/>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    2.</w:t>
            </w:r>
            <w:r>
              <w:rPr>
                <w:rFonts w:hint="eastAsia" w:ascii="Times New Roman" w:hAnsi="Times New Roman" w:eastAsia="方正仿宋_GBK" w:cs="Times New Roman"/>
                <w:color w:val="000000"/>
                <w:kern w:val="0"/>
                <w:sz w:val="24"/>
                <w:szCs w:val="24"/>
              </w:rPr>
              <w:t>收入总计（本级收入合计</w:t>
            </w:r>
            <w:r>
              <w:rPr>
                <w:rFonts w:ascii="Times New Roman" w:hAnsi="Times New Roman" w:eastAsia="宋体" w:cs="Times New Roman"/>
                <w:color w:val="000000"/>
                <w:kern w:val="0"/>
                <w:sz w:val="24"/>
                <w:szCs w:val="24"/>
              </w:rPr>
              <w:t>+</w:t>
            </w:r>
            <w:r>
              <w:rPr>
                <w:rFonts w:hint="eastAsia" w:ascii="Times New Roman" w:hAnsi="Times New Roman" w:eastAsia="方正仿宋_GBK" w:cs="Times New Roman"/>
                <w:color w:val="000000"/>
                <w:kern w:val="0"/>
                <w:sz w:val="24"/>
                <w:szCs w:val="24"/>
              </w:rPr>
              <w:t>转移性收入合计）</w:t>
            </w:r>
            <w:r>
              <w:rPr>
                <w:rFonts w:ascii="Times New Roman" w:hAnsi="Times New Roman" w:eastAsia="宋体" w:cs="Times New Roman"/>
                <w:color w:val="000000"/>
                <w:kern w:val="0"/>
                <w:sz w:val="24"/>
                <w:szCs w:val="24"/>
              </w:rPr>
              <w:t>=</w:t>
            </w:r>
            <w:r>
              <w:rPr>
                <w:rFonts w:hint="eastAsia" w:ascii="Times New Roman" w:hAnsi="Times New Roman" w:eastAsia="方正仿宋_GBK" w:cs="Times New Roman"/>
                <w:color w:val="000000"/>
                <w:kern w:val="0"/>
                <w:sz w:val="24"/>
                <w:szCs w:val="24"/>
              </w:rPr>
              <w:t>支出总计（本级支出合计</w:t>
            </w:r>
            <w:r>
              <w:rPr>
                <w:rFonts w:ascii="Times New Roman" w:hAnsi="Times New Roman" w:eastAsia="宋体" w:cs="Times New Roman"/>
                <w:color w:val="000000"/>
                <w:kern w:val="0"/>
                <w:sz w:val="24"/>
                <w:szCs w:val="24"/>
              </w:rPr>
              <w:t>+</w:t>
            </w:r>
            <w:r>
              <w:rPr>
                <w:rFonts w:hint="eastAsia" w:ascii="Times New Roman" w:hAnsi="Times New Roman" w:eastAsia="方正仿宋_GBK" w:cs="Times New Roman"/>
                <w:color w:val="000000"/>
                <w:kern w:val="0"/>
                <w:sz w:val="24"/>
                <w:szCs w:val="24"/>
              </w:rPr>
              <w:t>转移性支出合计）。</w:t>
            </w:r>
            <w:r>
              <w:rPr>
                <w:rFonts w:ascii="Times New Roman" w:hAnsi="Times New Roman" w:eastAsia="宋体" w:cs="Times New Roman"/>
                <w:color w:val="000000"/>
                <w:kern w:val="0"/>
                <w:sz w:val="24"/>
                <w:szCs w:val="24"/>
              </w:rPr>
              <w:t xml:space="preserve">                                                                      </w:t>
            </w:r>
          </w:p>
        </w:tc>
      </w:tr>
      <w:tr>
        <w:tblPrEx>
          <w:tblCellMar>
            <w:top w:w="0" w:type="dxa"/>
            <w:left w:w="108" w:type="dxa"/>
            <w:bottom w:w="0" w:type="dxa"/>
            <w:right w:w="108" w:type="dxa"/>
          </w:tblCellMar>
        </w:tblPrEx>
        <w:trPr>
          <w:trHeight w:val="300" w:hRule="atLeast"/>
          <w:jc w:val="center"/>
        </w:trPr>
        <w:tc>
          <w:tcPr>
            <w:tcW w:w="14401" w:type="dxa"/>
            <w:gridSpan w:val="8"/>
            <w:tcBorders>
              <w:top w:val="nil"/>
              <w:left w:val="nil"/>
              <w:bottom w:val="nil"/>
              <w:right w:val="nil"/>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    3.2023</w:t>
            </w:r>
            <w:r>
              <w:rPr>
                <w:rFonts w:hint="eastAsia" w:ascii="Times New Roman" w:hAnsi="Times New Roman" w:eastAsia="方正仿宋_GBK" w:cs="Times New Roman"/>
                <w:color w:val="000000"/>
                <w:kern w:val="0"/>
                <w:sz w:val="24"/>
                <w:szCs w:val="24"/>
              </w:rPr>
              <w:t>年年初预算草案中收支增幅表述均为同比增长。</w:t>
            </w:r>
          </w:p>
        </w:tc>
      </w:tr>
    </w:tbl>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widowControl/>
        <w:adjustRightInd w:val="0"/>
        <w:snapToGrid w:val="0"/>
        <w:spacing w:line="480" w:lineRule="exact"/>
        <w:jc w:val="left"/>
        <w:rPr>
          <w:rFonts w:ascii="Times New Roman" w:hAnsi="Times New Roman" w:eastAsia="方正黑体_GBK" w:cs="Times New Roman"/>
          <w:kern w:val="0"/>
          <w:sz w:val="32"/>
          <w:szCs w:val="32"/>
        </w:rPr>
        <w:sectPr>
          <w:pgSz w:w="16838" w:h="11906" w:orient="landscape"/>
          <w:pgMar w:top="1446" w:right="1985" w:bottom="1446" w:left="1644" w:header="851" w:footer="1474" w:gutter="0"/>
          <w:cols w:space="425" w:num="1"/>
          <w:docGrid w:type="linesAndChars" w:linePitch="312" w:charSpace="0"/>
        </w:sectPr>
      </w:pPr>
    </w:p>
    <w:p>
      <w:pPr>
        <w:widowControl/>
        <w:adjustRightInd w:val="0"/>
        <w:snapToGrid w:val="0"/>
        <w:spacing w:line="500" w:lineRule="exact"/>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w:t>
      </w:r>
      <w:r>
        <w:rPr>
          <w:rFonts w:hint="eastAsia" w:ascii="Times New Roman" w:hAnsi="Times New Roman" w:eastAsia="方正黑体_GBK" w:cs="Times New Roman"/>
          <w:kern w:val="0"/>
          <w:sz w:val="32"/>
          <w:szCs w:val="32"/>
        </w:rPr>
        <w:t>1</w:t>
      </w:r>
      <w:r>
        <w:rPr>
          <w:rFonts w:ascii="Times New Roman" w:hAnsi="Times New Roman" w:eastAsia="方正黑体_GBK" w:cs="Times New Roman"/>
          <w:kern w:val="0"/>
          <w:sz w:val="32"/>
          <w:szCs w:val="32"/>
        </w:rPr>
        <w:t>6</w:t>
      </w:r>
    </w:p>
    <w:p>
      <w:pPr>
        <w:adjustRightInd w:val="0"/>
        <w:snapToGrid w:val="0"/>
        <w:spacing w:line="60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九龙坡区2023年区级一般公共预算支出预算表</w:t>
      </w:r>
    </w:p>
    <w:p>
      <w:pPr>
        <w:widowControl/>
        <w:adjustRightInd w:val="0"/>
        <w:snapToGrid w:val="0"/>
        <w:spacing w:line="500" w:lineRule="exact"/>
        <w:jc w:val="center"/>
        <w:rPr>
          <w:rFonts w:ascii="Times New Roman" w:hAnsi="Times New Roman" w:eastAsia="方正楷体_GBK" w:cs="Times New Roman"/>
          <w:kern w:val="0"/>
          <w:sz w:val="28"/>
          <w:szCs w:val="28"/>
        </w:rPr>
      </w:pPr>
      <w:r>
        <w:rPr>
          <w:rFonts w:hint="eastAsia" w:ascii="Times New Roman" w:hAnsi="Times New Roman" w:eastAsia="方正楷体_GBK" w:cs="Times New Roman"/>
          <w:kern w:val="0"/>
          <w:sz w:val="28"/>
          <w:szCs w:val="28"/>
        </w:rPr>
        <w:t>（按功能科目分类）</w:t>
      </w:r>
    </w:p>
    <w:p>
      <w:pPr>
        <w:widowControl/>
        <w:adjustRightInd w:val="0"/>
        <w:snapToGrid w:val="0"/>
        <w:spacing w:line="50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10027" w:type="dxa"/>
        <w:jc w:val="center"/>
        <w:tblLayout w:type="autofit"/>
        <w:tblCellMar>
          <w:top w:w="0" w:type="dxa"/>
          <w:left w:w="108" w:type="dxa"/>
          <w:bottom w:w="0" w:type="dxa"/>
          <w:right w:w="108" w:type="dxa"/>
        </w:tblCellMar>
      </w:tblPr>
      <w:tblGrid>
        <w:gridCol w:w="1008"/>
        <w:gridCol w:w="4177"/>
        <w:gridCol w:w="1289"/>
        <w:gridCol w:w="1056"/>
        <w:gridCol w:w="1251"/>
        <w:gridCol w:w="1246"/>
      </w:tblGrid>
      <w:tr>
        <w:tblPrEx>
          <w:tblCellMar>
            <w:top w:w="0" w:type="dxa"/>
            <w:left w:w="108" w:type="dxa"/>
            <w:bottom w:w="0" w:type="dxa"/>
            <w:right w:w="108" w:type="dxa"/>
          </w:tblCellMar>
        </w:tblPrEx>
        <w:trPr>
          <w:trHeight w:val="585" w:hRule="atLeast"/>
          <w:tblHeader/>
          <w:jc w:val="center"/>
        </w:trPr>
        <w:tc>
          <w:tcPr>
            <w:tcW w:w="51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功能分类科目</w:t>
            </w:r>
          </w:p>
        </w:tc>
        <w:tc>
          <w:tcPr>
            <w:tcW w:w="12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2022</w:t>
            </w:r>
            <w:r>
              <w:rPr>
                <w:rFonts w:hint="eastAsia" w:ascii="Times New Roman" w:hAnsi="Times New Roman" w:eastAsia="方正黑体_GBK" w:cs="Times New Roman"/>
                <w:kern w:val="0"/>
                <w:sz w:val="24"/>
                <w:szCs w:val="24"/>
              </w:rPr>
              <w:t>年预算数</w:t>
            </w:r>
          </w:p>
        </w:tc>
        <w:tc>
          <w:tcPr>
            <w:tcW w:w="3553" w:type="dxa"/>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2023</w:t>
            </w:r>
            <w:r>
              <w:rPr>
                <w:rFonts w:hint="eastAsia" w:ascii="Times New Roman" w:hAnsi="Times New Roman" w:eastAsia="方正黑体_GBK" w:cs="Times New Roman"/>
                <w:kern w:val="0"/>
                <w:sz w:val="24"/>
                <w:szCs w:val="24"/>
              </w:rPr>
              <w:t>年预算数</w:t>
            </w:r>
          </w:p>
        </w:tc>
      </w:tr>
      <w:tr>
        <w:tblPrEx>
          <w:tblCellMar>
            <w:top w:w="0" w:type="dxa"/>
            <w:left w:w="108" w:type="dxa"/>
            <w:bottom w:w="0" w:type="dxa"/>
            <w:right w:w="108" w:type="dxa"/>
          </w:tblCellMar>
        </w:tblPrEx>
        <w:trPr>
          <w:trHeight w:val="780" w:hRule="atLeast"/>
          <w:tblHeader/>
          <w:jc w:val="center"/>
        </w:trPr>
        <w:tc>
          <w:tcPr>
            <w:tcW w:w="100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科目</w:t>
            </w:r>
          </w:p>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编码</w:t>
            </w:r>
          </w:p>
        </w:tc>
        <w:tc>
          <w:tcPr>
            <w:tcW w:w="417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科目名称</w:t>
            </w:r>
          </w:p>
        </w:tc>
        <w:tc>
          <w:tcPr>
            <w:tcW w:w="128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ascii="Times New Roman" w:hAnsi="Times New Roman" w:eastAsia="宋体" w:cs="Times New Roman"/>
                <w:kern w:val="0"/>
                <w:sz w:val="24"/>
                <w:szCs w:val="24"/>
              </w:rPr>
            </w:pPr>
          </w:p>
        </w:tc>
        <w:tc>
          <w:tcPr>
            <w:tcW w:w="105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合计</w:t>
            </w:r>
          </w:p>
        </w:tc>
        <w:tc>
          <w:tcPr>
            <w:tcW w:w="125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当年预算</w:t>
            </w:r>
          </w:p>
        </w:tc>
        <w:tc>
          <w:tcPr>
            <w:tcW w:w="124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上年结转</w:t>
            </w:r>
          </w:p>
        </w:tc>
      </w:tr>
      <w:tr>
        <w:tblPrEx>
          <w:tblCellMar>
            <w:top w:w="0" w:type="dxa"/>
            <w:left w:w="108" w:type="dxa"/>
            <w:bottom w:w="0" w:type="dxa"/>
            <w:right w:w="108" w:type="dxa"/>
          </w:tblCellMar>
        </w:tblPrEx>
        <w:trPr>
          <w:trHeight w:val="525" w:hRule="atLeast"/>
          <w:jc w:val="center"/>
        </w:trPr>
        <w:tc>
          <w:tcPr>
            <w:tcW w:w="51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color w:val="000000"/>
                <w:kern w:val="0"/>
                <w:sz w:val="24"/>
                <w:szCs w:val="24"/>
              </w:rPr>
            </w:pPr>
            <w:r>
              <w:rPr>
                <w:rFonts w:hint="eastAsia" w:ascii="Times New Roman" w:hAnsi="Times New Roman" w:eastAsia="方正黑体_GBK" w:cs="Times New Roman"/>
                <w:color w:val="000000"/>
                <w:kern w:val="0"/>
                <w:sz w:val="24"/>
                <w:szCs w:val="24"/>
              </w:rPr>
              <w:t>本级支出合计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990421 </w:t>
            </w:r>
          </w:p>
        </w:tc>
        <w:tc>
          <w:tcPr>
            <w:tcW w:w="105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1091731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1006732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84999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一般公共服务支出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67506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78033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77876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157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人大事务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1572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1132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1132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人大会议</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人大监督</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人大代表履职能力提升</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代表工作</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其他人大事务支出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政协事务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1481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1423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1423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960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960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政协会议</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委员视察</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参政议政</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其他政协事务支出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政府办公厅(室)及相关机构事务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30107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32802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32802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14595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17087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17087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5843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5148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5148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机关服务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1017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专项业务及机关事务管理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2183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3703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3703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信访事务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5281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5105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5105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其他政府办公厅(室)及相关机构事务支出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1502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1502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发展与改革事务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2049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2206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2206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社会事业发展规划</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物价管理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其他发展与改革事务支出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统计信息事务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1654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2628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2628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专项统计业务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统计管理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专项普查活动</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1202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1202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统计抽样调查</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其他统计信息事务支出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财政事务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3794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3702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3702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2010601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1270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1310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1310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2010602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2010608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财政委托业务支出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1800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2010699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其他财政事务支出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税收事务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6594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6594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2010799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其他税收事务支出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6594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6594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审计事务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2010804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审计业务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2010899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其他审计事务支出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纪检监察事务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5289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4548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4548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2930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3055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3055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780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1313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1313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2011150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其他纪检监察事务支出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1405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商贸事务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2355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6288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6288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2011301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698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630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630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2011302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2011308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招商引资</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4715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4715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2011350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491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其他商贸事务支出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民族事务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2012301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2012302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2012304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民族工作专项</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其他民族事务支出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档案事务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2012601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2012604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档案馆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民主党派及工商联事务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2012801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2012850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2012899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其他民主党派及工商联事务支出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群众团体事务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1447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1856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1856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2012901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2012902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2012906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工会事务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2012950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其他群众团体事务支出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党委办公厅(室)及相关机构事务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2333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2435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2435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1428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1489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1489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2013103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机关服务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2013105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专项业务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2013150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其他党委办公厅(室)及相关机构事务支出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组织事务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2291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1913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1873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2013201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696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696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2013202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2013204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公务员事务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2013250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2013299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其他组织事务支出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1302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1107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1104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宣传事务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2220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2855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2855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2013301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2013302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2013303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机关服务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2013304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宣传管理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2013350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其他宣传事务支出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1132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2312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2312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统战事务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1282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1215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1215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宗教事务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华侨事务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其他统战事务支出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其他共产党事务支出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1537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2013601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745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986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986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2013602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2013650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2013699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其他共产党事务支出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网信事务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2013701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2013702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2013750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市场监督管理事务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2013804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市场主体管理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616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616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2013808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信息化建设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2013816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食品安全监管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2013899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其他市场监督管理事务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其他一般公共服务支出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782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其他一般公共服务支出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782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国防支出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3023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1583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1583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现役部队</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国防动员</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2765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1071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1071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兵役征集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经济动员</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人民防空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1065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交通战备</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民兵</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其他国防动员支出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其他国防支出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其他国防支出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公共安全支出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80012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73762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73720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公安</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68838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67488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67488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2040201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51335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50876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50876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2040202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2040219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信息化建设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2040220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执法办案</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4855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4827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4827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2040299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其他公安支出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12012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11165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11165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法院</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4327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2040506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“两庭”建设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4227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2040599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其他法院支出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司法</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2307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2265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基层司法业务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普法宣传</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律师管理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公共法律服务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国家统一法律职业资格考试</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2040610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社区矫正</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2040612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法制建设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其他司法支出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其他公共安全支出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4860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3967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3967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其他公共安全支出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4860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3967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3967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教育支出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249057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250183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246013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4170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教育管理事务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1832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2147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2147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1121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1039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1039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其他教育管理事务支出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668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668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普通教育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190870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201744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198724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3020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2050201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学前教育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17902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17336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16204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1132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2050202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小学教育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66060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76211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75350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861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2050203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初中教育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41825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40418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39715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703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2050204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高中教育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55966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64601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64277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324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2050299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其他普通教育支出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9117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3178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3178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职业教育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13154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12910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11784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1126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2050302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中等职业教育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13044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12910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11784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1126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其他职业教育支出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成人教育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893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893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2050404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成人广播电视教育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665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893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893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2050499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其他成人教育支出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特殊教育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2050701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特殊学校教育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2050799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其他特殊教育支出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进修及培训</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2071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2258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2258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64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2050801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教师进修</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1904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2182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2182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2050802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干部教育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2050899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其他进修及培训</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教育费附加安排的支出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22152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2050901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农村中小学校舍建设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2050903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城市中小学校舍建设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6658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930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930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2050904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城市中小学教学设施</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1643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其他教育费附加安排的支出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13696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9070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9070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其他教育支出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17761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19831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19831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其他教育支出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17761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19831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19831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科学技术支出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13794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15788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15466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322 </w:t>
            </w:r>
          </w:p>
        </w:tc>
      </w:tr>
      <w:tr>
        <w:tblPrEx>
          <w:tblCellMar>
            <w:top w:w="0" w:type="dxa"/>
            <w:left w:w="108" w:type="dxa"/>
            <w:bottom w:w="0" w:type="dxa"/>
            <w:right w:w="108" w:type="dxa"/>
          </w:tblCellMar>
        </w:tblPrEx>
        <w:trPr>
          <w:trHeight w:val="57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科学技术管理事务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722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其他科学技术管理事务支出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技术研究与开发</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290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2060404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科技成果转化与扩散</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262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2060405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共性技术研究与开发</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2060499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其他技术研究与开发支出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科学技术普及</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2060701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机构运行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2060702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科普活动</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2060799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其他科学技术普及支出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1024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其他科学技术支出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11460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13812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13783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其他科学技术支出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11460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13812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13783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文化旅游体育与传媒支出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8321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9564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9523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 </w:t>
            </w:r>
          </w:p>
        </w:tc>
      </w:tr>
      <w:tr>
        <w:tblPrEx>
          <w:tblCellMar>
            <w:top w:w="0" w:type="dxa"/>
            <w:left w:w="108" w:type="dxa"/>
            <w:bottom w:w="0" w:type="dxa"/>
            <w:right w:w="108" w:type="dxa"/>
          </w:tblCellMar>
        </w:tblPrEx>
        <w:trPr>
          <w:trHeight w:val="450"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文化和旅游</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4815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5581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5574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865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865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图书馆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文化活动</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2070109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群众文化</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2070111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文化创作与保护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2070112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文化和旅游市场管理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2070113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旅游宣传</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2070114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文化和旅游管理事务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702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702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其他文化和旅游支出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2424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2516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2509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文物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2070204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文物保护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2070205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博物馆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2070299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其他文物支出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体育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2070301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2070307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体育场馆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2070308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群众体育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其他体育支出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新闻出版电影</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2070605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出版发行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2070607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电影</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其他文化旅游体育与传媒支出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2561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2634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2608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2079902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宣传文化发展专项支出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其他文化旅游体育与传媒支出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2496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2623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2608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社会保障和就业支出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183681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177870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173528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4342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人力资源和社会保障管理事务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7161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8929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8929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2854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2919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2919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劳动保障监察</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信息化建设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2080109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社会保险经办机构</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2972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2972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2080112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劳动人事争议调解仲裁</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2080116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引进人才费用</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其他人力资源和社会保障管理事务支出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2711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2626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2626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民政管理事务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18367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18702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18699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2080201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2080202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2080207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行政区划和地名管理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2080208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基层政权建设和社区治理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16569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16988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16988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2080299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其他民政管理事务支出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993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780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行政事业单位养老支出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76713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71307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71307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2080501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行政单位离退休</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2080502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事业单位离退休</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2080505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机关事业单位基本养老保险缴费支出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18103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23139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23139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2080506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机关事业单位职业年金缴费支出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32248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21569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21569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2080599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其他行政事业单位养老支出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25902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26150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26150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企业改革补助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2080699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其他企业改革发展补助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就业补助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5223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5708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5650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2080701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就业创业服务补贴</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3917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2080799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其他就业补助支出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1306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5630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5630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抚恤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9261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8816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8118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698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死亡抚恤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998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988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988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伤残抚恤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在乡复员、退伍军人生活补助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636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636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义务兵优待</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1204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1252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909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农村籍退役士兵老年生活补助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其他优抚支出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4791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4748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4393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退役安置</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18233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17915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14706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3209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2080901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退役士兵安置</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2704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2080902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军队移交政府的离退休人员安置</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12868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3793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946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2847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2080903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军队移交政府离退休干部管理机构</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349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2080904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退役士兵管理教育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2080905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军队转业干部安置</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其他退役安置支出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1255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12787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12774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社会福利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1912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1560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1560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2081001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儿童福利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2081002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老年福利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1311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1158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1158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2081004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殡葬</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2081005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社会福利事业单位</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2081006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养老服务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2081099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其他社会福利支出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残疾人事业</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2318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1796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1796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2081104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残疾人康复</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2081105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残疾人就业和扶贫</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2081107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残疾人生活和护理补贴</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其他残疾人事业支出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红十字事业</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2081601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2081699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其他红十字事业支出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最低生活保障</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5133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5414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5414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2081901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城市最低生活保障金支出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4492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4492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2081902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农村最低生活保障金支出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833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临时救助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2082001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临时救助支出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2082002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流浪乞讨人员救助支出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特困人员救助供养</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1010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1010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城市特困人员救助供养支出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农村特困人员救助供养支出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其他生活救助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2082501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其他城市生活救助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2082502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其他农村生活救助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退役军人管理事务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2415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2370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2370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2082801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1038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1094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1094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2082802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2082804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拥军优属</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2082850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652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2082899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其他退役军人事务管理支出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其他社会保障和就业支出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35684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33454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33080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374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其他社会保障和就业支出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35684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33454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33080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374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卫生健康支出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66346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97869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94010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3859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卫生健康管理事务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2103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2418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2418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1589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其他卫生健康管理事务支出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公立医院</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1498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2546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2431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2100201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综合医院</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1338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2100299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其他公立医院支出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2063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基层医疗卫生机构</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9217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8353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8346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2100301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城市社区卫生机构</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3254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3954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3948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2100302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乡镇卫生院</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1663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2016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2015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其他基层医疗卫生机构支出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2383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2383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公共卫生</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21098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45179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41658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3521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疾病预防控制机构</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5689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4383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4183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卫生监督机构</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妇幼保健机构</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精神卫生机构</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基本公共卫生服务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10703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12245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10039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2206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2100409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重大公共卫生服务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2066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2056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1050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2100410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突发公共卫生事件应急处理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24032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24000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其他公共卫生支出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中医药</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2100601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中医(民族医)药专项</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计划生育事务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6330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7195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7195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2100716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计划生育机构</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2100717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计划生育服务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4660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5663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5663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2100799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其他计划生育事务支出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1614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1474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1474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行政事业单位医疗</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15156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18443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18443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行政单位医疗</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3070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5000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事业单位医疗</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8031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8864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8864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2101103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公务员医疗补助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983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其他行政事业单位医疗支出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3072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3576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3576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财政对基本医疗保险基金的补助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5007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5007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2101202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财政对城乡居民基本医疗保险基金的补助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5007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5007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医疗救助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2142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2325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2325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2101301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城乡医疗救助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2027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2175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2175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其他医疗救助支出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优抚对象医疗</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2101401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优抚对象医疗补助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2101499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其他优抚对象医疗支出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医疗保障管理事务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1132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986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2101501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2101502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2101506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医疗保障经办事务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2101550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2101599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其他医疗保障管理事务支出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其他卫生健康支出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3048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4708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4708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其他卫生健康支出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3048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4708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4708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节能环保支出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27514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42543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23029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19514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环境保护管理事务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1273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1669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1669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1020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1416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1416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2110103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机关服务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2110104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生态环境保护宣传</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其他环境保护管理事务支出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污染防治</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22510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19382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14336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5046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大气</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2214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1292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783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水体</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5136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5733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2070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3663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噪声</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固体废弃物与化学品</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14543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11473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11473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土壤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600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其他污染防治支出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自然生态保护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2110402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农村环境保护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2110499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其他自然生态保护支出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天然林保护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2110599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其他天然林保护支出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21110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能源节约利用</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2111001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能源节约利用</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21111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污染减排</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2183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1739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1739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2111101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生态环境监测与信息</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1552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1267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1267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2111102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生态环境执法监察</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2111199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其他污染减排支出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其他节能环保支出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1279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19724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5279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14445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其他节能环保支出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1279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19724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5279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14445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城乡社区支出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75987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119011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90233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28778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城乡社区管理事务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29096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17116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16964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152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7067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7242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7242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3185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1912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1912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2120104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城管执法</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其他城乡社区管理事务支出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18653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7736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7584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152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城乡社区公共设施</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13836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40209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40209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2120303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小城镇基础设施建设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其他城乡社区公共设施支出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13731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40164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40164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城乡社区环境卫生</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19433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18752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18697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2120501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城乡社区环境卫生</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19433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18752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18697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其他城乡社区支出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13622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42934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14363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28571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其他城乡社区支出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13622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42934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14363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28571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农林水支出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25674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26760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24099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2661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农业农村</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12767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17603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1386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728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797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797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科技转化与推广服务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病虫害控制</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2130109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农产品质量安全</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2130110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执法监管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2130112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行业业务管理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2130119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防灾救灾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2130122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农业生产发展</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695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411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2130124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农村合作经济</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2130125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农产品加工与促销</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2130135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农业资源保护修复与利用</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2130148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成品油价格改革对渔业的补贴</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2130152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对高校毕业生到基层任职补助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2130153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农田建设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其他农业农村支出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7734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13412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13412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林业和草原</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2625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1207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779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2130205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森林资源培育</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1283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2130207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森林资源管理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2130212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湿地保护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2130234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林业草原防灾减灾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2130299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其他林业和草原支出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1113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水利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1414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836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578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水利工程建设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水利工程运行与维护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344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2130311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水资源节约管理与保护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2130314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防汛</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2130315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抗旱</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2130316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农村水利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其他水利支出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484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扶贫</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1326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1515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1489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2130504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农村基础设施建设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2130505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生产发展</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1326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2130599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其他扶贫支出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1349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1344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农村综合改革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4208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1793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1150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2130701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对村级公益事业建设的补助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4208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1793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1150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普惠金融发展支出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79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2130803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农业保险保费补贴</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2130804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创业担保贷款贴息</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445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其他农林水支出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3453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2209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2209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其他农林水支出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3453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2209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2209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交通运输支出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11916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14230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7932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6298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公路水路运输</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9789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6781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5983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798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1136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1254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1254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公路建设</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4314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公路养护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2219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3302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2725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577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2140112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公路运输管理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896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2140136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水路运输管理支出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其他公路水路运输支出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964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邮政业支出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2140502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车辆购置税支出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2058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7393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5444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2140601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车辆购置税用于公路等基础设施建设支出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2058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7393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5444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其他交通运输支出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其他交通运输支出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资源勘探工业信息等支出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31242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8209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8209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工业和信息产业监管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831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2150501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2150517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产业发展</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2150599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其他工业和信息产业监管支出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国有资产监管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21037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2150701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2150702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20609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2150799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其他国有资产监管支出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支持中小企业发展和管理支出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2357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1659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1659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2150801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2150805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中小企业发展专项</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1200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2150899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其他支持中小企业发展和管理支出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其他资源勘探工业信息等支出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7017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5307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5307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其他资源勘探工业信息等支出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7017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5307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5307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商业服务业等支出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3987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4086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2828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1258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商业流通事务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1893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1438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998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2160201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2160202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2160219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民贸民品贷款贴息</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2160299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其他商业流通事务支出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1470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1037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涉外发展服务支出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2044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2618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1800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818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2160699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其他涉外发展服务支出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2044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2618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1800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818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其他商业服务业等支出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其他商业服务业等支出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金融支出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金融部门行政支出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2170150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金融部门其他行政支出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金融部门监管支出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2170299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金融部门其他监管支出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其他金融支出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2179902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重点企业贷款贴息</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其他金融支出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自然资源海洋气象等支出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4043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3060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2760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22001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自然资源事务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2043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3060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2760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2200104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自然资源规划及管理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602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2200106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自然资源利用与保护</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2200150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2200199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其他自然资源事务支出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2180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1880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22099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其他自然资源海洋气象等支出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2209999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其他自然资源海洋气象等支出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住房保障支出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50513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41119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28080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13039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保障性安居工程支出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22469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13142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13039 </w:t>
            </w:r>
          </w:p>
        </w:tc>
      </w:tr>
      <w:tr>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廉租住房</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棚户区改造</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2042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 </w:t>
            </w:r>
          </w:p>
        </w:tc>
      </w:tr>
      <w:tr>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2210105</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农村危房改造</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公共租赁住房</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保障性住房租金补贴</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209 </w:t>
            </w:r>
          </w:p>
        </w:tc>
      </w:tr>
      <w:tr>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老旧小区改造</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4630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8536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8536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2210109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住房租赁市场发展</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7349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其他保障性安居工程支出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7531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3882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3780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住房改革支出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28043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27976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27976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2210201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住房公积金</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25555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25582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25582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2210203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购房补贴</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2488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2394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2394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城乡社区住宅</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2210399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其他城乡社区住宅支出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粮油物资储备支出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1497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1769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1769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22204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粮油储备</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1497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1769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1769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2220499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其他粮油储备支出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1497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1769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1769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灾害防治及应急管理支出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11727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11957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11824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应急管理事务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3516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3436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899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1034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1034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安全监管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2240108</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应急救援</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2240109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应急管理</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235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464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2240150</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199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其他应急管理支出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753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消防事务</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8387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8387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2240201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53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2240204</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消防应急救援</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8387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8387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8387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22406</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自然灾害防治</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198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2240601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地质灾害防治</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177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2240699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其他自然灾害防治支出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自然灾害救灾及恢复重建支出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2240703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自然灾害救灾补助</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49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2240799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其他自然灾害救灾及恢复重建支出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其他灾害防治及应急管理支出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其他灾害防治及应急管理支出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227</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预备费</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18012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30000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30000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其他支出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28440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55939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55854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28440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55939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55854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2299999</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28440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55939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55854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85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232</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债务付息支出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28036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28238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28238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23203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地方政府一般债务付息支出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28036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28238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28238</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2320301</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地方政府一般债券付息支出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28036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28238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28238</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233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债务发行费用支出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08"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23303</w:t>
            </w:r>
          </w:p>
        </w:tc>
        <w:tc>
          <w:tcPr>
            <w:tcW w:w="417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地方政府一般债务发行费用支出</w:t>
            </w:r>
          </w:p>
        </w:tc>
        <w:tc>
          <w:tcPr>
            <w:tcW w:w="128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 </w:t>
            </w:r>
          </w:p>
        </w:tc>
        <w:tc>
          <w:tcPr>
            <w:tcW w:w="105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 </w:t>
            </w:r>
          </w:p>
        </w:tc>
        <w:tc>
          <w:tcPr>
            <w:tcW w:w="12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 </w:t>
            </w:r>
          </w:p>
        </w:tc>
        <w:tc>
          <w:tcPr>
            <w:tcW w:w="124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80" w:hRule="atLeast"/>
          <w:jc w:val="center"/>
        </w:trPr>
        <w:tc>
          <w:tcPr>
            <w:tcW w:w="10027" w:type="dxa"/>
            <w:gridSpan w:val="6"/>
            <w:tcBorders>
              <w:top w:val="single" w:color="auto" w:sz="4" w:space="0"/>
              <w:left w:val="nil"/>
              <w:bottom w:val="nil"/>
              <w:right w:val="nil"/>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注：本表详细反映</w:t>
            </w:r>
            <w:r>
              <w:rPr>
                <w:rFonts w:ascii="Times New Roman" w:hAnsi="Times New Roman" w:eastAsia="宋体" w:cs="Times New Roman"/>
                <w:kern w:val="0"/>
                <w:sz w:val="24"/>
                <w:szCs w:val="24"/>
              </w:rPr>
              <w:t>2023</w:t>
            </w:r>
            <w:r>
              <w:rPr>
                <w:rFonts w:hint="eastAsia" w:ascii="Times New Roman" w:hAnsi="Times New Roman" w:eastAsia="方正仿宋_GBK" w:cs="Times New Roman"/>
                <w:kern w:val="0"/>
                <w:sz w:val="24"/>
                <w:szCs w:val="24"/>
              </w:rPr>
              <w:t>年一般公共预算本级支出情况，按《预算法》要求细化到功能分类项级科目。</w:t>
            </w:r>
          </w:p>
        </w:tc>
      </w:tr>
    </w:tbl>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left"/>
        <w:rPr>
          <w:rFonts w:ascii="Times New Roman" w:hAnsi="Times New Roman" w:eastAsia="方正黑体_GBK" w:cs="Times New Roman"/>
          <w:kern w:val="0"/>
          <w:sz w:val="32"/>
          <w:szCs w:val="32"/>
        </w:rPr>
      </w:pPr>
      <w:r>
        <w:rPr>
          <w:rFonts w:hint="eastAsia" w:ascii="Times New Roman" w:hAnsi="Times New Roman" w:eastAsia="方正黑体_GBK" w:cs="Times New Roman"/>
          <w:snapToGrid w:val="0"/>
          <w:kern w:val="0"/>
          <w:sz w:val="32"/>
          <w:szCs w:val="32"/>
        </w:rPr>
        <w:t>表</w:t>
      </w:r>
      <w:r>
        <w:rPr>
          <w:rFonts w:hint="eastAsia" w:ascii="Times New Roman" w:hAnsi="Times New Roman" w:eastAsia="方正黑体_GBK" w:cs="Times New Roman"/>
          <w:kern w:val="0"/>
          <w:sz w:val="32"/>
          <w:szCs w:val="32"/>
        </w:rPr>
        <w:t>17</w:t>
      </w:r>
    </w:p>
    <w:p>
      <w:pPr>
        <w:adjustRightInd w:val="0"/>
        <w:snapToGrid w:val="0"/>
        <w:spacing w:line="60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九龙坡区2023年区级一般公共预算支出预算表</w:t>
      </w:r>
    </w:p>
    <w:p>
      <w:pPr>
        <w:widowControl/>
        <w:adjustRightInd w:val="0"/>
        <w:snapToGrid w:val="0"/>
        <w:spacing w:line="400" w:lineRule="exact"/>
        <w:jc w:val="center"/>
        <w:rPr>
          <w:rFonts w:ascii="Times New Roman" w:hAnsi="Times New Roman" w:eastAsia="方正楷体_GBK" w:cs="Times New Roman"/>
          <w:snapToGrid w:val="0"/>
          <w:kern w:val="0"/>
          <w:sz w:val="24"/>
          <w:szCs w:val="24"/>
        </w:rPr>
      </w:pPr>
      <w:r>
        <w:rPr>
          <w:rFonts w:hint="eastAsia" w:ascii="Times New Roman" w:hAnsi="Times New Roman" w:eastAsia="方正楷体_GBK" w:cs="Times New Roman"/>
          <w:snapToGrid w:val="0"/>
          <w:kern w:val="0"/>
          <w:sz w:val="24"/>
          <w:szCs w:val="24"/>
        </w:rPr>
        <w:t>（按功能分类科目的基本支出和项目支出）</w:t>
      </w:r>
    </w:p>
    <w:p>
      <w:pPr>
        <w:widowControl/>
        <w:adjustRightInd w:val="0"/>
        <w:snapToGrid w:val="0"/>
        <w:spacing w:line="400" w:lineRule="exact"/>
        <w:jc w:val="right"/>
        <w:rPr>
          <w:rFonts w:ascii="Times New Roman" w:hAnsi="Times New Roman" w:eastAsia="方正仿宋_GBK" w:cs="Times New Roman"/>
          <w:snapToGrid w:val="0"/>
          <w:kern w:val="0"/>
          <w:sz w:val="28"/>
          <w:szCs w:val="28"/>
        </w:rPr>
      </w:pPr>
      <w:r>
        <w:rPr>
          <w:rFonts w:ascii="Times New Roman" w:hAnsi="Times New Roman" w:eastAsia="方正仿宋_GBK" w:cs="Times New Roman"/>
          <w:snapToGrid w:val="0"/>
          <w:kern w:val="0"/>
          <w:sz w:val="28"/>
          <w:szCs w:val="28"/>
        </w:rPr>
        <w:t>单位：万元</w:t>
      </w:r>
    </w:p>
    <w:tbl>
      <w:tblPr>
        <w:tblStyle w:val="9"/>
        <w:tblW w:w="11240" w:type="dxa"/>
        <w:jc w:val="center"/>
        <w:tblLayout w:type="autofit"/>
        <w:tblCellMar>
          <w:top w:w="0" w:type="dxa"/>
          <w:left w:w="108" w:type="dxa"/>
          <w:bottom w:w="0" w:type="dxa"/>
          <w:right w:w="108" w:type="dxa"/>
        </w:tblCellMar>
      </w:tblPr>
      <w:tblGrid>
        <w:gridCol w:w="1397"/>
        <w:gridCol w:w="4394"/>
        <w:gridCol w:w="1612"/>
        <w:gridCol w:w="1284"/>
        <w:gridCol w:w="1284"/>
        <w:gridCol w:w="1269"/>
      </w:tblGrid>
      <w:tr>
        <w:tblPrEx>
          <w:tblCellMar>
            <w:top w:w="0" w:type="dxa"/>
            <w:left w:w="108" w:type="dxa"/>
            <w:bottom w:w="0" w:type="dxa"/>
            <w:right w:w="108" w:type="dxa"/>
          </w:tblCellMar>
        </w:tblPrEx>
        <w:trPr>
          <w:trHeight w:val="510" w:hRule="atLeast"/>
          <w:tblHeader/>
          <w:jc w:val="center"/>
        </w:trPr>
        <w:tc>
          <w:tcPr>
            <w:tcW w:w="579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功能分类科目</w:t>
            </w:r>
          </w:p>
        </w:tc>
        <w:tc>
          <w:tcPr>
            <w:tcW w:w="544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2023年预算数</w:t>
            </w:r>
          </w:p>
        </w:tc>
      </w:tr>
      <w:tr>
        <w:tblPrEx>
          <w:tblCellMar>
            <w:top w:w="0" w:type="dxa"/>
            <w:left w:w="108" w:type="dxa"/>
            <w:bottom w:w="0" w:type="dxa"/>
            <w:right w:w="108" w:type="dxa"/>
          </w:tblCellMar>
        </w:tblPrEx>
        <w:trPr>
          <w:trHeight w:val="450" w:hRule="atLeast"/>
          <w:tblHeader/>
          <w:jc w:val="center"/>
        </w:trPr>
        <w:tc>
          <w:tcPr>
            <w:tcW w:w="1397"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 xml:space="preserve"> 科目编码</w:t>
            </w:r>
          </w:p>
        </w:tc>
        <w:tc>
          <w:tcPr>
            <w:tcW w:w="4394"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科目名称</w:t>
            </w:r>
          </w:p>
        </w:tc>
        <w:tc>
          <w:tcPr>
            <w:tcW w:w="161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总计</w:t>
            </w:r>
          </w:p>
        </w:tc>
        <w:tc>
          <w:tcPr>
            <w:tcW w:w="128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 xml:space="preserve">基本支出 </w:t>
            </w:r>
          </w:p>
        </w:tc>
        <w:tc>
          <w:tcPr>
            <w:tcW w:w="25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 xml:space="preserve">项目支出 </w:t>
            </w:r>
          </w:p>
        </w:tc>
      </w:tr>
      <w:tr>
        <w:tblPrEx>
          <w:tblCellMar>
            <w:top w:w="0" w:type="dxa"/>
            <w:left w:w="108" w:type="dxa"/>
            <w:bottom w:w="0" w:type="dxa"/>
            <w:right w:w="108" w:type="dxa"/>
          </w:tblCellMar>
        </w:tblPrEx>
        <w:trPr>
          <w:trHeight w:val="450" w:hRule="atLeast"/>
          <w:tblHeader/>
          <w:jc w:val="center"/>
        </w:trPr>
        <w:tc>
          <w:tcPr>
            <w:tcW w:w="1397"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340" w:lineRule="exact"/>
              <w:jc w:val="left"/>
              <w:rPr>
                <w:rFonts w:ascii="Times New Roman" w:hAnsi="Times New Roman" w:eastAsia="方正黑体_GBK" w:cs="宋体"/>
                <w:kern w:val="0"/>
                <w:szCs w:val="21"/>
              </w:rPr>
            </w:pPr>
          </w:p>
        </w:tc>
        <w:tc>
          <w:tcPr>
            <w:tcW w:w="4394"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340" w:lineRule="exact"/>
              <w:jc w:val="left"/>
              <w:rPr>
                <w:rFonts w:ascii="Times New Roman" w:hAnsi="Times New Roman" w:eastAsia="方正黑体_GBK" w:cs="宋体"/>
                <w:kern w:val="0"/>
                <w:szCs w:val="21"/>
              </w:rPr>
            </w:pPr>
          </w:p>
        </w:tc>
        <w:tc>
          <w:tcPr>
            <w:tcW w:w="1612"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340" w:lineRule="exact"/>
              <w:jc w:val="left"/>
              <w:rPr>
                <w:rFonts w:ascii="Times New Roman" w:hAnsi="Times New Roman" w:eastAsia="方正黑体_GBK" w:cs="宋体"/>
                <w:kern w:val="0"/>
                <w:szCs w:val="21"/>
              </w:rPr>
            </w:pPr>
          </w:p>
        </w:tc>
        <w:tc>
          <w:tcPr>
            <w:tcW w:w="1284"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340" w:lineRule="exact"/>
              <w:jc w:val="left"/>
              <w:rPr>
                <w:rFonts w:ascii="Times New Roman" w:hAnsi="Times New Roman" w:eastAsia="方正黑体_GBK" w:cs="宋体"/>
                <w:kern w:val="0"/>
                <w:szCs w:val="21"/>
              </w:rPr>
            </w:pPr>
          </w:p>
        </w:tc>
        <w:tc>
          <w:tcPr>
            <w:tcW w:w="128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当年项目</w:t>
            </w:r>
          </w:p>
        </w:tc>
        <w:tc>
          <w:tcPr>
            <w:tcW w:w="126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Cs w:val="21"/>
              </w:rPr>
            </w:pPr>
            <w:r>
              <w:rPr>
                <w:rFonts w:hint="eastAsia" w:ascii="Times New Roman" w:hAnsi="Times New Roman" w:eastAsia="方正黑体_GBK" w:cs="宋体"/>
                <w:kern w:val="0"/>
                <w:szCs w:val="21"/>
              </w:rPr>
              <w:t>上年结转</w:t>
            </w:r>
          </w:p>
        </w:tc>
      </w:tr>
      <w:tr>
        <w:tblPrEx>
          <w:tblCellMar>
            <w:top w:w="0" w:type="dxa"/>
            <w:left w:w="108" w:type="dxa"/>
            <w:bottom w:w="0" w:type="dxa"/>
            <w:right w:w="108" w:type="dxa"/>
          </w:tblCellMar>
        </w:tblPrEx>
        <w:trPr>
          <w:trHeight w:val="450" w:hRule="atLeast"/>
          <w:jc w:val="center"/>
        </w:trPr>
        <w:tc>
          <w:tcPr>
            <w:tcW w:w="579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合计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bCs/>
                <w:kern w:val="0"/>
                <w:szCs w:val="21"/>
              </w:rPr>
            </w:pPr>
            <w:r>
              <w:rPr>
                <w:rFonts w:ascii="Times New Roman" w:hAnsi="Times New Roman" w:eastAsia="宋体" w:cs="Times New Roman"/>
                <w:bCs/>
                <w:kern w:val="0"/>
                <w:szCs w:val="21"/>
              </w:rPr>
              <w:t xml:space="preserve">1091731 </w:t>
            </w:r>
          </w:p>
        </w:tc>
        <w:tc>
          <w:tcPr>
            <w:tcW w:w="12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bCs/>
                <w:kern w:val="0"/>
                <w:szCs w:val="21"/>
              </w:rPr>
            </w:pPr>
            <w:r>
              <w:rPr>
                <w:rFonts w:ascii="Times New Roman" w:hAnsi="Times New Roman" w:eastAsia="宋体" w:cs="Times New Roman"/>
                <w:bCs/>
                <w:kern w:val="0"/>
                <w:szCs w:val="21"/>
              </w:rPr>
              <w:t xml:space="preserve">393929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Cs w:val="21"/>
              </w:rPr>
            </w:pPr>
            <w:r>
              <w:rPr>
                <w:rFonts w:ascii="Times New Roman" w:hAnsi="Times New Roman" w:eastAsia="宋体" w:cs="Times New Roman"/>
                <w:bCs/>
                <w:kern w:val="0"/>
                <w:szCs w:val="21"/>
              </w:rPr>
              <w:t xml:space="preserve">612803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Cs w:val="21"/>
              </w:rPr>
            </w:pPr>
            <w:r>
              <w:rPr>
                <w:rFonts w:ascii="Times New Roman" w:hAnsi="Times New Roman" w:eastAsia="宋体" w:cs="Times New Roman"/>
                <w:bCs/>
                <w:kern w:val="0"/>
                <w:szCs w:val="21"/>
              </w:rPr>
              <w:t xml:space="preserve">84999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一般公共服务支出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78033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38649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39227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157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人大事务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1817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1233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584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1131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1131</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人大会议</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168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人大监督</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人大代表履职能力提升</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代表工作</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101</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其他人大事务支出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164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政协事务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1423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1019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404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960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960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政协会议</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委员视察</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参政议政</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169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2010299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其他政协事务支出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政府办公厅(室)及相关机构事务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32802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22169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10633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17087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17087</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5148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5148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机关服务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专项业务及机关事务管理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3703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3703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信访事务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217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5105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5082</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2010399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其他政府办公厅(室)及相关机构事务支出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1502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1502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发展与改革事务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2206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976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920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920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社会事业发展规划</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923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923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物价管理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224</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2010499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其他发展与改革事务支出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86</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统计信息事务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2628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632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1996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525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525</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专项统计业务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265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统计管理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专项普查活动</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1202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1202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统计抽样调查</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107</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2010599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其他统计信息事务支出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254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254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财政事务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3702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1310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2392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2010601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1310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1310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2010602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429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429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2010608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财政委托业务支出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1800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2010699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其他财政事务支出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163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税收事务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6594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6594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2010799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其他税收事务支出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6594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6594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审计事务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550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550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2010804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审计业务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370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370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2010899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其他审计事务支出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180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纪检监察事务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4548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3222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1326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3055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3055</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1313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1313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2011150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167</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其他纪检监察事务支出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商贸事务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6288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1185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5103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2011301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630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2011302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295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295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2011308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招商引资</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4715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4705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2011350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545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545</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2011399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其他商贸事务支出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民族事务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72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2012301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160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2012302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2012304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民族工作专项</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2012399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其他民族事务支出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档案事务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456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2012601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236</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2012604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档案馆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220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民主党派及工商联事务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366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2012801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189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2012850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77</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2012899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其他民主党派及工商联事务支出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群众团体事务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1856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943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913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2012901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843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843</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2012902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2012906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工会事务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171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2012950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2012999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其他群众团体事务支出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589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589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党委办公厅(室)及相关机构事务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2435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1667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768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1489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1489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281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281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2013105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专项业务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432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432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2013150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178</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其他党委办公厅(室)及相关机构事务支出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组织事务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1913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769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1104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2013201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696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696</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2013202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37</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2013250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73</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2013299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其他组织事务支出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1107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1104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宣传事务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2855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511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2344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2013301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362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362</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2013302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2013304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宣传管理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2013350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2013399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其他宣传事务支出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2312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2312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统战事务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1215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584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631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383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383</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宗教事务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华侨事务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201</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2013499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其他统战事务支出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484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484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其他共产党事务支出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1882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1057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825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2013601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986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986</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2013602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2013650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71</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2013699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其他共产党事务支出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775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775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网信事务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594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257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117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2013701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54</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70</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2013702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117</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2013750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203</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市场监督管理事务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760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760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2013804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市场主体管理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616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616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2013808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信息化建设</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2013816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食品安全监管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2013899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其他市场监督管理事务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其他一般公共服务支出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911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712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2019999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其他一般公共服务支出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911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199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712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国防支出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1583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1583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国防动员</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1071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1071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兵役征集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54</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经济动员</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人民防空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227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交通战备</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民兵</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130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2030699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其他国防动员支出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593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593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其他国防支出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512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512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2039999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其他国防支出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512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512</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公共安全支出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73763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51754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21967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42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公安</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67489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50877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16612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2040201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50877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50877</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3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2040219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信息化建设</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620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620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2040220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执法办案</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4827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4827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2040299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其他公安支出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11165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11165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司法</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2307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877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1388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42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825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825</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基层司法业务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123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普法宣传</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律师管理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530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公共法律服务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162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26</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国家统一法律职业资格考试</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2040610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社区矫正</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218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2040612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法制建设</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52</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2040699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其他司法支出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165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其他公共安全支出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3967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3967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2049999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其他公共安全支出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3967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3967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教育支出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250182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142608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103404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4170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教育管理事务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2148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1243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905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1040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1040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440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440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其他教育管理事务支出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668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203</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465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普通教育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201743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130576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68147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3020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2050201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学前教育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17335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2149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14054</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1132</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2050202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小学教育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76211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57682</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17668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861</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2050203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初中教育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40418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25384</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14331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703</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2050204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高中教育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64601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45361</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18916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324</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2050299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其他普通教育支出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3178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3178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职业教育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12910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7394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4390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1126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2050302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中等职业教育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12910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7394</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4390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1126</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成人教育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893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666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2050404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成人广播电视教育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893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666</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227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特殊教育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299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24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2050701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特殊学校教育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299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77</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24</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进修及培训</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2258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1473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785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2050801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教师进修</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2182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1473</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709</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64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2050802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干部教育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2050899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其他进修及培训</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教育费附加安排的支出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10000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10000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2050903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城市中小学校舍建设</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930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2050999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其他教育费附加安排的支出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9070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9070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其他教育支出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19830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957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18873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2059999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其他教育支出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19830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957</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18873</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科学技术支出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15788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859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14607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322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科学技术管理事务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732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717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57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478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478</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其他科学技术管理事务支出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239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技术研究与开发</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621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331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290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2060404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科技成果转化与扩散</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262</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2060405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共性技术研究与开发</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28</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2060499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其他技术研究与开发支出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331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331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科学技术普及</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623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478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2060701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机构运行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142</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97</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2060702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科普活动</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2060799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其他科学技术普及支出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290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290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其他科学技术支出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13812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13783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29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2069999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其他科学技术支出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13812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13783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29</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文化旅游体育与传媒支出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9563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4449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5073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41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文化和旅游</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5581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2686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2888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865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865</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450"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图书馆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323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323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文化活动</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339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339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2070109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群众文化</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364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364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2070111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文化创作与保护</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2070112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文化和旅游市场管理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2070113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旅游宣传</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300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2070114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文化和旅游管理事务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702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702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其他文化和旅游支出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2516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1821</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688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文物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870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339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531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2070204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文物保护</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337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337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2070205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博物馆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194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2070299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其他文物支出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339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339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体育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471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353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118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2070301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186</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2070308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群众体育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2070399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其他体育支出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167</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新闻出版电影</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2070605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出版发行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其他文化旅游体育与传媒支出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2633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1071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1536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2079902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宣传文化发展专项支出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2079999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其他文化旅游体育与传媒支出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2622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1071</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1536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社会保障和就业支出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177871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69673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103856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4342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人力资源和社会保障管理事务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8929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4564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4365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2919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2919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2080109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社会保险经办机构</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2972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2972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2080112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劳动人事争议调解仲裁</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2080116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引进人才费用</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300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96</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其他人力资源和社会保障管理事务支出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2626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1549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1077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民政管理事务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18702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1782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16917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2080201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930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2080202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2080207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行政区划和地名管理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2080208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基层政权建设和社区治理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16987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510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16477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2080299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其他民政管理事务支出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780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342</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435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行政事业单位养老支出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71308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61240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10068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2080501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行政单位离退休</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218</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2080502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事业单位离退休</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231</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2080505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机关事业单位基本养老保险缴费支出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23139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23139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2080506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机关事业单位职业年金缴费支出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21570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11570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10000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2080599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其他行政事业单位养老支出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26150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26082</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企业改革补助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447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447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2080699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其他企业改革发展补助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447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447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就业补助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5708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5650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58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2080701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就业创业服务补贴</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58</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2080799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其他就业补助支出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5630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5630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抚恤</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8816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8118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698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死亡抚恤</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988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988</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伤残抚恤</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1171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1171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在乡复员、退伍军人生活补助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636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636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义务兵优待</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1252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909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343</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农村籍退役士兵老年生活补助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2080899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其他优抚支出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4748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4393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355</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退役安置</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17915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14706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3209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2080901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退役士兵安置</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922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922</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2080902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军队移交政府的离退休人员安置</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3793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946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2847</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2080903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军队移交政府离退休干部管理机构</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349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349</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2080905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军队转业干部安置</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2080999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其他退役安置支出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12787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12774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13</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社会福利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1560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1560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2081001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儿童福利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117</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2081002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老年福利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1158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1158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2081005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社会福利事业单位</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2081006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养老服务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170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2081099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其他社会福利支出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残疾人事业</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1796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248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1548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165</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2081104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残疾人康复</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718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718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2081105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残疾人就业和扶贫</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2081107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残疾人生活和护理补贴</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383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383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其他残疾人事业支出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448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83</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365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红十字事业</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2081601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93</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2081699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其他红十字事业支出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最低生活保障</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5414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5414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2081901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城市最低生活保障金支出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4492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4492</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2081902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农村最低生活保障金支出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922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922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临时救助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293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293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2082001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临时救助支出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278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278</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2082002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流浪乞讨人员救助支出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特困人员救助供养</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1010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1010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城市特困人员救助供养支出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134</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农村特困人员救助供养支出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876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876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其他生活救助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42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2082501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其他城市生活救助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40</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2082502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其他农村生活救助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退役军人管理事务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2370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1746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624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2082801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1094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1094</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2082802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2082804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拥军优属</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2082850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652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652</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2082899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其他退役军人事务管理支出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357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357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其他社会保障和就业支出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33454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33080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374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2089999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其他社会保障和就业支出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33454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33080</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374</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卫生健康支出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97868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31271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62738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3859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卫生健康管理事务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2418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1902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516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1881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1881</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429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21</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408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其他卫生健康管理事务支出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公立医院</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2546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2431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115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2100201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综合医院</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483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483</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2100299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其他公立医院支出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2063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1948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115</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基层医疗卫生机构</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8352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4960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3385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2100301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城市社区卫生机构</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3953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3144</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803</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2100302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乡镇卫生院</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2016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1816</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199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2100399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其他基层医疗卫生机构支出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2383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2383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公共卫生</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45179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5266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36392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3521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疾病预防控制机构</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4383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3013</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1170</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200</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卫生监督机构</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妇幼保健机构</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881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878</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精神卫生机构</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920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896</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基本公共卫生服务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12245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10039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2206</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2100409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重大公共卫生服务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2056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1006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1050</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2100410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突发公共卫生事件应急处理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24032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24000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32</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2100499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其他公共卫生支出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586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479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33</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中医药</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149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2100601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中医(民族医)药专项</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149</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20</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计划生育事务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7195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7137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2100716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计划生育机构</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58</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2100717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计划生育服务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5663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5663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2100799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其他计划生育事务支出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1474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1474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行政事业单位医疗</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18443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18388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55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行政单位医疗</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5000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事业单位医疗</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8864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8864</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2101103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公务员医疗补助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1003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978</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其他行政事业单位医疗支出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3576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3546</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财政对基本医疗保险基金的补助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5007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5007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2101202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财政对城乡居民基本医疗保险基金的补助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5007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5007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医疗救助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2325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2325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2101301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城乡医疗救助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2175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2175</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2101399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其他医疗救助支出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优抚对象医疗</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394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344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2101401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优抚对象医疗补助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394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344</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50</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医疗保障管理事务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1132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697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289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146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2101501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687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687</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2101502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364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268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96</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2101506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医疗保障经办事务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2101550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2101599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其他医疗保障管理事务支出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50</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其他卫生健康支出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4708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4708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2109999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其他卫生健康支出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4708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4708</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节能环保支出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42543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2162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20867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19514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环境保护管理事务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1669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1503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166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1416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1416</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2110103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机关服务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87</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2110104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生态环境保护宣传</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其他环境保护管理事务支出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污染防治</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19382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14336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5046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大气</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1292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509</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783</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水体</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5733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2070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3663</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噪声</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固体废弃物与化学品</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11473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11473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土壤</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600</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2110399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其他污染防治支出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250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250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自然生态保护</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2110402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农村环境保护</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2110499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其他自然生态保护支出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天然林保护</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2110599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其他天然林保护支出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22</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21111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污染减排</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1739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659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1080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2111101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生态环境监测与信息</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1267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659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608</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2111102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生态环境执法监察</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449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449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2111199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其他污染减排支出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其他节能环保支出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19724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5279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14445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2119999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其他节能环保支出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19724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5279</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14445</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城乡社区支出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119012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15305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74929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28778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城乡社区管理事务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17117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11160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5805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152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7243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7243</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1912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1912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2120104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城管执法</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226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其他城乡社区管理事务支出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7736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3917</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3667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152</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城乡社区公共设施</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40209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2957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37252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2120303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小城镇基础设施建设</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45</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2120399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其他城乡社区公共设施支出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40164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2957</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37207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城乡社区环境卫生</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18752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1188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17509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55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2120501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城乡社区环境卫生</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18752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1188</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17509</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55</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其他城乡社区支出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42934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14363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28571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2129999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其他城乡社区支出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42934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14363</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28571</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农林水支出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26760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3536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20563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2661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农业农村</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18158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3440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14162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556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1940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1940</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198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797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797</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科技转化与推广服务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病虫害控制</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25</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2130109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农产品质量安全</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2130110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执法监管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2130119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防灾救灾</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2130122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农业生产发展</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695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284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411</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2130124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农村合作经济</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207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2130125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农产品加工与促销</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2130135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农业资源保护修复与利用</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117</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2130148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成品油价格改革对渔业的补贴</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2130153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农田建设</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400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其他农业农村支出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13411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703</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12708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林业和草原</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1207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428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779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2130205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森林资源培育</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951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266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685</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2130207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森林资源管理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2130234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林业草原防灾减灾</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42</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2130299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其他林业和草原支出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48</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水利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1415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741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578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水利工程运行与维护</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649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305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344</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2130311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水资源节约管理与保护</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2130315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抗旱</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200</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2130316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农村水利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2130399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其他水利支出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466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96</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336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34</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扶贫</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1515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1489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2130504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农村基础设施建设</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145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2130505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生产发展</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21</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2130599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其他扶贫支出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1349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1344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农村综合改革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1793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1150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643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2130701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对村级公益事业建设的补助</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1793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1150</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643</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普惠金融发展支出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463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384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79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2130803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农业保险保费补贴</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2130804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创业担保贷款贴息</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445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369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76</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其他农林水支出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2209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2209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2139999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其他农林水支出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2209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2209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交通运输支出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14230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2055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5877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6298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公路水路运输</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6781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2055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3928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798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1254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1254</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261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公路养护</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3302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2725</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577</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2140112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公路运输管理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896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710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186</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2140136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水路运输管理支出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76</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28</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其他公路水路运输支出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964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725</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204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35</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车辆购置税支出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7393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1949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5444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2140601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车辆购置税用于公路等基础设施建设支出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7393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1949</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5444</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其他交通运输支出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56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2149999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其他交通运输支出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56</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资源勘探工业信息等支出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8209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1372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6837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工业和信息产业监管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620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576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44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2150501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392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392</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2150599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其他工业和信息产业监管支出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184</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国有资产监管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623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447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176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2150701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249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249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2150702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一般行政管理事务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176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2150799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其他国有资产监管支出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198</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支持中小企业发展和管理支出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1659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349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1310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2150801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188</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2150805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中小企业发展专项</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1200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2150899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其他支持中小企业发展和管理支出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271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161</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110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其他资源勘探工业信息等支出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5307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5307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2159999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其他资源勘探工业信息等支出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5307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5307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商业服务业等支出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4086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2427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1258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商业流通事务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1438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597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440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2160201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401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401</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2160299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其他商业流通事务支出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1037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597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440</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涉外发展服务支出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2618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1800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818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2160699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其他涉外发展服务支出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2618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1800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818</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其他商业服务业等支出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2169999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其他商业服务业等支出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金融支出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156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74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金融部门行政支出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34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2170150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82</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金融部门其他行政支出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金融部门监管支出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2170299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金融部门其他监管支出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其他金融支出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2179999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其他金融支出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自然资源海洋气象等支出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3060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544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2216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300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22001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自然资源事务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3060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544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2216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300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2200150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880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880</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2200199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其他自然资源事务支出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2180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544</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1336</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300</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住房保障支出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41119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27976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104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13039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保障性安居工程支出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13142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103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13039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棚户区改造</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68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68</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2210105</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农村危房改造</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公共租赁住房</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446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446</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保障性住房租金补贴</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209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209</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老旧小区改造</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8536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8536</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其他保障性安居工程支出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3882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3780</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住房改革支出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27976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27976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2210201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住房公积金</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25582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25582</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2210203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购房补贴</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2394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2394</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城乡社区住宅</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2210399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其他城乡社区住宅支出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粮油物资储备支出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1769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1769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22204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粮油储备</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1769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1769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2220499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其他粮油储备支出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1769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1769</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灾害防治及应急管理支出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11957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1233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10591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133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应急管理事务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3516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1233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2203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80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行政运行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1034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1034</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安全监管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214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214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2240108</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应急救援</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852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772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80</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2240109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应急管理</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464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464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2240150</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事业运行</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199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199</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2240199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其他应急管理支出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753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753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消防事务</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8387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8387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2240204</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消防应急救援</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8387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8387</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22406</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自然灾害防治</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2240601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地质灾害防治</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3</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自然灾害救灾及恢复重建支出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2240799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其他自然灾害救灾及恢复重建支出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50</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其他灾害防治及应急管理支出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xml:space="preserve">1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2249999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其他灾害防治及应急管理支出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1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227</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预备费</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30000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xml:space="preserve">30000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其他支出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55939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xml:space="preserve">55854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xml:space="preserve">85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其他支出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56019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xml:space="preserve">55934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 xml:space="preserve">85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2299999</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其他支出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56019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55934</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85</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232</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债务付息支出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28238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28238 </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23203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地方政府一般债务付息支出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28238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28238 </w:t>
            </w:r>
          </w:p>
        </w:tc>
        <w:tc>
          <w:tcPr>
            <w:tcW w:w="126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2320301</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Cs w:val="21"/>
              </w:rPr>
            </w:pPr>
            <w:r>
              <w:rPr>
                <w:rFonts w:hint="eastAsia" w:ascii="Times New Roman" w:hAnsi="Times New Roman" w:eastAsia="方正仿宋_GBK" w:cs="宋体"/>
                <w:kern w:val="0"/>
                <w:szCs w:val="21"/>
              </w:rPr>
              <w:t xml:space="preserve">      地方政府一般债券付息支出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28238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28238</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233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楷体_GBK" w:cs="宋体"/>
                <w:kern w:val="0"/>
                <w:szCs w:val="21"/>
              </w:rPr>
            </w:pPr>
            <w:r>
              <w:rPr>
                <w:rFonts w:hint="eastAsia" w:ascii="Times New Roman" w:hAnsi="Times New Roman" w:eastAsia="方正楷体_GBK" w:cs="宋体"/>
                <w:kern w:val="0"/>
                <w:szCs w:val="21"/>
              </w:rPr>
              <w:t xml:space="preserve">  债务发行费用支出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r>
        <w:tblPrEx>
          <w:tblCellMar>
            <w:top w:w="0" w:type="dxa"/>
            <w:left w:w="108" w:type="dxa"/>
            <w:bottom w:w="0" w:type="dxa"/>
            <w:right w:w="108" w:type="dxa"/>
          </w:tblCellMar>
        </w:tblPrEx>
        <w:trPr>
          <w:trHeight w:val="315" w:hRule="atLeast"/>
          <w:jc w:val="center"/>
        </w:trPr>
        <w:tc>
          <w:tcPr>
            <w:tcW w:w="139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23303</w:t>
            </w:r>
          </w:p>
        </w:tc>
        <w:tc>
          <w:tcPr>
            <w:tcW w:w="439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bCs/>
                <w:kern w:val="0"/>
                <w:szCs w:val="21"/>
              </w:rPr>
            </w:pPr>
            <w:r>
              <w:rPr>
                <w:rFonts w:hint="eastAsia" w:ascii="Times New Roman" w:hAnsi="Times New Roman" w:eastAsia="方正仿宋_GBK" w:cs="宋体"/>
                <w:bCs/>
                <w:kern w:val="0"/>
                <w:szCs w:val="21"/>
              </w:rPr>
              <w:t xml:space="preserve">    地方政府一般债务发行费用支出</w:t>
            </w:r>
          </w:p>
        </w:tc>
        <w:tc>
          <w:tcPr>
            <w:tcW w:w="161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2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tc>
      </w:tr>
    </w:tbl>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480" w:lineRule="exact"/>
        <w:jc w:val="left"/>
        <w:rPr>
          <w:rFonts w:ascii="Times New Roman" w:hAnsi="Times New Roman" w:eastAsia="方正黑体_GBK" w:cs="Times New Roman"/>
          <w:kern w:val="0"/>
          <w:sz w:val="32"/>
          <w:szCs w:val="32"/>
        </w:rPr>
      </w:pPr>
    </w:p>
    <w:p>
      <w:pPr>
        <w:adjustRightInd w:val="0"/>
        <w:snapToGrid w:val="0"/>
        <w:spacing w:line="480" w:lineRule="exact"/>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表18</w:t>
      </w:r>
    </w:p>
    <w:p>
      <w:pPr>
        <w:adjustRightInd w:val="0"/>
        <w:snapToGrid w:val="0"/>
        <w:spacing w:line="60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九龙坡区2023年区级一般公共预算基本支出</w:t>
      </w:r>
    </w:p>
    <w:p>
      <w:pPr>
        <w:adjustRightInd w:val="0"/>
        <w:snapToGrid w:val="0"/>
        <w:spacing w:line="60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预算表</w:t>
      </w:r>
    </w:p>
    <w:p>
      <w:pPr>
        <w:adjustRightInd w:val="0"/>
        <w:snapToGrid w:val="0"/>
        <w:spacing w:line="480" w:lineRule="exact"/>
        <w:ind w:right="-256" w:rightChars="-122"/>
        <w:jc w:val="center"/>
        <w:rPr>
          <w:rFonts w:ascii="Times New Roman" w:hAnsi="Times New Roman" w:eastAsia="方正楷体_GBK" w:cs="Times New Roman"/>
          <w:kern w:val="0"/>
          <w:sz w:val="28"/>
          <w:szCs w:val="28"/>
        </w:rPr>
      </w:pPr>
      <w:r>
        <w:rPr>
          <w:rFonts w:hint="eastAsia" w:ascii="Times New Roman" w:hAnsi="Times New Roman" w:eastAsia="方正楷体_GBK" w:cs="Times New Roman"/>
          <w:kern w:val="0"/>
          <w:sz w:val="28"/>
          <w:szCs w:val="28"/>
        </w:rPr>
        <w:t>（按政府经济分类科目）</w:t>
      </w:r>
    </w:p>
    <w:p>
      <w:pPr>
        <w:adjustRightInd w:val="0"/>
        <w:snapToGrid w:val="0"/>
        <w:spacing w:line="48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9623" w:type="dxa"/>
        <w:jc w:val="center"/>
        <w:tblLayout w:type="autofit"/>
        <w:tblCellMar>
          <w:top w:w="0" w:type="dxa"/>
          <w:left w:w="108" w:type="dxa"/>
          <w:bottom w:w="0" w:type="dxa"/>
          <w:right w:w="108" w:type="dxa"/>
        </w:tblCellMar>
      </w:tblPr>
      <w:tblGrid>
        <w:gridCol w:w="1288"/>
        <w:gridCol w:w="3714"/>
        <w:gridCol w:w="1079"/>
        <w:gridCol w:w="1425"/>
        <w:gridCol w:w="2117"/>
      </w:tblGrid>
      <w:tr>
        <w:tblPrEx>
          <w:tblCellMar>
            <w:top w:w="0" w:type="dxa"/>
            <w:left w:w="108" w:type="dxa"/>
            <w:bottom w:w="0" w:type="dxa"/>
            <w:right w:w="108" w:type="dxa"/>
          </w:tblCellMar>
        </w:tblPrEx>
        <w:trPr>
          <w:trHeight w:val="480" w:hRule="atLeast"/>
          <w:tblHeader/>
          <w:jc w:val="center"/>
        </w:trPr>
        <w:tc>
          <w:tcPr>
            <w:tcW w:w="500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经济分类科目</w:t>
            </w:r>
          </w:p>
        </w:tc>
        <w:tc>
          <w:tcPr>
            <w:tcW w:w="4621" w:type="dxa"/>
            <w:gridSpan w:val="3"/>
            <w:tcBorders>
              <w:top w:val="single" w:color="000000" w:sz="4" w:space="0"/>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2023</w:t>
            </w:r>
            <w:r>
              <w:rPr>
                <w:rFonts w:hint="eastAsia" w:ascii="Times New Roman" w:hAnsi="Times New Roman" w:eastAsia="方正黑体_GBK" w:cs="Times New Roman"/>
                <w:kern w:val="0"/>
                <w:sz w:val="24"/>
                <w:szCs w:val="24"/>
              </w:rPr>
              <w:t>年基本支出</w:t>
            </w:r>
          </w:p>
        </w:tc>
      </w:tr>
      <w:tr>
        <w:tblPrEx>
          <w:tblCellMar>
            <w:top w:w="0" w:type="dxa"/>
            <w:left w:w="108" w:type="dxa"/>
            <w:bottom w:w="0" w:type="dxa"/>
            <w:right w:w="108" w:type="dxa"/>
          </w:tblCellMar>
        </w:tblPrEx>
        <w:trPr>
          <w:trHeight w:val="540" w:hRule="atLeast"/>
          <w:tblHeader/>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科目编码</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科目名称</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总计</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人员经费</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日常公用经费</w:t>
            </w:r>
          </w:p>
        </w:tc>
      </w:tr>
      <w:tr>
        <w:tblPrEx>
          <w:tblCellMar>
            <w:top w:w="0" w:type="dxa"/>
            <w:left w:w="108" w:type="dxa"/>
            <w:bottom w:w="0" w:type="dxa"/>
            <w:right w:w="108" w:type="dxa"/>
          </w:tblCellMar>
        </w:tblPrEx>
        <w:trPr>
          <w:trHeight w:val="540" w:hRule="atLeast"/>
          <w:jc w:val="center"/>
        </w:trPr>
        <w:tc>
          <w:tcPr>
            <w:tcW w:w="500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center"/>
              <w:rPr>
                <w:rFonts w:ascii="Times New Roman" w:hAnsi="Times New Roman" w:eastAsia="方正仿宋_GBK" w:cs="宋体"/>
                <w:bCs/>
                <w:kern w:val="0"/>
                <w:sz w:val="24"/>
                <w:szCs w:val="24"/>
              </w:rPr>
            </w:pPr>
            <w:r>
              <w:rPr>
                <w:rFonts w:hint="eastAsia" w:ascii="Times New Roman" w:hAnsi="Times New Roman" w:eastAsia="方正仿宋_GBK" w:cs="宋体"/>
                <w:bCs/>
                <w:kern w:val="0"/>
                <w:sz w:val="24"/>
                <w:szCs w:val="24"/>
              </w:rPr>
              <w:t>合计</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393929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329227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64702 </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301</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工资福利支出</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304818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300584</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4234</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30101</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基本工资</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67123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67123</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30102</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津贴补贴</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25391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25391</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30103</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奖金</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30570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30570</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30106</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伙食补助费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4234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4234</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30107</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绩效工资</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35493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35493</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30108</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机关事业单位基本养老保险缴费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23139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23139</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30109</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职业年金缴费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11570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11570</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30110</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职工基本医疗保险缴费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12290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12290</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30111</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公务员医疗补助缴费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640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640</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30112</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其他社会保障缴费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2824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2824</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30113</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住房公积金</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25582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25582</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30114</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医疗费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2831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2831</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30199</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其他工资福利支出</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63131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63131</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302</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商品和服务支出</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59845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609</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59236</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30201</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办公费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7283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7283</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30202</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印刷费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1004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1004</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30203</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咨询费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212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30204</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手续费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30205</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水费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886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886</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30206</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电费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2142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2142</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30207</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邮电费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3472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3472</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30208</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取暖费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30209</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物业管理费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2598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2598</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30211</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差旅费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988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988</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30213</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维修（护）费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3364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3364</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30214</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租赁费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372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372</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30215</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会议费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216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216</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30216</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培训费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3216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3216</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30217</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公务接待费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252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252</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30218</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专用材料费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429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429</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30224</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被装购置费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55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55</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30225</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专用燃料费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4</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30226</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劳务费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7719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7719</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30227</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委托业务费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1115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1115</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30228</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工会经费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5614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5614</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30229</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福利费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5106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157</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4949</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30231</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公务用车运行维护费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2059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2059</w:t>
            </w:r>
          </w:p>
        </w:tc>
      </w:tr>
      <w:tr>
        <w:tblPrEx>
          <w:tblCellMar>
            <w:top w:w="0" w:type="dxa"/>
            <w:left w:w="108" w:type="dxa"/>
            <w:bottom w:w="0" w:type="dxa"/>
            <w:right w:w="108" w:type="dxa"/>
          </w:tblCellMar>
        </w:tblPrEx>
        <w:trPr>
          <w:trHeight w:val="540"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30239</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其他交通费用</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3820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3820</w:t>
            </w:r>
          </w:p>
        </w:tc>
      </w:tr>
      <w:tr>
        <w:tblPrEx>
          <w:tblCellMar>
            <w:top w:w="0" w:type="dxa"/>
            <w:left w:w="108" w:type="dxa"/>
            <w:bottom w:w="0" w:type="dxa"/>
            <w:right w:w="108" w:type="dxa"/>
          </w:tblCellMar>
        </w:tblPrEx>
        <w:trPr>
          <w:trHeight w:val="1125"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30240</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税金及附加费用</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12</w:t>
            </w:r>
          </w:p>
        </w:tc>
      </w:tr>
      <w:tr>
        <w:tblPrEx>
          <w:tblCellMar>
            <w:top w:w="0" w:type="dxa"/>
            <w:left w:w="108" w:type="dxa"/>
            <w:bottom w:w="0" w:type="dxa"/>
            <w:right w:w="108" w:type="dxa"/>
          </w:tblCellMar>
        </w:tblPrEx>
        <w:trPr>
          <w:trHeight w:val="585"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30299</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其他商品和服务支出</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7883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452</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7431</w:t>
            </w:r>
          </w:p>
        </w:tc>
      </w:tr>
      <w:tr>
        <w:tblPrEx>
          <w:tblCellMar>
            <w:top w:w="0" w:type="dxa"/>
            <w:left w:w="108" w:type="dxa"/>
            <w:bottom w:w="0" w:type="dxa"/>
            <w:right w:w="108" w:type="dxa"/>
          </w:tblCellMar>
        </w:tblPrEx>
        <w:trPr>
          <w:trHeight w:val="439"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303</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对个人和家庭的补助</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28034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28034</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0</w:t>
            </w:r>
          </w:p>
        </w:tc>
      </w:tr>
      <w:tr>
        <w:tblPrEx>
          <w:tblCellMar>
            <w:top w:w="0" w:type="dxa"/>
            <w:left w:w="108" w:type="dxa"/>
            <w:bottom w:w="0" w:type="dxa"/>
            <w:right w:w="108" w:type="dxa"/>
          </w:tblCellMar>
        </w:tblPrEx>
        <w:trPr>
          <w:trHeight w:val="439"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30301</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离休费</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447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447</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39"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30305</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生活补助</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24982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24982</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39"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30307</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医疗费补助</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2436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2436</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39"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30308</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助学金</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169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169</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439"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310</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资本性支出</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1232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1232</w:t>
            </w:r>
          </w:p>
        </w:tc>
      </w:tr>
      <w:tr>
        <w:tblPrEx>
          <w:tblCellMar>
            <w:top w:w="0" w:type="dxa"/>
            <w:left w:w="108" w:type="dxa"/>
            <w:bottom w:w="0" w:type="dxa"/>
            <w:right w:w="108" w:type="dxa"/>
          </w:tblCellMar>
        </w:tblPrEx>
        <w:trPr>
          <w:trHeight w:val="439"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31002</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办公设备购置</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1089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1089</w:t>
            </w:r>
          </w:p>
        </w:tc>
      </w:tr>
      <w:tr>
        <w:tblPrEx>
          <w:tblCellMar>
            <w:top w:w="0" w:type="dxa"/>
            <w:left w:w="108" w:type="dxa"/>
            <w:bottom w:w="0" w:type="dxa"/>
            <w:right w:w="108" w:type="dxa"/>
          </w:tblCellMar>
        </w:tblPrEx>
        <w:trPr>
          <w:trHeight w:val="439"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31007</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信息网络及软件购置更新</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w:t>
            </w:r>
          </w:p>
        </w:tc>
      </w:tr>
      <w:tr>
        <w:tblPrEx>
          <w:tblCellMar>
            <w:top w:w="0" w:type="dxa"/>
            <w:left w:w="108" w:type="dxa"/>
            <w:bottom w:w="0" w:type="dxa"/>
            <w:right w:w="108" w:type="dxa"/>
          </w:tblCellMar>
        </w:tblPrEx>
        <w:trPr>
          <w:trHeight w:val="439" w:hRule="atLeast"/>
          <w:jc w:val="center"/>
        </w:trPr>
        <w:tc>
          <w:tcPr>
            <w:tcW w:w="1288"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31099</w:t>
            </w:r>
          </w:p>
        </w:tc>
        <w:tc>
          <w:tcPr>
            <w:tcW w:w="3714"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其他资本性支出</w:t>
            </w:r>
          </w:p>
        </w:tc>
        <w:tc>
          <w:tcPr>
            <w:tcW w:w="1079"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121 </w:t>
            </w:r>
          </w:p>
        </w:tc>
        <w:tc>
          <w:tcPr>
            <w:tcW w:w="1425"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117" w:type="dxa"/>
            <w:tcBorders>
              <w:top w:val="nil"/>
              <w:left w:val="nil"/>
              <w:bottom w:val="single" w:color="000000" w:sz="4" w:space="0"/>
              <w:right w:val="single" w:color="000000" w:sz="4" w:space="0"/>
            </w:tcBorders>
            <w:shd w:val="clear" w:color="auto" w:fill="auto"/>
            <w:noWrap/>
            <w:vAlign w:val="center"/>
          </w:tcPr>
          <w:p>
            <w:pPr>
              <w:widowControl/>
              <w:adjustRightInd w:val="0"/>
              <w:snapToGrid w:val="0"/>
              <w:spacing w:line="3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121</w:t>
            </w:r>
          </w:p>
        </w:tc>
      </w:tr>
    </w:tbl>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pPr>
    </w:p>
    <w:p>
      <w:pPr>
        <w:adjustRightInd w:val="0"/>
        <w:snapToGrid w:val="0"/>
        <w:spacing w:line="600" w:lineRule="exact"/>
        <w:jc w:val="center"/>
        <w:rPr>
          <w:rFonts w:ascii="Times New Roman" w:hAnsi="Times New Roman" w:eastAsia="方正小标宋_GBK"/>
          <w:sz w:val="44"/>
          <w:szCs w:val="44"/>
        </w:rPr>
        <w:sectPr>
          <w:pgSz w:w="11906" w:h="16838"/>
          <w:pgMar w:top="1985" w:right="1446" w:bottom="1644" w:left="1446" w:header="851" w:footer="1474" w:gutter="0"/>
          <w:cols w:space="425" w:num="1"/>
          <w:docGrid w:type="lines" w:linePitch="312" w:charSpace="0"/>
        </w:sectPr>
      </w:pPr>
    </w:p>
    <w:p>
      <w:pPr>
        <w:adjustRightInd w:val="0"/>
        <w:snapToGrid w:val="0"/>
        <w:spacing w:line="480" w:lineRule="exact"/>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表19</w:t>
      </w:r>
    </w:p>
    <w:p>
      <w:pPr>
        <w:adjustRightInd w:val="0"/>
        <w:snapToGrid w:val="0"/>
        <w:spacing w:line="600" w:lineRule="exact"/>
        <w:ind w:right="880"/>
        <w:jc w:val="right"/>
        <w:rPr>
          <w:rFonts w:ascii="Times New Roman" w:hAnsi="Times New Roman" w:eastAsia="方正小标宋_GBK"/>
          <w:sz w:val="44"/>
          <w:szCs w:val="44"/>
        </w:rPr>
      </w:pPr>
      <w:r>
        <w:rPr>
          <w:rFonts w:hint="eastAsia" w:ascii="Times New Roman" w:hAnsi="Times New Roman" w:eastAsia="方正小标宋_GBK"/>
          <w:sz w:val="44"/>
          <w:szCs w:val="44"/>
        </w:rPr>
        <w:t>九龙坡区2023年区级一般公共预算转移支付收支预算表</w:t>
      </w:r>
    </w:p>
    <w:p>
      <w:pPr>
        <w:adjustRightInd w:val="0"/>
        <w:snapToGrid w:val="0"/>
        <w:spacing w:line="48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15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4"/>
        <w:gridCol w:w="1387"/>
        <w:gridCol w:w="1355"/>
        <w:gridCol w:w="1843"/>
        <w:gridCol w:w="2693"/>
        <w:gridCol w:w="1276"/>
        <w:gridCol w:w="1271"/>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blHeader/>
          <w:jc w:val="center"/>
        </w:trPr>
        <w:tc>
          <w:tcPr>
            <w:tcW w:w="3364" w:type="dxa"/>
            <w:shd w:val="clear" w:color="auto" w:fill="auto"/>
            <w:vAlign w:val="center"/>
          </w:tcPr>
          <w:p>
            <w:pPr>
              <w:widowControl/>
              <w:adjustRightInd w:val="0"/>
              <w:snapToGrid w:val="0"/>
              <w:spacing w:line="26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收    入</w:t>
            </w:r>
          </w:p>
        </w:tc>
        <w:tc>
          <w:tcPr>
            <w:tcW w:w="1387" w:type="dxa"/>
            <w:shd w:val="clear" w:color="000000" w:fill="FFFFFF"/>
            <w:vAlign w:val="center"/>
          </w:tcPr>
          <w:p>
            <w:pPr>
              <w:widowControl/>
              <w:adjustRightInd w:val="0"/>
              <w:snapToGrid w:val="0"/>
              <w:spacing w:line="26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2022年预算数</w:t>
            </w:r>
          </w:p>
        </w:tc>
        <w:tc>
          <w:tcPr>
            <w:tcW w:w="1355" w:type="dxa"/>
            <w:shd w:val="clear" w:color="000000" w:fill="FFFFFF"/>
            <w:vAlign w:val="center"/>
          </w:tcPr>
          <w:p>
            <w:pPr>
              <w:widowControl/>
              <w:adjustRightInd w:val="0"/>
              <w:snapToGrid w:val="0"/>
              <w:spacing w:line="26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2023年预算数</w:t>
            </w:r>
          </w:p>
        </w:tc>
        <w:tc>
          <w:tcPr>
            <w:tcW w:w="1843" w:type="dxa"/>
            <w:shd w:val="clear" w:color="000000" w:fill="FFFFFF"/>
            <w:vAlign w:val="center"/>
          </w:tcPr>
          <w:p>
            <w:pPr>
              <w:widowControl/>
              <w:adjustRightInd w:val="0"/>
              <w:snapToGrid w:val="0"/>
              <w:spacing w:line="26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预算数为上年预算数的%</w:t>
            </w:r>
          </w:p>
        </w:tc>
        <w:tc>
          <w:tcPr>
            <w:tcW w:w="2693" w:type="dxa"/>
            <w:shd w:val="clear" w:color="auto" w:fill="auto"/>
            <w:vAlign w:val="center"/>
          </w:tcPr>
          <w:p>
            <w:pPr>
              <w:widowControl/>
              <w:adjustRightInd w:val="0"/>
              <w:snapToGrid w:val="0"/>
              <w:spacing w:line="26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支        出</w:t>
            </w:r>
          </w:p>
        </w:tc>
        <w:tc>
          <w:tcPr>
            <w:tcW w:w="1276" w:type="dxa"/>
            <w:shd w:val="clear" w:color="000000" w:fill="FFFFFF"/>
            <w:vAlign w:val="center"/>
          </w:tcPr>
          <w:p>
            <w:pPr>
              <w:widowControl/>
              <w:adjustRightInd w:val="0"/>
              <w:snapToGrid w:val="0"/>
              <w:spacing w:line="26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2022年预算数</w:t>
            </w:r>
          </w:p>
        </w:tc>
        <w:tc>
          <w:tcPr>
            <w:tcW w:w="1271" w:type="dxa"/>
            <w:shd w:val="clear" w:color="000000" w:fill="FFFFFF"/>
            <w:vAlign w:val="center"/>
          </w:tcPr>
          <w:p>
            <w:pPr>
              <w:widowControl/>
              <w:adjustRightInd w:val="0"/>
              <w:snapToGrid w:val="0"/>
              <w:spacing w:line="26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2023年预算数</w:t>
            </w:r>
          </w:p>
        </w:tc>
        <w:tc>
          <w:tcPr>
            <w:tcW w:w="1848" w:type="dxa"/>
            <w:shd w:val="clear" w:color="auto" w:fill="auto"/>
            <w:vAlign w:val="center"/>
          </w:tcPr>
          <w:p>
            <w:pPr>
              <w:widowControl/>
              <w:adjustRightInd w:val="0"/>
              <w:snapToGrid w:val="0"/>
              <w:spacing w:line="26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预算数为上年预算数的%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上级补助收入</w:t>
            </w:r>
          </w:p>
        </w:tc>
        <w:tc>
          <w:tcPr>
            <w:tcW w:w="1387" w:type="dxa"/>
            <w:shd w:val="clear" w:color="000000" w:fill="FFFFFF"/>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193145 </w:t>
            </w:r>
          </w:p>
        </w:tc>
        <w:tc>
          <w:tcPr>
            <w:tcW w:w="1355" w:type="dxa"/>
            <w:shd w:val="clear" w:color="000000" w:fill="FFFFFF"/>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214957 </w:t>
            </w:r>
          </w:p>
        </w:tc>
        <w:tc>
          <w:tcPr>
            <w:tcW w:w="1843" w:type="dxa"/>
            <w:shd w:val="clear" w:color="000000" w:fill="FFFFFF"/>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111.29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补助镇支出</w:t>
            </w:r>
          </w:p>
        </w:tc>
        <w:tc>
          <w:tcPr>
            <w:tcW w:w="1276" w:type="dxa"/>
            <w:shd w:val="clear" w:color="000000" w:fill="FFFFFF"/>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15019 </w:t>
            </w:r>
          </w:p>
        </w:tc>
        <w:tc>
          <w:tcPr>
            <w:tcW w:w="1271" w:type="dxa"/>
            <w:shd w:val="clear" w:color="000000" w:fill="FFFFFF"/>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15663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104.29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楷体_GBK" w:cs="宋体"/>
                <w:color w:val="000000"/>
                <w:kern w:val="0"/>
                <w:sz w:val="24"/>
                <w:szCs w:val="24"/>
              </w:rPr>
            </w:pPr>
            <w:r>
              <w:rPr>
                <w:rFonts w:hint="eastAsia" w:ascii="Times New Roman" w:hAnsi="Times New Roman" w:eastAsia="方正楷体_GBK" w:cs="宋体"/>
                <w:color w:val="000000"/>
                <w:kern w:val="0"/>
                <w:sz w:val="24"/>
                <w:szCs w:val="24"/>
              </w:rPr>
              <w:t>一、返还性收入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67114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67114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100.00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楷体_GBK" w:cs="宋体"/>
                <w:kern w:val="0"/>
                <w:sz w:val="24"/>
                <w:szCs w:val="24"/>
              </w:rPr>
            </w:pPr>
            <w:r>
              <w:rPr>
                <w:rFonts w:hint="eastAsia" w:ascii="Times New Roman" w:hAnsi="Times New Roman" w:eastAsia="方正楷体_GBK" w:cs="宋体"/>
                <w:kern w:val="0"/>
                <w:sz w:val="24"/>
                <w:szCs w:val="24"/>
              </w:rPr>
              <w:t>一、一般性转移支付支出</w:t>
            </w:r>
          </w:p>
        </w:tc>
        <w:tc>
          <w:tcPr>
            <w:tcW w:w="1276" w:type="dxa"/>
            <w:shd w:val="clear" w:color="000000" w:fill="FFFFFF"/>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8435 </w:t>
            </w:r>
          </w:p>
        </w:tc>
        <w:tc>
          <w:tcPr>
            <w:tcW w:w="1271" w:type="dxa"/>
            <w:shd w:val="clear" w:color="000000" w:fill="FFFFFF"/>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9149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108.46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所得税基数返还收入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11101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11101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100.00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一般公共服务支出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727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966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132.87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增值税税收返还收入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16113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16113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100.00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公共安全支出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252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288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消费税税收返还收入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778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778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100.00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社会保障和就业支出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4572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4699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102.78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增值税“五五分享”税收返还收入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39122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39122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100.00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城乡社区支出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2135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2662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124.68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楷体_GBK" w:cs="宋体"/>
                <w:color w:val="000000"/>
                <w:kern w:val="0"/>
                <w:sz w:val="24"/>
                <w:szCs w:val="24"/>
              </w:rPr>
            </w:pPr>
            <w:r>
              <w:rPr>
                <w:rFonts w:hint="eastAsia" w:ascii="Times New Roman" w:hAnsi="Times New Roman" w:eastAsia="方正楷体_GBK" w:cs="宋体"/>
                <w:color w:val="000000"/>
                <w:kern w:val="0"/>
                <w:sz w:val="24"/>
                <w:szCs w:val="24"/>
              </w:rPr>
              <w:t>二、一般性转移支付收入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95862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130767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136.41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农林水支出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399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418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104.76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体制补助收入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1438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1093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76.01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灾害防治及应急管理支出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350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116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均衡性转移支付收入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8134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10734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131.96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县级基本财力保障机制奖补资金收入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3114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3114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100.00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结算补助收入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15688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16016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102.09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000000" w:fill="FFFFFF"/>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1" w:type="dxa"/>
            <w:shd w:val="clear" w:color="000000" w:fill="FFFFFF"/>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固定数额补助收入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8352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8972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107.42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000000" w:fill="FFFFFF"/>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1" w:type="dxa"/>
            <w:shd w:val="clear" w:color="000000" w:fill="FFFFFF"/>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欠发达地区转移支付收入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1366 </w:t>
            </w:r>
          </w:p>
        </w:tc>
        <w:tc>
          <w:tcPr>
            <w:tcW w:w="1355" w:type="dxa"/>
            <w:shd w:val="clear" w:color="auto" w:fill="auto"/>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0.00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000000" w:fill="FFFFFF"/>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71" w:type="dxa"/>
            <w:shd w:val="clear" w:color="000000" w:fill="FFFFFF"/>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巩固脱贫攻坚成果衔接乡村振兴转移支付支出</w:t>
            </w:r>
          </w:p>
        </w:tc>
        <w:tc>
          <w:tcPr>
            <w:tcW w:w="1387" w:type="dxa"/>
            <w:shd w:val="clear" w:color="auto" w:fill="auto"/>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1489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共同财政事权转移支付收入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57721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82124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142.28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一般公共服务共同财政事权转移支付收入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 </w:t>
            </w:r>
          </w:p>
        </w:tc>
        <w:tc>
          <w:tcPr>
            <w:tcW w:w="1355" w:type="dxa"/>
            <w:shd w:val="clear" w:color="auto" w:fill="auto"/>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0.00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公共安全共同财政事权转移支付收入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3346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2892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86.43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教育共同财政事权转移支付收入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16041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23884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148.89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科学技术共同财政事权转移支付收入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420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331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78.81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文化旅游体育与传媒共同财政事权转移支付收入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399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520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130.33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社会保障和就业共同财政事权转移支付收入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21804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25073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114.99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医疗卫生共同财政事权转移支付收入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13955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15242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109.22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节能环保共同财政事权转移支付收入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72.73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农林水共同财政事权转移支付收入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1266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1429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112.88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交通运输共同财政事权转移支付收入</w:t>
            </w:r>
          </w:p>
        </w:tc>
        <w:tc>
          <w:tcPr>
            <w:tcW w:w="1387" w:type="dxa"/>
            <w:shd w:val="clear" w:color="auto" w:fill="auto"/>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3117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住房保障共同财政事权转移支付收入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450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9620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2137.78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增值税留抵退税转移支付收入</w:t>
            </w:r>
          </w:p>
        </w:tc>
        <w:tc>
          <w:tcPr>
            <w:tcW w:w="1387" w:type="dxa"/>
            <w:shd w:val="clear" w:color="auto" w:fill="auto"/>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2300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其他退税关税降费转移支付收入</w:t>
            </w:r>
          </w:p>
        </w:tc>
        <w:tc>
          <w:tcPr>
            <w:tcW w:w="1387" w:type="dxa"/>
            <w:shd w:val="clear" w:color="auto" w:fill="auto"/>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4200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省拨付补助支出</w:t>
            </w:r>
          </w:p>
        </w:tc>
        <w:tc>
          <w:tcPr>
            <w:tcW w:w="1387" w:type="dxa"/>
            <w:shd w:val="clear" w:color="auto" w:fill="auto"/>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其他一般性转移支付收入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49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685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1397.96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楷体_GBK" w:cs="宋体"/>
                <w:color w:val="000000"/>
                <w:kern w:val="0"/>
                <w:sz w:val="24"/>
                <w:szCs w:val="24"/>
              </w:rPr>
            </w:pPr>
            <w:r>
              <w:rPr>
                <w:rFonts w:hint="eastAsia" w:ascii="Times New Roman" w:hAnsi="Times New Roman" w:eastAsia="方正楷体_GBK" w:cs="宋体"/>
                <w:color w:val="000000"/>
                <w:kern w:val="0"/>
                <w:sz w:val="24"/>
                <w:szCs w:val="24"/>
              </w:rPr>
              <w:t>三、专项转移支付收入</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30169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17076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56.60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一般公共服务</w:t>
            </w:r>
          </w:p>
        </w:tc>
        <w:tc>
          <w:tcPr>
            <w:tcW w:w="1387" w:type="dxa"/>
            <w:shd w:val="clear" w:color="auto" w:fill="auto"/>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国防</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1896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815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42.99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教育</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1045 </w:t>
            </w:r>
          </w:p>
        </w:tc>
        <w:tc>
          <w:tcPr>
            <w:tcW w:w="1355" w:type="dxa"/>
            <w:shd w:val="clear" w:color="auto" w:fill="auto"/>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0.00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文化旅游体育与传媒</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142.86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社会保障和就业</w:t>
            </w:r>
          </w:p>
        </w:tc>
        <w:tc>
          <w:tcPr>
            <w:tcW w:w="1387" w:type="dxa"/>
            <w:shd w:val="clear" w:color="auto" w:fill="auto"/>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55" w:type="dxa"/>
            <w:shd w:val="clear" w:color="auto" w:fill="auto"/>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卫生健康</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1050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950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90.48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二、专项转移支付支出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6584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 xml:space="preserve">6514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98.94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节能环保</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922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1493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161.93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一般公共服务支出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354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597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168.64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城乡社区</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2028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1524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75.15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公共安全支出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23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农林水</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1949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1425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73.11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文化旅游体育与传媒支出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59 </w:t>
            </w:r>
          </w:p>
        </w:tc>
        <w:tc>
          <w:tcPr>
            <w:tcW w:w="1271"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交通运输</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4633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0.47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社会保障和就业支出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3973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4423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111.33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资源勘探工业信息等</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9100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6490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71.32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卫生健康支出</w:t>
            </w: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38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商业服务业等</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2367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2397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101.27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节能环保支出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22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22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自然资源海洋气象</w:t>
            </w:r>
          </w:p>
        </w:tc>
        <w:tc>
          <w:tcPr>
            <w:tcW w:w="1387" w:type="dxa"/>
            <w:shd w:val="clear" w:color="auto" w:fill="auto"/>
            <w:vAlign w:val="center"/>
          </w:tcPr>
          <w:p>
            <w:pPr>
              <w:widowControl/>
              <w:adjustRightInd w:val="0"/>
              <w:snapToGrid w:val="0"/>
              <w:spacing w:line="26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800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城乡社区支出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1775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1105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62.25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住房保障</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5080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1080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21.26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农林水支出</w:t>
            </w:r>
          </w:p>
        </w:tc>
        <w:tc>
          <w:tcPr>
            <w:tcW w:w="1276"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378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266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70.37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灾害防治及应急管理</w:t>
            </w:r>
          </w:p>
        </w:tc>
        <w:tc>
          <w:tcPr>
            <w:tcW w:w="1387"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92 </w:t>
            </w:r>
          </w:p>
        </w:tc>
        <w:tc>
          <w:tcPr>
            <w:tcW w:w="1355"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30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32.61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金融支出</w:t>
            </w: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30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364" w:type="dxa"/>
            <w:shd w:val="clear" w:color="auto" w:fill="auto"/>
            <w:vAlign w:val="center"/>
          </w:tcPr>
          <w:p>
            <w:pPr>
              <w:widowControl/>
              <w:adjustRightInd w:val="0"/>
              <w:snapToGrid w:val="0"/>
              <w:spacing w:line="26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其他专项转移支付收入</w:t>
            </w:r>
          </w:p>
        </w:tc>
        <w:tc>
          <w:tcPr>
            <w:tcW w:w="1387"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355"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843"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2693" w:type="dxa"/>
            <w:shd w:val="clear" w:color="auto" w:fill="auto"/>
            <w:vAlign w:val="center"/>
          </w:tcPr>
          <w:p>
            <w:pPr>
              <w:widowControl/>
              <w:adjustRightInd w:val="0"/>
              <w:snapToGrid w:val="0"/>
              <w:spacing w:line="26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灾害防治及应急管理支出</w:t>
            </w:r>
          </w:p>
        </w:tc>
        <w:tc>
          <w:tcPr>
            <w:tcW w:w="1276" w:type="dxa"/>
            <w:shd w:val="clear" w:color="auto" w:fill="auto"/>
            <w:vAlign w:val="center"/>
          </w:tcPr>
          <w:p>
            <w:pPr>
              <w:widowControl/>
              <w:adjustRightInd w:val="0"/>
              <w:snapToGrid w:val="0"/>
              <w:spacing w:line="26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71" w:type="dxa"/>
            <w:shd w:val="clear" w:color="auto" w:fill="auto"/>
            <w:vAlign w:val="center"/>
          </w:tcPr>
          <w:p>
            <w:pPr>
              <w:widowControl/>
              <w:adjustRightInd w:val="0"/>
              <w:snapToGrid w:val="0"/>
              <w:spacing w:line="26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23 </w:t>
            </w:r>
          </w:p>
        </w:tc>
        <w:tc>
          <w:tcPr>
            <w:tcW w:w="1848" w:type="dxa"/>
            <w:shd w:val="clear" w:color="auto" w:fill="auto"/>
            <w:vAlign w:val="center"/>
          </w:tcPr>
          <w:p>
            <w:pPr>
              <w:widowControl/>
              <w:adjustRightInd w:val="0"/>
              <w:snapToGrid w:val="0"/>
              <w:spacing w:line="26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bl>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sectPr>
          <w:pgSz w:w="16838" w:h="11906" w:orient="landscape"/>
          <w:pgMar w:top="1446" w:right="1985" w:bottom="1446" w:left="1644" w:header="851" w:footer="1474" w:gutter="0"/>
          <w:cols w:space="425" w:num="1"/>
          <w:docGrid w:type="linesAndChars" w:linePitch="312" w:charSpace="0"/>
        </w:sectPr>
      </w:pPr>
    </w:p>
    <w:p>
      <w:pPr>
        <w:widowControl/>
        <w:spacing w:line="600" w:lineRule="exact"/>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表20</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九龙坡区2023年区级一般公共预算转移</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支付支出预算表</w:t>
      </w:r>
    </w:p>
    <w:p>
      <w:pPr>
        <w:widowControl/>
        <w:spacing w:line="400" w:lineRule="exact"/>
        <w:jc w:val="center"/>
        <w:rPr>
          <w:rFonts w:ascii="Times New Roman" w:hAnsi="Times New Roman" w:eastAsia="方正仿宋_GBK" w:cs="Times New Roman"/>
          <w:kern w:val="0"/>
          <w:sz w:val="28"/>
          <w:szCs w:val="28"/>
        </w:rPr>
      </w:pPr>
      <w:r>
        <w:rPr>
          <w:rFonts w:hint="eastAsia" w:ascii="Times New Roman" w:hAnsi="Times New Roman" w:eastAsia="方正仿宋_GBK" w:cs="Times New Roman"/>
          <w:kern w:val="0"/>
          <w:sz w:val="28"/>
          <w:szCs w:val="28"/>
        </w:rPr>
        <w:t>（分地区）</w:t>
      </w:r>
    </w:p>
    <w:p>
      <w:pPr>
        <w:widowControl/>
        <w:spacing w:line="40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10680" w:type="dxa"/>
        <w:jc w:val="center"/>
        <w:tblLayout w:type="autofit"/>
        <w:tblCellMar>
          <w:top w:w="0" w:type="dxa"/>
          <w:left w:w="108" w:type="dxa"/>
          <w:bottom w:w="0" w:type="dxa"/>
          <w:right w:w="108" w:type="dxa"/>
        </w:tblCellMar>
      </w:tblPr>
      <w:tblGrid>
        <w:gridCol w:w="5420"/>
        <w:gridCol w:w="5260"/>
      </w:tblGrid>
      <w:tr>
        <w:tblPrEx>
          <w:tblCellMar>
            <w:top w:w="0" w:type="dxa"/>
            <w:left w:w="108" w:type="dxa"/>
            <w:bottom w:w="0" w:type="dxa"/>
            <w:right w:w="108" w:type="dxa"/>
          </w:tblCellMar>
        </w:tblPrEx>
        <w:trPr>
          <w:trHeight w:val="375" w:hRule="atLeast"/>
          <w:jc w:val="center"/>
        </w:trPr>
        <w:tc>
          <w:tcPr>
            <w:tcW w:w="54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center"/>
              <w:rPr>
                <w:rFonts w:ascii="Times New Roman" w:hAnsi="Times New Roman" w:eastAsia="黑体" w:cs="宋体"/>
                <w:kern w:val="0"/>
                <w:sz w:val="28"/>
                <w:szCs w:val="28"/>
              </w:rPr>
            </w:pPr>
            <w:r>
              <w:rPr>
                <w:rFonts w:hint="eastAsia" w:ascii="Times New Roman" w:hAnsi="Times New Roman" w:eastAsia="黑体" w:cs="宋体"/>
                <w:kern w:val="0"/>
                <w:sz w:val="28"/>
                <w:szCs w:val="28"/>
              </w:rPr>
              <w:t>支      出</w:t>
            </w:r>
          </w:p>
        </w:tc>
        <w:tc>
          <w:tcPr>
            <w:tcW w:w="526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黑体" w:cs="宋体"/>
                <w:color w:val="000000"/>
                <w:kern w:val="0"/>
                <w:sz w:val="28"/>
                <w:szCs w:val="28"/>
              </w:rPr>
            </w:pPr>
            <w:r>
              <w:rPr>
                <w:rFonts w:hint="eastAsia" w:ascii="Times New Roman" w:hAnsi="Times New Roman" w:eastAsia="黑体" w:cs="宋体"/>
                <w:color w:val="000000"/>
                <w:kern w:val="0"/>
                <w:sz w:val="28"/>
                <w:szCs w:val="28"/>
              </w:rPr>
              <w:t>预算数</w:t>
            </w:r>
          </w:p>
        </w:tc>
      </w:tr>
      <w:tr>
        <w:tblPrEx>
          <w:tblCellMar>
            <w:top w:w="0" w:type="dxa"/>
            <w:left w:w="108" w:type="dxa"/>
            <w:bottom w:w="0" w:type="dxa"/>
            <w:right w:w="108" w:type="dxa"/>
          </w:tblCellMar>
        </w:tblPrEx>
        <w:trPr>
          <w:trHeight w:val="375" w:hRule="atLeast"/>
          <w:jc w:val="center"/>
        </w:trPr>
        <w:tc>
          <w:tcPr>
            <w:tcW w:w="5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黑体" w:cs="宋体"/>
                <w:kern w:val="0"/>
                <w:sz w:val="28"/>
                <w:szCs w:val="28"/>
              </w:rPr>
            </w:pPr>
            <w:r>
              <w:rPr>
                <w:rFonts w:hint="eastAsia" w:ascii="Times New Roman" w:hAnsi="Times New Roman" w:eastAsia="黑体" w:cs="宋体"/>
                <w:kern w:val="0"/>
                <w:sz w:val="28"/>
                <w:szCs w:val="28"/>
              </w:rPr>
              <w:t>补助镇合计</w:t>
            </w:r>
          </w:p>
        </w:tc>
        <w:tc>
          <w:tcPr>
            <w:tcW w:w="5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15663 </w:t>
            </w:r>
          </w:p>
        </w:tc>
      </w:tr>
      <w:tr>
        <w:tblPrEx>
          <w:tblCellMar>
            <w:top w:w="0" w:type="dxa"/>
            <w:left w:w="108" w:type="dxa"/>
            <w:bottom w:w="0" w:type="dxa"/>
            <w:right w:w="108" w:type="dxa"/>
          </w:tblCellMar>
        </w:tblPrEx>
        <w:trPr>
          <w:trHeight w:val="315" w:hRule="atLeast"/>
          <w:jc w:val="center"/>
        </w:trPr>
        <w:tc>
          <w:tcPr>
            <w:tcW w:w="5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2"/>
              </w:rPr>
            </w:pPr>
            <w:r>
              <w:rPr>
                <w:rFonts w:hint="eastAsia" w:ascii="Times New Roman" w:hAnsi="Times New Roman" w:eastAsia="方正仿宋_GBK" w:cs="宋体"/>
                <w:color w:val="000000"/>
                <w:kern w:val="0"/>
                <w:sz w:val="22"/>
              </w:rPr>
              <w:t xml:space="preserve">    华岩镇</w:t>
            </w:r>
          </w:p>
        </w:tc>
        <w:tc>
          <w:tcPr>
            <w:tcW w:w="5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5951 </w:t>
            </w:r>
          </w:p>
        </w:tc>
      </w:tr>
      <w:tr>
        <w:tblPrEx>
          <w:tblCellMar>
            <w:top w:w="0" w:type="dxa"/>
            <w:left w:w="108" w:type="dxa"/>
            <w:bottom w:w="0" w:type="dxa"/>
            <w:right w:w="108" w:type="dxa"/>
          </w:tblCellMar>
        </w:tblPrEx>
        <w:trPr>
          <w:trHeight w:val="315" w:hRule="atLeast"/>
          <w:jc w:val="center"/>
        </w:trPr>
        <w:tc>
          <w:tcPr>
            <w:tcW w:w="5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2"/>
              </w:rPr>
            </w:pPr>
            <w:r>
              <w:rPr>
                <w:rFonts w:hint="eastAsia" w:ascii="Times New Roman" w:hAnsi="Times New Roman" w:eastAsia="方正仿宋_GBK" w:cs="宋体"/>
                <w:color w:val="000000"/>
                <w:kern w:val="0"/>
                <w:sz w:val="22"/>
              </w:rPr>
              <w:t xml:space="preserve">    铜罐驿镇</w:t>
            </w:r>
          </w:p>
        </w:tc>
        <w:tc>
          <w:tcPr>
            <w:tcW w:w="5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2334 </w:t>
            </w:r>
          </w:p>
        </w:tc>
      </w:tr>
      <w:tr>
        <w:tblPrEx>
          <w:tblCellMar>
            <w:top w:w="0" w:type="dxa"/>
            <w:left w:w="108" w:type="dxa"/>
            <w:bottom w:w="0" w:type="dxa"/>
            <w:right w:w="108" w:type="dxa"/>
          </w:tblCellMar>
        </w:tblPrEx>
        <w:trPr>
          <w:trHeight w:val="315" w:hRule="atLeast"/>
          <w:jc w:val="center"/>
        </w:trPr>
        <w:tc>
          <w:tcPr>
            <w:tcW w:w="5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2"/>
              </w:rPr>
            </w:pPr>
            <w:r>
              <w:rPr>
                <w:rFonts w:hint="eastAsia" w:ascii="Times New Roman" w:hAnsi="Times New Roman" w:eastAsia="方正仿宋_GBK" w:cs="宋体"/>
                <w:color w:val="000000"/>
                <w:kern w:val="0"/>
                <w:sz w:val="22"/>
              </w:rPr>
              <w:t xml:space="preserve">    西彭镇</w:t>
            </w:r>
          </w:p>
        </w:tc>
        <w:tc>
          <w:tcPr>
            <w:tcW w:w="5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6500 </w:t>
            </w:r>
          </w:p>
        </w:tc>
      </w:tr>
      <w:tr>
        <w:tblPrEx>
          <w:tblCellMar>
            <w:top w:w="0" w:type="dxa"/>
            <w:left w:w="108" w:type="dxa"/>
            <w:bottom w:w="0" w:type="dxa"/>
            <w:right w:w="108" w:type="dxa"/>
          </w:tblCellMar>
        </w:tblPrEx>
        <w:trPr>
          <w:trHeight w:val="315" w:hRule="atLeast"/>
          <w:jc w:val="center"/>
        </w:trPr>
        <w:tc>
          <w:tcPr>
            <w:tcW w:w="542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2"/>
              </w:rPr>
            </w:pPr>
            <w:r>
              <w:rPr>
                <w:rFonts w:hint="eastAsia" w:ascii="Times New Roman" w:hAnsi="Times New Roman" w:eastAsia="方正仿宋_GBK" w:cs="宋体"/>
                <w:color w:val="000000"/>
                <w:kern w:val="0"/>
                <w:sz w:val="22"/>
              </w:rPr>
              <w:t xml:space="preserve">    陶家镇</w:t>
            </w:r>
          </w:p>
        </w:tc>
        <w:tc>
          <w:tcPr>
            <w:tcW w:w="5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878 </w:t>
            </w:r>
          </w:p>
        </w:tc>
      </w:tr>
      <w:tr>
        <w:tblPrEx>
          <w:tblCellMar>
            <w:top w:w="0" w:type="dxa"/>
            <w:left w:w="108" w:type="dxa"/>
            <w:bottom w:w="0" w:type="dxa"/>
            <w:right w:w="108" w:type="dxa"/>
          </w:tblCellMar>
        </w:tblPrEx>
        <w:trPr>
          <w:trHeight w:val="705" w:hRule="atLeast"/>
          <w:jc w:val="center"/>
        </w:trPr>
        <w:tc>
          <w:tcPr>
            <w:tcW w:w="10680" w:type="dxa"/>
            <w:gridSpan w:val="2"/>
            <w:tcBorders>
              <w:top w:val="nil"/>
              <w:left w:val="nil"/>
              <w:bottom w:val="nil"/>
              <w:right w:val="nil"/>
            </w:tcBorders>
            <w:shd w:val="clear" w:color="000000" w:fill="FFFFFF"/>
            <w:vAlign w:val="center"/>
          </w:tcPr>
          <w:p>
            <w:pPr>
              <w:widowControl/>
              <w:adjustRightInd w:val="0"/>
              <w:snapToGrid w:val="0"/>
              <w:spacing w:line="400" w:lineRule="exact"/>
              <w:ind w:left="440" w:hanging="440" w:hangingChars="200"/>
              <w:jc w:val="left"/>
              <w:rPr>
                <w:rFonts w:ascii="Times New Roman" w:hAnsi="Times New Roman" w:eastAsia="方正仿宋_GBK" w:cs="宋体"/>
                <w:color w:val="000000"/>
                <w:kern w:val="0"/>
                <w:sz w:val="22"/>
              </w:rPr>
            </w:pPr>
            <w:r>
              <w:rPr>
                <w:rFonts w:hint="eastAsia" w:ascii="Times New Roman" w:hAnsi="Times New Roman" w:eastAsia="方正仿宋_GBK" w:cs="宋体"/>
                <w:color w:val="000000"/>
                <w:kern w:val="0"/>
                <w:sz w:val="22"/>
              </w:rPr>
              <w:t>注：本表直观反映预算安排中区级对各镇的补助情况。按照《预算法》规定，转移支付应当分地区、分项目编制。</w:t>
            </w:r>
          </w:p>
        </w:tc>
      </w:tr>
    </w:tbl>
    <w:p>
      <w:pPr>
        <w:widowControl/>
        <w:spacing w:line="400" w:lineRule="exact"/>
        <w:jc w:val="right"/>
        <w:rPr>
          <w:rFonts w:ascii="Times New Roman" w:hAnsi="Times New Roman" w:eastAsia="方正仿宋_GBK" w:cs="Times New Roman"/>
          <w:kern w:val="0"/>
          <w:sz w:val="28"/>
          <w:szCs w:val="28"/>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表21</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九龙坡区2023年区级一般公共预算转移</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支付支出预算表</w:t>
      </w:r>
    </w:p>
    <w:p>
      <w:pPr>
        <w:adjustRightInd w:val="0"/>
        <w:snapToGrid w:val="0"/>
        <w:spacing w:line="500" w:lineRule="exact"/>
        <w:jc w:val="center"/>
        <w:rPr>
          <w:rFonts w:ascii="Times New Roman" w:hAnsi="Times New Roman" w:eastAsia="方正楷体_GBK" w:cs="Times New Roman"/>
          <w:kern w:val="0"/>
          <w:sz w:val="28"/>
          <w:szCs w:val="28"/>
        </w:rPr>
      </w:pPr>
      <w:r>
        <w:rPr>
          <w:rFonts w:hint="eastAsia" w:ascii="Times New Roman" w:hAnsi="Times New Roman" w:eastAsia="方正楷体_GBK" w:cs="Times New Roman"/>
          <w:kern w:val="0"/>
          <w:sz w:val="28"/>
          <w:szCs w:val="28"/>
        </w:rPr>
        <w:t>（专项转移支付分项目）</w:t>
      </w:r>
    </w:p>
    <w:p>
      <w:pPr>
        <w:adjustRightInd w:val="0"/>
        <w:snapToGrid w:val="0"/>
        <w:spacing w:line="50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9607" w:type="dxa"/>
        <w:jc w:val="center"/>
        <w:tblLayout w:type="autofit"/>
        <w:tblCellMar>
          <w:top w:w="0" w:type="dxa"/>
          <w:left w:w="108" w:type="dxa"/>
          <w:bottom w:w="0" w:type="dxa"/>
          <w:right w:w="108" w:type="dxa"/>
        </w:tblCellMar>
      </w:tblPr>
      <w:tblGrid>
        <w:gridCol w:w="8067"/>
        <w:gridCol w:w="1540"/>
      </w:tblGrid>
      <w:tr>
        <w:tblPrEx>
          <w:tblCellMar>
            <w:top w:w="0" w:type="dxa"/>
            <w:left w:w="108" w:type="dxa"/>
            <w:bottom w:w="0" w:type="dxa"/>
            <w:right w:w="108" w:type="dxa"/>
          </w:tblCellMar>
        </w:tblPrEx>
        <w:trPr>
          <w:trHeight w:val="480" w:hRule="atLeast"/>
          <w:tblHeader/>
          <w:jc w:val="center"/>
        </w:trPr>
        <w:tc>
          <w:tcPr>
            <w:tcW w:w="80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center"/>
              <w:rPr>
                <w:rFonts w:ascii="Times New Roman" w:hAnsi="Times New Roman" w:eastAsia="黑体" w:cs="宋体"/>
                <w:kern w:val="0"/>
                <w:sz w:val="28"/>
                <w:szCs w:val="28"/>
              </w:rPr>
            </w:pPr>
            <w:r>
              <w:rPr>
                <w:rFonts w:hint="eastAsia" w:ascii="Times New Roman" w:hAnsi="Times New Roman" w:eastAsia="黑体" w:cs="宋体"/>
                <w:kern w:val="0"/>
                <w:sz w:val="28"/>
                <w:szCs w:val="28"/>
              </w:rPr>
              <w:t>支      出</w:t>
            </w:r>
          </w:p>
        </w:tc>
        <w:tc>
          <w:tcPr>
            <w:tcW w:w="154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黑体" w:cs="宋体"/>
                <w:color w:val="000000"/>
                <w:kern w:val="0"/>
                <w:sz w:val="28"/>
                <w:szCs w:val="28"/>
              </w:rPr>
            </w:pPr>
            <w:r>
              <w:rPr>
                <w:rFonts w:hint="eastAsia" w:ascii="Times New Roman" w:hAnsi="Times New Roman" w:eastAsia="黑体" w:cs="宋体"/>
                <w:color w:val="000000"/>
                <w:kern w:val="0"/>
                <w:sz w:val="28"/>
                <w:szCs w:val="28"/>
              </w:rPr>
              <w:t>预算数</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黑体" w:cs="宋体"/>
                <w:kern w:val="0"/>
                <w:sz w:val="28"/>
                <w:szCs w:val="28"/>
              </w:rPr>
            </w:pPr>
            <w:r>
              <w:rPr>
                <w:rFonts w:hint="eastAsia" w:ascii="Times New Roman" w:hAnsi="Times New Roman" w:eastAsia="黑体" w:cs="宋体"/>
                <w:kern w:val="0"/>
                <w:sz w:val="28"/>
                <w:szCs w:val="28"/>
              </w:rPr>
              <w:t>补助镇合计</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6514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村社区服务群众</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161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社区矫正和安置帮教专项经费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10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城市长效管理</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684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两新党建</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182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综合文化站建设经费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20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安全生产专项经费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23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优抚救济专项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1502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助养及高龄补贴</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322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市场监管联络点协管员</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21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人大专项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85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民调工作</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56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“五长制+网格化”激励金</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60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退役军人服务保障工作经费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134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社会救助人员购买服务经费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30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代管原商粮商贸公司退休职工专项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16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规自局森林工程流转土地租金</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266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城西家园公租房社区管理经费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84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残疾人补贴及工作经费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16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市场监管所注册许可网络服务费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4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矿区社保站经费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1824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创业基地土地流转金</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53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城镇危房动态监测人员补贴</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铜罐驿镇建设村一社失地农民生活补助</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355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铜罐驿镇大学城水源地保护租金</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22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周贡植故居2022年管护经费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56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计划生育专项经费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xml:space="preserve">17 </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华岩镇西站村、石堰村拆除违法建筑后土地流转费用</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49</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打击非法集资工作经费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40</w:t>
            </w:r>
          </w:p>
        </w:tc>
      </w:tr>
      <w:tr>
        <w:tblPrEx>
          <w:tblCellMar>
            <w:top w:w="0" w:type="dxa"/>
            <w:left w:w="108" w:type="dxa"/>
            <w:bottom w:w="0" w:type="dxa"/>
            <w:right w:w="108" w:type="dxa"/>
          </w:tblCellMar>
        </w:tblPrEx>
        <w:trPr>
          <w:trHeight w:val="450" w:hRule="atLeast"/>
          <w:jc w:val="center"/>
        </w:trPr>
        <w:tc>
          <w:tcPr>
            <w:tcW w:w="806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 xml:space="preserve">  应急统筹经费</w:t>
            </w:r>
          </w:p>
        </w:tc>
        <w:tc>
          <w:tcPr>
            <w:tcW w:w="154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420</w:t>
            </w:r>
          </w:p>
        </w:tc>
      </w:tr>
      <w:tr>
        <w:tblPrEx>
          <w:tblCellMar>
            <w:top w:w="0" w:type="dxa"/>
            <w:left w:w="108" w:type="dxa"/>
            <w:bottom w:w="0" w:type="dxa"/>
            <w:right w:w="108" w:type="dxa"/>
          </w:tblCellMar>
        </w:tblPrEx>
        <w:trPr>
          <w:trHeight w:val="345" w:hRule="atLeast"/>
          <w:jc w:val="center"/>
        </w:trPr>
        <w:tc>
          <w:tcPr>
            <w:tcW w:w="9607"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color w:val="000000"/>
                <w:kern w:val="0"/>
                <w:sz w:val="24"/>
                <w:szCs w:val="24"/>
              </w:rPr>
            </w:pPr>
            <w:r>
              <w:rPr>
                <w:rFonts w:hint="eastAsia" w:ascii="Times New Roman" w:hAnsi="Times New Roman" w:eastAsia="方正仿宋_GBK" w:cs="宋体"/>
                <w:color w:val="000000"/>
                <w:kern w:val="0"/>
                <w:sz w:val="24"/>
                <w:szCs w:val="24"/>
              </w:rPr>
              <w:t>注：本表直观反映年初区对镇的转移支付分项目情况。</w:t>
            </w:r>
          </w:p>
        </w:tc>
      </w:tr>
    </w:tbl>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sectPr>
          <w:pgSz w:w="11906" w:h="16838"/>
          <w:pgMar w:top="1985" w:right="1446" w:bottom="1644" w:left="1446" w:header="851" w:footer="1474" w:gutter="0"/>
          <w:cols w:space="425" w:num="1"/>
          <w:docGrid w:type="lines" w:linePitch="312" w:charSpace="0"/>
        </w:sectPr>
      </w:pPr>
    </w:p>
    <w:p>
      <w:pPr>
        <w:adjustRightInd w:val="0"/>
        <w:snapToGrid w:val="0"/>
        <w:spacing w:line="500" w:lineRule="exact"/>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表22</w:t>
      </w:r>
    </w:p>
    <w:p>
      <w:pPr>
        <w:adjustRightInd w:val="0"/>
        <w:snapToGrid w:val="0"/>
        <w:spacing w:line="500" w:lineRule="exact"/>
        <w:jc w:val="left"/>
        <w:rPr>
          <w:rFonts w:ascii="Times New Roman" w:hAnsi="Times New Roman" w:eastAsia="方正黑体_GBK" w:cs="Times New Roman"/>
          <w:kern w:val="0"/>
          <w:sz w:val="32"/>
          <w:szCs w:val="32"/>
        </w:rPr>
      </w:pPr>
    </w:p>
    <w:p>
      <w:pPr>
        <w:adjustRightInd w:val="0"/>
        <w:snapToGrid w:val="0"/>
        <w:spacing w:line="5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九龙坡区2023年区级政府性基金预算收支预算表</w:t>
      </w:r>
    </w:p>
    <w:p>
      <w:pPr>
        <w:adjustRightInd w:val="0"/>
        <w:snapToGrid w:val="0"/>
        <w:spacing w:line="50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14459" w:type="dxa"/>
        <w:tblInd w:w="-176" w:type="dxa"/>
        <w:tblLayout w:type="autofit"/>
        <w:tblCellMar>
          <w:top w:w="0" w:type="dxa"/>
          <w:left w:w="108" w:type="dxa"/>
          <w:bottom w:w="0" w:type="dxa"/>
          <w:right w:w="108" w:type="dxa"/>
        </w:tblCellMar>
      </w:tblPr>
      <w:tblGrid>
        <w:gridCol w:w="2970"/>
        <w:gridCol w:w="1260"/>
        <w:gridCol w:w="3709"/>
        <w:gridCol w:w="1134"/>
        <w:gridCol w:w="1843"/>
        <w:gridCol w:w="1701"/>
        <w:gridCol w:w="1842"/>
      </w:tblGrid>
      <w:tr>
        <w:tblPrEx>
          <w:tblCellMar>
            <w:top w:w="0" w:type="dxa"/>
            <w:left w:w="108" w:type="dxa"/>
            <w:bottom w:w="0" w:type="dxa"/>
            <w:right w:w="108" w:type="dxa"/>
          </w:tblCellMar>
        </w:tblPrEx>
        <w:trPr>
          <w:trHeight w:val="315" w:hRule="atLeast"/>
          <w:tblHeader/>
        </w:trPr>
        <w:tc>
          <w:tcPr>
            <w:tcW w:w="297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收        入</w:t>
            </w:r>
          </w:p>
        </w:tc>
        <w:tc>
          <w:tcPr>
            <w:tcW w:w="12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预算数</w:t>
            </w:r>
          </w:p>
        </w:tc>
        <w:tc>
          <w:tcPr>
            <w:tcW w:w="3709"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支        出</w:t>
            </w:r>
          </w:p>
        </w:tc>
        <w:tc>
          <w:tcPr>
            <w:tcW w:w="4678" w:type="dxa"/>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预算数</w:t>
            </w:r>
          </w:p>
        </w:tc>
        <w:tc>
          <w:tcPr>
            <w:tcW w:w="184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val="0"/>
              <w:snapToGrid w:val="0"/>
              <w:spacing w:line="34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同比增长%</w:t>
            </w:r>
          </w:p>
        </w:tc>
      </w:tr>
      <w:tr>
        <w:tblPrEx>
          <w:tblCellMar>
            <w:top w:w="0" w:type="dxa"/>
            <w:left w:w="108" w:type="dxa"/>
            <w:bottom w:w="0" w:type="dxa"/>
            <w:right w:w="108" w:type="dxa"/>
          </w:tblCellMar>
        </w:tblPrEx>
        <w:trPr>
          <w:trHeight w:val="315" w:hRule="atLeast"/>
          <w:tblHeader/>
        </w:trPr>
        <w:tc>
          <w:tcPr>
            <w:tcW w:w="2970"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340" w:lineRule="exact"/>
              <w:jc w:val="left"/>
              <w:rPr>
                <w:rFonts w:ascii="Times New Roman" w:hAnsi="Times New Roman" w:eastAsia="方正黑体_GBK" w:cs="宋体"/>
                <w:kern w:val="0"/>
                <w:sz w:val="28"/>
                <w:szCs w:val="28"/>
              </w:rPr>
            </w:pPr>
          </w:p>
        </w:tc>
        <w:tc>
          <w:tcPr>
            <w:tcW w:w="1260"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340" w:lineRule="exact"/>
              <w:jc w:val="left"/>
              <w:rPr>
                <w:rFonts w:ascii="Times New Roman" w:hAnsi="Times New Roman" w:eastAsia="方正黑体_GBK" w:cs="宋体"/>
                <w:kern w:val="0"/>
                <w:sz w:val="28"/>
                <w:szCs w:val="28"/>
              </w:rPr>
            </w:pPr>
          </w:p>
        </w:tc>
        <w:tc>
          <w:tcPr>
            <w:tcW w:w="3709"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340" w:lineRule="exact"/>
              <w:jc w:val="left"/>
              <w:rPr>
                <w:rFonts w:ascii="Times New Roman" w:hAnsi="Times New Roman" w:eastAsia="方正黑体_GBK" w:cs="宋体"/>
                <w:kern w:val="0"/>
                <w:sz w:val="28"/>
                <w:szCs w:val="28"/>
              </w:rPr>
            </w:pP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color w:val="000000"/>
                <w:kern w:val="0"/>
                <w:sz w:val="28"/>
                <w:szCs w:val="28"/>
              </w:rPr>
            </w:pPr>
            <w:r>
              <w:rPr>
                <w:rFonts w:hint="eastAsia" w:ascii="Times New Roman" w:hAnsi="Times New Roman" w:eastAsia="方正黑体_GBK" w:cs="宋体"/>
                <w:color w:val="000000"/>
                <w:kern w:val="0"/>
                <w:sz w:val="28"/>
                <w:szCs w:val="28"/>
              </w:rPr>
              <w:t>小计</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color w:val="000000"/>
                <w:kern w:val="0"/>
                <w:sz w:val="28"/>
                <w:szCs w:val="28"/>
              </w:rPr>
            </w:pPr>
            <w:r>
              <w:rPr>
                <w:rFonts w:hint="eastAsia" w:ascii="Times New Roman" w:hAnsi="Times New Roman" w:eastAsia="方正黑体_GBK" w:cs="宋体"/>
                <w:color w:val="000000"/>
                <w:kern w:val="0"/>
                <w:sz w:val="28"/>
                <w:szCs w:val="28"/>
              </w:rPr>
              <w:t>当年预算</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color w:val="000000"/>
                <w:kern w:val="0"/>
                <w:sz w:val="28"/>
                <w:szCs w:val="28"/>
              </w:rPr>
            </w:pPr>
            <w:r>
              <w:rPr>
                <w:rFonts w:hint="eastAsia" w:ascii="Times New Roman" w:hAnsi="Times New Roman" w:eastAsia="方正黑体_GBK" w:cs="宋体"/>
                <w:color w:val="000000"/>
                <w:kern w:val="0"/>
                <w:sz w:val="28"/>
                <w:szCs w:val="28"/>
              </w:rPr>
              <w:t>上年结转</w:t>
            </w:r>
          </w:p>
        </w:tc>
        <w:tc>
          <w:tcPr>
            <w:tcW w:w="1842"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340" w:lineRule="exact"/>
              <w:jc w:val="left"/>
              <w:rPr>
                <w:rFonts w:ascii="Times New Roman" w:hAnsi="Times New Roman" w:eastAsia="方正黑体_GBK" w:cs="宋体"/>
                <w:kern w:val="0"/>
                <w:sz w:val="28"/>
                <w:szCs w:val="28"/>
              </w:rPr>
            </w:pPr>
          </w:p>
        </w:tc>
      </w:tr>
      <w:tr>
        <w:tblPrEx>
          <w:tblCellMar>
            <w:top w:w="0" w:type="dxa"/>
            <w:left w:w="108" w:type="dxa"/>
            <w:bottom w:w="0" w:type="dxa"/>
            <w:right w:w="108" w:type="dxa"/>
          </w:tblCellMar>
        </w:tblPrEx>
        <w:trPr>
          <w:trHeight w:val="402"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总  计</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 xml:space="preserve">885279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总  计</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 xml:space="preserve">885279 </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 xml:space="preserve">746441 </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 xml:space="preserve">138838 </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w:t>
            </w:r>
          </w:p>
        </w:tc>
      </w:tr>
      <w:tr>
        <w:tblPrEx>
          <w:tblCellMar>
            <w:top w:w="0" w:type="dxa"/>
            <w:left w:w="108" w:type="dxa"/>
            <w:bottom w:w="0" w:type="dxa"/>
            <w:right w:w="108" w:type="dxa"/>
          </w:tblCellMar>
        </w:tblPrEx>
        <w:trPr>
          <w:trHeight w:val="402"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本级收入合计</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本级支出合计</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 xml:space="preserve">453279 </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 xml:space="preserve">314441 </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 xml:space="preserve">138838 </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 xml:space="preserve">66.71 </w:t>
            </w:r>
          </w:p>
        </w:tc>
      </w:tr>
      <w:tr>
        <w:tblPrEx>
          <w:tblCellMar>
            <w:top w:w="0" w:type="dxa"/>
            <w:left w:w="108" w:type="dxa"/>
            <w:bottom w:w="0" w:type="dxa"/>
            <w:right w:w="108" w:type="dxa"/>
          </w:tblCellMar>
        </w:tblPrEx>
        <w:trPr>
          <w:trHeight w:val="402"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8"/>
                <w:szCs w:val="28"/>
              </w:rPr>
            </w:pPr>
            <w:r>
              <w:rPr>
                <w:rFonts w:hint="eastAsia" w:ascii="Times New Roman" w:hAnsi="Times New Roman" w:eastAsia="方正仿宋_GBK" w:cs="宋体"/>
                <w:color w:val="000000"/>
                <w:kern w:val="0"/>
                <w:sz w:val="28"/>
                <w:szCs w:val="28"/>
              </w:rPr>
              <w:t xml:space="preserve">    一、社会保障和就业支出</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43 </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31 </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12 </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-25.86 </w:t>
            </w:r>
          </w:p>
        </w:tc>
      </w:tr>
      <w:tr>
        <w:tblPrEx>
          <w:tblCellMar>
            <w:top w:w="0" w:type="dxa"/>
            <w:left w:w="108" w:type="dxa"/>
            <w:bottom w:w="0" w:type="dxa"/>
            <w:right w:w="108" w:type="dxa"/>
          </w:tblCellMar>
        </w:tblPrEx>
        <w:trPr>
          <w:trHeight w:val="402"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8"/>
                <w:szCs w:val="28"/>
              </w:rPr>
            </w:pPr>
            <w:r>
              <w:rPr>
                <w:rFonts w:hint="eastAsia" w:ascii="Times New Roman" w:hAnsi="Times New Roman" w:eastAsia="宋体" w:cs="宋体"/>
                <w:color w:val="000000"/>
                <w:kern w:val="0"/>
                <w:sz w:val="28"/>
                <w:szCs w:val="28"/>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8"/>
                <w:szCs w:val="28"/>
              </w:rPr>
            </w:pPr>
            <w:r>
              <w:rPr>
                <w:rFonts w:hint="eastAsia" w:ascii="Times New Roman" w:hAnsi="Times New Roman" w:eastAsia="方正仿宋_GBK" w:cs="宋体"/>
                <w:color w:val="000000"/>
                <w:kern w:val="0"/>
                <w:sz w:val="28"/>
                <w:szCs w:val="28"/>
              </w:rPr>
              <w:t xml:space="preserve">    二、城乡社区支出</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364248 </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246949 </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117299 </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77.90 </w:t>
            </w:r>
          </w:p>
        </w:tc>
      </w:tr>
      <w:tr>
        <w:tblPrEx>
          <w:tblCellMar>
            <w:top w:w="0" w:type="dxa"/>
            <w:left w:w="108" w:type="dxa"/>
            <w:bottom w:w="0" w:type="dxa"/>
            <w:right w:w="108" w:type="dxa"/>
          </w:tblCellMar>
        </w:tblPrEx>
        <w:trPr>
          <w:trHeight w:val="402"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8"/>
                <w:szCs w:val="28"/>
              </w:rPr>
            </w:pPr>
            <w:r>
              <w:rPr>
                <w:rFonts w:hint="eastAsia" w:ascii="Times New Roman" w:hAnsi="Times New Roman" w:eastAsia="宋体" w:cs="宋体"/>
                <w:color w:val="000000"/>
                <w:kern w:val="0"/>
                <w:sz w:val="28"/>
                <w:szCs w:val="28"/>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8"/>
                <w:szCs w:val="28"/>
              </w:rPr>
            </w:pPr>
            <w:r>
              <w:rPr>
                <w:rFonts w:hint="eastAsia" w:ascii="Times New Roman" w:hAnsi="Times New Roman" w:eastAsia="方正仿宋_GBK" w:cs="宋体"/>
                <w:color w:val="000000"/>
                <w:kern w:val="0"/>
                <w:sz w:val="28"/>
                <w:szCs w:val="28"/>
              </w:rPr>
              <w:t xml:space="preserve">    三、农林水支出</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1758 </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32 </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1726 </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-23.83 </w:t>
            </w:r>
          </w:p>
        </w:tc>
      </w:tr>
      <w:tr>
        <w:tblPrEx>
          <w:tblCellMar>
            <w:top w:w="0" w:type="dxa"/>
            <w:left w:w="108" w:type="dxa"/>
            <w:bottom w:w="0" w:type="dxa"/>
            <w:right w:w="108" w:type="dxa"/>
          </w:tblCellMar>
        </w:tblPrEx>
        <w:trPr>
          <w:trHeight w:val="402"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8"/>
                <w:szCs w:val="28"/>
              </w:rPr>
            </w:pPr>
            <w:r>
              <w:rPr>
                <w:rFonts w:hint="eastAsia" w:ascii="Times New Roman" w:hAnsi="Times New Roman" w:eastAsia="宋体" w:cs="宋体"/>
                <w:color w:val="000000"/>
                <w:kern w:val="0"/>
                <w:sz w:val="28"/>
                <w:szCs w:val="28"/>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8"/>
                <w:szCs w:val="28"/>
              </w:rPr>
            </w:pPr>
            <w:r>
              <w:rPr>
                <w:rFonts w:hint="eastAsia" w:ascii="Times New Roman" w:hAnsi="Times New Roman" w:eastAsia="方正仿宋_GBK" w:cs="宋体"/>
                <w:color w:val="000000"/>
                <w:kern w:val="0"/>
                <w:sz w:val="28"/>
                <w:szCs w:val="28"/>
              </w:rPr>
              <w:t xml:space="preserve">    四、其他支出</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23973 </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4172 </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19801 </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139.95 </w:t>
            </w:r>
          </w:p>
        </w:tc>
      </w:tr>
      <w:tr>
        <w:tblPrEx>
          <w:tblCellMar>
            <w:top w:w="0" w:type="dxa"/>
            <w:left w:w="108" w:type="dxa"/>
            <w:bottom w:w="0" w:type="dxa"/>
            <w:right w:w="108" w:type="dxa"/>
          </w:tblCellMar>
        </w:tblPrEx>
        <w:trPr>
          <w:trHeight w:val="402"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8"/>
                <w:szCs w:val="28"/>
              </w:rPr>
            </w:pPr>
            <w:r>
              <w:rPr>
                <w:rFonts w:hint="eastAsia" w:ascii="Times New Roman" w:hAnsi="Times New Roman" w:eastAsia="宋体" w:cs="宋体"/>
                <w:color w:val="000000"/>
                <w:kern w:val="0"/>
                <w:sz w:val="28"/>
                <w:szCs w:val="28"/>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8"/>
                <w:szCs w:val="28"/>
              </w:rPr>
            </w:pPr>
            <w:r>
              <w:rPr>
                <w:rFonts w:hint="eastAsia" w:ascii="Times New Roman" w:hAnsi="Times New Roman" w:eastAsia="方正仿宋_GBK" w:cs="宋体"/>
                <w:color w:val="000000"/>
                <w:kern w:val="0"/>
                <w:sz w:val="28"/>
                <w:szCs w:val="28"/>
              </w:rPr>
              <w:t xml:space="preserve">    五、债务付息支出</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63239 </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63239 </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15.44 </w:t>
            </w:r>
          </w:p>
        </w:tc>
      </w:tr>
      <w:tr>
        <w:tblPrEx>
          <w:tblCellMar>
            <w:top w:w="0" w:type="dxa"/>
            <w:left w:w="108" w:type="dxa"/>
            <w:bottom w:w="0" w:type="dxa"/>
            <w:right w:w="108" w:type="dxa"/>
          </w:tblCellMar>
        </w:tblPrEx>
        <w:trPr>
          <w:trHeight w:val="402"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8"/>
                <w:szCs w:val="28"/>
              </w:rPr>
            </w:pPr>
            <w:r>
              <w:rPr>
                <w:rFonts w:hint="eastAsia" w:ascii="Times New Roman" w:hAnsi="Times New Roman" w:eastAsia="宋体" w:cs="宋体"/>
                <w:color w:val="000000"/>
                <w:kern w:val="0"/>
                <w:sz w:val="28"/>
                <w:szCs w:val="28"/>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8"/>
                <w:szCs w:val="28"/>
              </w:rPr>
            </w:pPr>
            <w:r>
              <w:rPr>
                <w:rFonts w:hint="eastAsia" w:ascii="Times New Roman" w:hAnsi="Times New Roman" w:eastAsia="方正仿宋_GBK" w:cs="宋体"/>
                <w:color w:val="000000"/>
                <w:kern w:val="0"/>
                <w:sz w:val="28"/>
                <w:szCs w:val="28"/>
              </w:rPr>
              <w:t xml:space="preserve">    六、债务发行费用支出</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18 </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xml:space="preserve">18 </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50.00 </w:t>
            </w:r>
          </w:p>
        </w:tc>
      </w:tr>
      <w:tr>
        <w:tblPrEx>
          <w:tblCellMar>
            <w:top w:w="0" w:type="dxa"/>
            <w:left w:w="108" w:type="dxa"/>
            <w:bottom w:w="0" w:type="dxa"/>
            <w:right w:w="108" w:type="dxa"/>
          </w:tblCellMar>
        </w:tblPrEx>
        <w:trPr>
          <w:trHeight w:val="402"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8"/>
                <w:szCs w:val="28"/>
              </w:rPr>
            </w:pPr>
            <w:r>
              <w:rPr>
                <w:rFonts w:hint="eastAsia" w:ascii="Times New Roman" w:hAnsi="Times New Roman" w:eastAsia="宋体" w:cs="宋体"/>
                <w:color w:val="000000"/>
                <w:kern w:val="0"/>
                <w:sz w:val="28"/>
                <w:szCs w:val="28"/>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仿宋_GB2312" w:cs="宋体"/>
                <w:kern w:val="0"/>
                <w:sz w:val="28"/>
                <w:szCs w:val="28"/>
              </w:rPr>
            </w:pPr>
            <w:r>
              <w:rPr>
                <w:rFonts w:hint="eastAsia" w:ascii="Times New Roman" w:hAnsi="Times New Roman" w:eastAsia="仿宋_GB2312" w:cs="宋体"/>
                <w:kern w:val="0"/>
                <w:sz w:val="28"/>
                <w:szCs w:val="28"/>
              </w:rPr>
              <w:t>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仿宋_GB2312" w:cs="宋体"/>
                <w:kern w:val="0"/>
                <w:sz w:val="28"/>
                <w:szCs w:val="28"/>
              </w:rPr>
            </w:pPr>
            <w:r>
              <w:rPr>
                <w:rFonts w:hint="eastAsia" w:ascii="Times New Roman" w:hAnsi="Times New Roman" w:eastAsia="仿宋_GB2312" w:cs="宋体"/>
                <w:kern w:val="0"/>
                <w:sz w:val="28"/>
                <w:szCs w:val="28"/>
              </w:rPr>
              <w:t>　</w:t>
            </w:r>
          </w:p>
        </w:tc>
        <w:tc>
          <w:tcPr>
            <w:tcW w:w="1843"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340" w:lineRule="exact"/>
              <w:jc w:val="left"/>
              <w:rPr>
                <w:rFonts w:ascii="Times New Roman" w:hAnsi="Times New Roman" w:eastAsia="仿宋_GB2312" w:cs="宋体"/>
                <w:kern w:val="0"/>
                <w:sz w:val="28"/>
                <w:szCs w:val="28"/>
              </w:rPr>
            </w:pPr>
            <w:r>
              <w:rPr>
                <w:rFonts w:hint="eastAsia" w:ascii="Times New Roman" w:hAnsi="Times New Roman" w:eastAsia="仿宋_GB2312" w:cs="宋体"/>
                <w:kern w:val="0"/>
                <w:sz w:val="28"/>
                <w:szCs w:val="28"/>
              </w:rPr>
              <w:t>　</w:t>
            </w:r>
          </w:p>
        </w:tc>
        <w:tc>
          <w:tcPr>
            <w:tcW w:w="1701"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340" w:lineRule="exact"/>
              <w:jc w:val="left"/>
              <w:rPr>
                <w:rFonts w:ascii="Times New Roman" w:hAnsi="Times New Roman" w:eastAsia="仿宋_GB2312" w:cs="宋体"/>
                <w:kern w:val="0"/>
                <w:sz w:val="28"/>
                <w:szCs w:val="28"/>
              </w:rPr>
            </w:pPr>
            <w:r>
              <w:rPr>
                <w:rFonts w:hint="eastAsia" w:ascii="Times New Roman" w:hAnsi="Times New Roman" w:eastAsia="仿宋_GB2312" w:cs="宋体"/>
                <w:kern w:val="0"/>
                <w:sz w:val="28"/>
                <w:szCs w:val="28"/>
              </w:rPr>
              <w:t>　</w:t>
            </w:r>
          </w:p>
        </w:tc>
        <w:tc>
          <w:tcPr>
            <w:tcW w:w="1842"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340" w:lineRule="exact"/>
              <w:jc w:val="left"/>
              <w:rPr>
                <w:rFonts w:ascii="Times New Roman" w:hAnsi="Times New Roman" w:eastAsia="仿宋_GB2312" w:cs="宋体"/>
                <w:kern w:val="0"/>
                <w:sz w:val="28"/>
                <w:szCs w:val="28"/>
              </w:rPr>
            </w:pPr>
            <w:r>
              <w:rPr>
                <w:rFonts w:hint="eastAsia" w:ascii="Times New Roman" w:hAnsi="Times New Roman" w:eastAsia="仿宋_GB2312" w:cs="宋体"/>
                <w:kern w:val="0"/>
                <w:sz w:val="28"/>
                <w:szCs w:val="28"/>
              </w:rPr>
              <w:t>　</w:t>
            </w:r>
          </w:p>
        </w:tc>
      </w:tr>
      <w:tr>
        <w:tblPrEx>
          <w:tblCellMar>
            <w:top w:w="0" w:type="dxa"/>
            <w:left w:w="108" w:type="dxa"/>
            <w:bottom w:w="0" w:type="dxa"/>
            <w:right w:w="108" w:type="dxa"/>
          </w:tblCellMar>
        </w:tblPrEx>
        <w:trPr>
          <w:trHeight w:val="402"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8"/>
                <w:szCs w:val="28"/>
              </w:rPr>
            </w:pPr>
            <w:r>
              <w:rPr>
                <w:rFonts w:hint="eastAsia" w:ascii="Times New Roman" w:hAnsi="Times New Roman" w:eastAsia="宋体" w:cs="宋体"/>
                <w:color w:val="000000"/>
                <w:kern w:val="0"/>
                <w:sz w:val="28"/>
                <w:szCs w:val="28"/>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宋体"/>
                <w:color w:val="000000"/>
                <w:kern w:val="0"/>
                <w:sz w:val="28"/>
                <w:szCs w:val="28"/>
              </w:rPr>
            </w:pPr>
            <w:r>
              <w:rPr>
                <w:rFonts w:hint="eastAsia" w:ascii="Times New Roman" w:hAnsi="Times New Roman" w:eastAsia="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28"/>
                <w:szCs w:val="28"/>
              </w:rPr>
            </w:pPr>
            <w:r>
              <w:rPr>
                <w:rFonts w:ascii="Times New Roman" w:hAnsi="Times New Roman" w:eastAsia="宋体" w:cs="Times New Roman"/>
                <w:color w:val="000000"/>
                <w:kern w:val="0"/>
                <w:sz w:val="28"/>
                <w:szCs w:val="28"/>
              </w:rPr>
              <w:t>　</w:t>
            </w:r>
          </w:p>
        </w:tc>
      </w:tr>
      <w:tr>
        <w:tblPrEx>
          <w:tblCellMar>
            <w:top w:w="0" w:type="dxa"/>
            <w:left w:w="108" w:type="dxa"/>
            <w:bottom w:w="0" w:type="dxa"/>
            <w:right w:w="108" w:type="dxa"/>
          </w:tblCellMar>
        </w:tblPrEx>
        <w:trPr>
          <w:trHeight w:val="402"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转移性收入合计</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 xml:space="preserve">885279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转移性支出合计</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 xml:space="preserve">432000 </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 xml:space="preserve">432000 </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　</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w:t>
            </w:r>
          </w:p>
        </w:tc>
      </w:tr>
      <w:tr>
        <w:tblPrEx>
          <w:tblCellMar>
            <w:top w:w="0" w:type="dxa"/>
            <w:left w:w="108" w:type="dxa"/>
            <w:bottom w:w="0" w:type="dxa"/>
            <w:right w:w="108" w:type="dxa"/>
          </w:tblCellMar>
        </w:tblPrEx>
        <w:trPr>
          <w:trHeight w:val="435"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一、上级补助收入</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464441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一、上解支出</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r>
      <w:tr>
        <w:tblPrEx>
          <w:tblCellMar>
            <w:top w:w="0" w:type="dxa"/>
            <w:left w:w="108" w:type="dxa"/>
            <w:bottom w:w="0" w:type="dxa"/>
            <w:right w:w="108" w:type="dxa"/>
          </w:tblCellMar>
        </w:tblPrEx>
        <w:trPr>
          <w:trHeight w:val="435"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二、债务转贷收入</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282000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kern w:val="0"/>
                <w:sz w:val="28"/>
                <w:szCs w:val="28"/>
              </w:rPr>
            </w:pPr>
            <w:r>
              <w:rPr>
                <w:rFonts w:hint="eastAsia" w:ascii="Times New Roman" w:hAnsi="Times New Roman" w:eastAsia="方正仿宋_GBK" w:cs="宋体"/>
                <w:kern w:val="0"/>
                <w:sz w:val="28"/>
                <w:szCs w:val="28"/>
              </w:rPr>
              <w:t xml:space="preserve">    二、调出资金</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150000 </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150000 </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r>
      <w:tr>
        <w:tblPrEx>
          <w:tblCellMar>
            <w:top w:w="0" w:type="dxa"/>
            <w:left w:w="108" w:type="dxa"/>
            <w:bottom w:w="0" w:type="dxa"/>
            <w:right w:w="108" w:type="dxa"/>
          </w:tblCellMar>
        </w:tblPrEx>
        <w:trPr>
          <w:trHeight w:val="435" w:hRule="atLeast"/>
        </w:trPr>
        <w:tc>
          <w:tcPr>
            <w:tcW w:w="297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8"/>
                <w:szCs w:val="28"/>
              </w:rPr>
            </w:pPr>
            <w:r>
              <w:rPr>
                <w:rFonts w:hint="eastAsia" w:ascii="Times New Roman" w:hAnsi="Times New Roman" w:eastAsia="方正仿宋_GBK" w:cs="宋体"/>
                <w:color w:val="000000"/>
                <w:kern w:val="0"/>
                <w:sz w:val="28"/>
                <w:szCs w:val="28"/>
              </w:rPr>
              <w:t xml:space="preserve">    三、上年结转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138838 </w:t>
            </w:r>
          </w:p>
        </w:tc>
        <w:tc>
          <w:tcPr>
            <w:tcW w:w="3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方正仿宋_GBK" w:cs="宋体"/>
                <w:color w:val="000000"/>
                <w:kern w:val="0"/>
                <w:sz w:val="28"/>
                <w:szCs w:val="28"/>
              </w:rPr>
            </w:pPr>
            <w:r>
              <w:rPr>
                <w:rFonts w:hint="eastAsia" w:ascii="Times New Roman" w:hAnsi="Times New Roman" w:eastAsia="方正仿宋_GBK" w:cs="宋体"/>
                <w:color w:val="000000"/>
                <w:kern w:val="0"/>
                <w:sz w:val="28"/>
                <w:szCs w:val="28"/>
              </w:rPr>
              <w:t xml:space="preserve">    三、地方政府债务还本支出</w:t>
            </w:r>
          </w:p>
        </w:tc>
        <w:tc>
          <w:tcPr>
            <w:tcW w:w="113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282000 </w:t>
            </w:r>
          </w:p>
        </w:tc>
        <w:tc>
          <w:tcPr>
            <w:tcW w:w="184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xml:space="preserve">282000 </w:t>
            </w:r>
          </w:p>
        </w:tc>
        <w:tc>
          <w:tcPr>
            <w:tcW w:w="170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　</w:t>
            </w:r>
          </w:p>
        </w:tc>
      </w:tr>
      <w:tr>
        <w:tblPrEx>
          <w:tblCellMar>
            <w:top w:w="0" w:type="dxa"/>
            <w:left w:w="108" w:type="dxa"/>
            <w:bottom w:w="0" w:type="dxa"/>
            <w:right w:w="108" w:type="dxa"/>
          </w:tblCellMar>
        </w:tblPrEx>
        <w:trPr>
          <w:trHeight w:val="750" w:hRule="atLeast"/>
        </w:trPr>
        <w:tc>
          <w:tcPr>
            <w:tcW w:w="14459" w:type="dxa"/>
            <w:gridSpan w:val="7"/>
            <w:tcBorders>
              <w:top w:val="single" w:color="auto" w:sz="4" w:space="0"/>
              <w:left w:val="nil"/>
              <w:bottom w:val="nil"/>
              <w:right w:val="nil"/>
            </w:tcBorders>
            <w:shd w:val="clear" w:color="auto" w:fill="auto"/>
            <w:vAlign w:val="center"/>
          </w:tcPr>
          <w:p>
            <w:pPr>
              <w:widowControl/>
              <w:adjustRightInd w:val="0"/>
              <w:snapToGrid w:val="0"/>
              <w:spacing w:line="340" w:lineRule="exact"/>
              <w:jc w:val="left"/>
              <w:rPr>
                <w:rFonts w:ascii="Times New Roman" w:hAnsi="Times New Roman" w:eastAsia="宋体" w:cs="Times New Roman"/>
                <w:color w:val="000000"/>
                <w:kern w:val="0"/>
                <w:sz w:val="28"/>
                <w:szCs w:val="28"/>
              </w:rPr>
            </w:pPr>
            <w:r>
              <w:rPr>
                <w:rFonts w:hint="eastAsia" w:ascii="Times New Roman" w:hAnsi="Times New Roman" w:eastAsia="方正仿宋_GBK" w:cs="Times New Roman"/>
                <w:color w:val="000000"/>
                <w:kern w:val="0"/>
                <w:sz w:val="28"/>
                <w:szCs w:val="28"/>
              </w:rPr>
              <w:t>注：</w:t>
            </w:r>
            <w:r>
              <w:rPr>
                <w:rFonts w:ascii="Times New Roman" w:hAnsi="Times New Roman" w:eastAsia="宋体" w:cs="Times New Roman"/>
                <w:color w:val="000000"/>
                <w:kern w:val="0"/>
                <w:sz w:val="28"/>
                <w:szCs w:val="28"/>
              </w:rPr>
              <w:t>1.</w:t>
            </w:r>
            <w:r>
              <w:rPr>
                <w:rFonts w:hint="eastAsia" w:ascii="Times New Roman" w:hAnsi="Times New Roman" w:eastAsia="方正仿宋_GBK" w:cs="Times New Roman"/>
                <w:color w:val="000000"/>
                <w:kern w:val="0"/>
                <w:sz w:val="28"/>
                <w:szCs w:val="28"/>
              </w:rPr>
              <w:t>本表直观反映</w:t>
            </w:r>
            <w:r>
              <w:rPr>
                <w:rFonts w:ascii="Times New Roman" w:hAnsi="Times New Roman" w:eastAsia="宋体" w:cs="Times New Roman"/>
                <w:color w:val="000000"/>
                <w:kern w:val="0"/>
                <w:sz w:val="28"/>
                <w:szCs w:val="28"/>
              </w:rPr>
              <w:t>2023</w:t>
            </w:r>
            <w:r>
              <w:rPr>
                <w:rFonts w:hint="eastAsia" w:ascii="Times New Roman" w:hAnsi="Times New Roman" w:eastAsia="方正仿宋_GBK" w:cs="Times New Roman"/>
                <w:color w:val="000000"/>
                <w:kern w:val="0"/>
                <w:sz w:val="28"/>
                <w:szCs w:val="28"/>
              </w:rPr>
              <w:t>年政府性基金预算收入与支出的平衡关系。</w:t>
            </w:r>
            <w:r>
              <w:rPr>
                <w:rFonts w:hint="eastAsia" w:ascii="Times New Roman" w:hAnsi="Times New Roman" w:eastAsia="方正仿宋_GBK" w:cs="Times New Roman"/>
                <w:color w:val="000000"/>
                <w:kern w:val="0"/>
                <w:sz w:val="28"/>
                <w:szCs w:val="28"/>
              </w:rPr>
              <w:br w:type="textWrapping"/>
            </w:r>
            <w:r>
              <w:rPr>
                <w:rFonts w:ascii="Times New Roman" w:hAnsi="Times New Roman" w:eastAsia="宋体" w:cs="Times New Roman"/>
                <w:color w:val="000000"/>
                <w:kern w:val="0"/>
                <w:sz w:val="28"/>
                <w:szCs w:val="28"/>
              </w:rPr>
              <w:t xml:space="preserve">    2.</w:t>
            </w:r>
            <w:r>
              <w:rPr>
                <w:rFonts w:hint="eastAsia" w:ascii="Times New Roman" w:hAnsi="Times New Roman" w:eastAsia="方正仿宋_GBK" w:cs="Times New Roman"/>
                <w:color w:val="000000"/>
                <w:kern w:val="0"/>
                <w:sz w:val="28"/>
                <w:szCs w:val="28"/>
              </w:rPr>
              <w:t>收入总计（本级收入合计</w:t>
            </w:r>
            <w:r>
              <w:rPr>
                <w:rFonts w:ascii="Times New Roman" w:hAnsi="Times New Roman" w:eastAsia="宋体" w:cs="Times New Roman"/>
                <w:color w:val="000000"/>
                <w:kern w:val="0"/>
                <w:sz w:val="28"/>
                <w:szCs w:val="28"/>
              </w:rPr>
              <w:t>+</w:t>
            </w:r>
            <w:r>
              <w:rPr>
                <w:rFonts w:hint="eastAsia" w:ascii="Times New Roman" w:hAnsi="Times New Roman" w:eastAsia="方正仿宋_GBK" w:cs="Times New Roman"/>
                <w:color w:val="000000"/>
                <w:kern w:val="0"/>
                <w:sz w:val="28"/>
                <w:szCs w:val="28"/>
              </w:rPr>
              <w:t>转移性收入合计）</w:t>
            </w:r>
            <w:r>
              <w:rPr>
                <w:rFonts w:ascii="Times New Roman" w:hAnsi="Times New Roman" w:eastAsia="宋体" w:cs="Times New Roman"/>
                <w:color w:val="000000"/>
                <w:kern w:val="0"/>
                <w:sz w:val="28"/>
                <w:szCs w:val="28"/>
              </w:rPr>
              <w:t>=</w:t>
            </w:r>
            <w:r>
              <w:rPr>
                <w:rFonts w:hint="eastAsia" w:ascii="Times New Roman" w:hAnsi="Times New Roman" w:eastAsia="方正仿宋_GBK" w:cs="Times New Roman"/>
                <w:color w:val="000000"/>
                <w:kern w:val="0"/>
                <w:sz w:val="28"/>
                <w:szCs w:val="28"/>
              </w:rPr>
              <w:t>支出总计（本级支出合计</w:t>
            </w:r>
            <w:r>
              <w:rPr>
                <w:rFonts w:ascii="Times New Roman" w:hAnsi="Times New Roman" w:eastAsia="宋体" w:cs="Times New Roman"/>
                <w:color w:val="000000"/>
                <w:kern w:val="0"/>
                <w:sz w:val="28"/>
                <w:szCs w:val="28"/>
              </w:rPr>
              <w:t>+</w:t>
            </w:r>
            <w:r>
              <w:rPr>
                <w:rFonts w:hint="eastAsia" w:ascii="Times New Roman" w:hAnsi="Times New Roman" w:eastAsia="方正仿宋_GBK" w:cs="Times New Roman"/>
                <w:color w:val="000000"/>
                <w:kern w:val="0"/>
                <w:sz w:val="28"/>
                <w:szCs w:val="28"/>
              </w:rPr>
              <w:t>转移性支出合计）。</w:t>
            </w:r>
          </w:p>
        </w:tc>
      </w:tr>
    </w:tbl>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sectPr>
          <w:pgSz w:w="16838" w:h="11906" w:orient="landscape"/>
          <w:pgMar w:top="1446" w:right="1985" w:bottom="1446" w:left="1644" w:header="851" w:footer="1474" w:gutter="0"/>
          <w:cols w:space="425" w:num="1"/>
          <w:docGrid w:type="linesAndChars" w:linePitch="312" w:charSpace="0"/>
        </w:sectPr>
      </w:pPr>
    </w:p>
    <w:p>
      <w:pPr>
        <w:adjustRightInd w:val="0"/>
        <w:snapToGrid w:val="0"/>
        <w:spacing w:line="600" w:lineRule="exact"/>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表23</w:t>
      </w:r>
    </w:p>
    <w:p>
      <w:pPr>
        <w:adjustRightInd w:val="0"/>
        <w:snapToGrid w:val="0"/>
        <w:spacing w:line="600" w:lineRule="exact"/>
        <w:jc w:val="left"/>
        <w:rPr>
          <w:rFonts w:ascii="Times New Roman" w:hAnsi="Times New Roman" w:eastAsia="方正仿宋_GBK" w:cs="Times New Roman"/>
          <w:kern w:val="0"/>
          <w:sz w:val="32"/>
          <w:szCs w:val="32"/>
        </w:rPr>
      </w:pP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九龙坡区2023年区级政府性基金预算本级支出预算表</w:t>
      </w:r>
    </w:p>
    <w:p>
      <w:pPr>
        <w:adjustRightInd w:val="0"/>
        <w:snapToGrid w:val="0"/>
        <w:spacing w:line="48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11147" w:type="dxa"/>
        <w:jc w:val="center"/>
        <w:tblLayout w:type="autofit"/>
        <w:tblCellMar>
          <w:top w:w="0" w:type="dxa"/>
          <w:left w:w="108" w:type="dxa"/>
          <w:bottom w:w="0" w:type="dxa"/>
          <w:right w:w="108" w:type="dxa"/>
        </w:tblCellMar>
      </w:tblPr>
      <w:tblGrid>
        <w:gridCol w:w="1056"/>
        <w:gridCol w:w="6535"/>
        <w:gridCol w:w="936"/>
        <w:gridCol w:w="1360"/>
        <w:gridCol w:w="1260"/>
      </w:tblGrid>
      <w:tr>
        <w:tblPrEx>
          <w:tblCellMar>
            <w:top w:w="0" w:type="dxa"/>
            <w:left w:w="108" w:type="dxa"/>
            <w:bottom w:w="0" w:type="dxa"/>
            <w:right w:w="108" w:type="dxa"/>
          </w:tblCellMar>
        </w:tblPrEx>
        <w:trPr>
          <w:trHeight w:val="315" w:hRule="atLeast"/>
          <w:tblHeader/>
          <w:jc w:val="center"/>
        </w:trPr>
        <w:tc>
          <w:tcPr>
            <w:tcW w:w="7591"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项               目</w:t>
            </w:r>
          </w:p>
        </w:tc>
        <w:tc>
          <w:tcPr>
            <w:tcW w:w="3556" w:type="dxa"/>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预算数</w:t>
            </w:r>
          </w:p>
        </w:tc>
      </w:tr>
      <w:tr>
        <w:tblPrEx>
          <w:tblCellMar>
            <w:top w:w="0" w:type="dxa"/>
            <w:left w:w="108" w:type="dxa"/>
            <w:bottom w:w="0" w:type="dxa"/>
            <w:right w:w="108" w:type="dxa"/>
          </w:tblCellMar>
        </w:tblPrEx>
        <w:trPr>
          <w:trHeight w:val="315" w:hRule="atLeast"/>
          <w:tblHeader/>
          <w:jc w:val="center"/>
        </w:trPr>
        <w:tc>
          <w:tcPr>
            <w:tcW w:w="759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ascii="Times New Roman" w:hAnsi="Times New Roman" w:eastAsia="方正黑体_GBK" w:cs="宋体"/>
                <w:kern w:val="0"/>
                <w:sz w:val="24"/>
                <w:szCs w:val="24"/>
              </w:rPr>
            </w:pP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合    计</w:t>
            </w:r>
          </w:p>
        </w:tc>
        <w:tc>
          <w:tcPr>
            <w:tcW w:w="136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当年预算</w:t>
            </w:r>
          </w:p>
        </w:tc>
        <w:tc>
          <w:tcPr>
            <w:tcW w:w="126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上年结转</w:t>
            </w:r>
          </w:p>
        </w:tc>
      </w:tr>
      <w:tr>
        <w:tblPrEx>
          <w:tblCellMar>
            <w:top w:w="0" w:type="dxa"/>
            <w:left w:w="108" w:type="dxa"/>
            <w:bottom w:w="0" w:type="dxa"/>
            <w:right w:w="108" w:type="dxa"/>
          </w:tblCellMar>
        </w:tblPrEx>
        <w:trPr>
          <w:trHeight w:val="480" w:hRule="atLeast"/>
          <w:jc w:val="center"/>
        </w:trPr>
        <w:tc>
          <w:tcPr>
            <w:tcW w:w="75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本级支出合计</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453279 </w:t>
            </w:r>
          </w:p>
        </w:tc>
        <w:tc>
          <w:tcPr>
            <w:tcW w:w="136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314441 </w:t>
            </w:r>
          </w:p>
        </w:tc>
        <w:tc>
          <w:tcPr>
            <w:tcW w:w="126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138838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 xml:space="preserve">  社会保障和就业支出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31</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12</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20822</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4"/>
                <w:szCs w:val="24"/>
              </w:rPr>
            </w:pPr>
            <w:r>
              <w:rPr>
                <w:rFonts w:hint="eastAsia" w:ascii="Times New Roman" w:hAnsi="Times New Roman" w:eastAsia="方正仿宋_GBK" w:cs="宋体"/>
                <w:bCs/>
                <w:kern w:val="0"/>
                <w:sz w:val="24"/>
                <w:szCs w:val="24"/>
              </w:rPr>
              <w:t xml:space="preserve">    大中型水库移民后期扶持基金支出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31</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12</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2082201</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移民补助</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43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31</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 xml:space="preserve">  城乡社区支出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364248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246949</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117299</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21208</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4"/>
                <w:szCs w:val="24"/>
              </w:rPr>
            </w:pPr>
            <w:r>
              <w:rPr>
                <w:rFonts w:hint="eastAsia" w:ascii="Times New Roman" w:hAnsi="Times New Roman" w:eastAsia="方正仿宋_GBK" w:cs="宋体"/>
                <w:bCs/>
                <w:kern w:val="0"/>
                <w:sz w:val="24"/>
                <w:szCs w:val="24"/>
              </w:rPr>
              <w:t xml:space="preserve">    国有土地使用权出让收入安排的支出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360929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246949</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113980</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2120801</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征地和拆迁补偿支出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157686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56721</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100965</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2120802</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土地开发支出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10595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10595</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2120804</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农村基础设施建设支出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46</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2120899</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其他国有土地使用权出让收入安排的支出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192602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190182</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2420</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21213</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4"/>
                <w:szCs w:val="24"/>
              </w:rPr>
            </w:pPr>
            <w:r>
              <w:rPr>
                <w:rFonts w:hint="eastAsia" w:ascii="Times New Roman" w:hAnsi="Times New Roman" w:eastAsia="方正仿宋_GBK" w:cs="宋体"/>
                <w:bCs/>
                <w:kern w:val="0"/>
                <w:sz w:val="24"/>
                <w:szCs w:val="24"/>
              </w:rPr>
              <w:t xml:space="preserve">    城市基础设施配套费安排的支出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3319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3319</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2121301</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城市公共设施</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3304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3304</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2121399</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其他城市基础设施配套费安排的支出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 xml:space="preserve">  农林水支出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1758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32</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1726</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21367</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4"/>
                <w:szCs w:val="24"/>
              </w:rPr>
            </w:pPr>
            <w:r>
              <w:rPr>
                <w:rFonts w:hint="eastAsia" w:ascii="Times New Roman" w:hAnsi="Times New Roman" w:eastAsia="方正仿宋_GBK" w:cs="宋体"/>
                <w:bCs/>
                <w:kern w:val="0"/>
                <w:sz w:val="24"/>
                <w:szCs w:val="24"/>
              </w:rPr>
              <w:t xml:space="preserve">    三峡水库库区基金支出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49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27</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2136701</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基础设施建设和经济发展</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2136702</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解决移民遗留问题</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2136703</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库区维护和管理</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2136799</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其他三峡水库库区基金支出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40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21369</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4"/>
                <w:szCs w:val="24"/>
              </w:rPr>
            </w:pPr>
            <w:r>
              <w:rPr>
                <w:rFonts w:hint="eastAsia" w:ascii="Times New Roman" w:hAnsi="Times New Roman" w:eastAsia="方正仿宋_GBK" w:cs="宋体"/>
                <w:bCs/>
                <w:kern w:val="0"/>
                <w:sz w:val="24"/>
                <w:szCs w:val="24"/>
              </w:rPr>
              <w:t xml:space="preserve">    国家重大水利工程建设基金安排的支出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1709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10</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1699</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2136902</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三峡后续工作</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1709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1699</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229</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 xml:space="preserve">  其他支出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23973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4172</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19801</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22904</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4"/>
                <w:szCs w:val="24"/>
              </w:rPr>
            </w:pPr>
            <w:r>
              <w:rPr>
                <w:rFonts w:hint="eastAsia" w:ascii="Times New Roman" w:hAnsi="Times New Roman" w:eastAsia="方正仿宋_GBK" w:cs="宋体"/>
                <w:bCs/>
                <w:kern w:val="0"/>
                <w:sz w:val="24"/>
                <w:szCs w:val="24"/>
              </w:rPr>
              <w:t xml:space="preserve">    其他政府性基金及对应专项债务收入安排的支出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16093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16093</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2290402</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其他地方自行试点项目收益专项债券收入安排的支出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16093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16093</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22960</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4"/>
                <w:szCs w:val="24"/>
              </w:rPr>
            </w:pPr>
            <w:r>
              <w:rPr>
                <w:rFonts w:hint="eastAsia" w:ascii="Times New Roman" w:hAnsi="Times New Roman" w:eastAsia="方正仿宋_GBK" w:cs="宋体"/>
                <w:bCs/>
                <w:kern w:val="0"/>
                <w:sz w:val="24"/>
                <w:szCs w:val="24"/>
              </w:rPr>
              <w:t xml:space="preserve">    彩票公益金安排的支出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7880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4172</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3708</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2296002</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用于社会福利的彩票公益金支出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4203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1942</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2261</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2296003</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用于体育事业的彩票公益金支出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3229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1890</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1339</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2296004</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用于教育事业的彩票公益金支出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345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247</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98</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2296006</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用于残疾人事业的彩票公益金支出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96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93</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2296099</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用于其他社会公益事业的彩票公益金支出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7</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232</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 xml:space="preserve">  债务付息支出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63239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63239</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23204</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4"/>
                <w:szCs w:val="24"/>
              </w:rPr>
            </w:pPr>
            <w:r>
              <w:rPr>
                <w:rFonts w:hint="eastAsia" w:ascii="Times New Roman" w:hAnsi="Times New Roman" w:eastAsia="方正仿宋_GBK" w:cs="宋体"/>
                <w:bCs/>
                <w:kern w:val="0"/>
                <w:sz w:val="24"/>
                <w:szCs w:val="24"/>
              </w:rPr>
              <w:t xml:space="preserve">    地方政府专项债务付息支出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63239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63239</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2320411</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国有土地使用权出让金债务付息支出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29625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29625</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2320431</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土地储备专项债券付息支出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9038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9038</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2320433</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棚户区改造专项债券付息支出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10043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10043</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2320498</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其他地方自行试点项目收益专项债券付息支出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14533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14533</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233</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 xml:space="preserve">  债务发行费用支出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18</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23304</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bCs/>
                <w:kern w:val="0"/>
                <w:sz w:val="24"/>
                <w:szCs w:val="24"/>
              </w:rPr>
            </w:pPr>
            <w:r>
              <w:rPr>
                <w:rFonts w:hint="eastAsia" w:ascii="Times New Roman" w:hAnsi="Times New Roman" w:eastAsia="方正仿宋_GBK" w:cs="宋体"/>
                <w:bCs/>
                <w:kern w:val="0"/>
                <w:sz w:val="24"/>
                <w:szCs w:val="24"/>
              </w:rPr>
              <w:t xml:space="preserve">    地方政府专项债务发行费用支出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 </w:t>
            </w:r>
          </w:p>
        </w:tc>
        <w:tc>
          <w:tcPr>
            <w:tcW w:w="13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18</w:t>
            </w:r>
          </w:p>
        </w:tc>
        <w:tc>
          <w:tcPr>
            <w:tcW w:w="1260"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2330411</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国有土地使用权出让金债务发行费用支出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7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7</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2330431</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土地储备专项债券发行费用支出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9</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2330433</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棚户区改造专项债券发行费用支出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2330498</w:t>
            </w:r>
          </w:p>
        </w:tc>
        <w:tc>
          <w:tcPr>
            <w:tcW w:w="6535" w:type="dxa"/>
            <w:tcBorders>
              <w:top w:val="nil"/>
              <w:left w:val="nil"/>
              <w:bottom w:val="single" w:color="auto" w:sz="4" w:space="0"/>
              <w:right w:val="single" w:color="auto" w:sz="4" w:space="0"/>
            </w:tcBorders>
            <w:shd w:val="clear" w:color="auto" w:fill="auto"/>
            <w:noWrap/>
            <w:vAlign w:val="bottom"/>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其他地方自行试点项目收益专项债券发行费用支出</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 </w:t>
            </w:r>
          </w:p>
        </w:tc>
        <w:tc>
          <w:tcPr>
            <w:tcW w:w="13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w:t>
            </w:r>
          </w:p>
        </w:tc>
        <w:tc>
          <w:tcPr>
            <w:tcW w:w="126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bl>
    <w:p>
      <w:pPr>
        <w:adjustRightInd w:val="0"/>
        <w:snapToGrid w:val="0"/>
        <w:spacing w:line="400" w:lineRule="exact"/>
        <w:ind w:left="480" w:right="879" w:hanging="480" w:hangingChars="200"/>
        <w:jc w:val="left"/>
        <w:rPr>
          <w:rFonts w:ascii="Times New Roman" w:hAnsi="Times New Roman" w:eastAsia="方正仿宋_GBK"/>
          <w:sz w:val="24"/>
          <w:szCs w:val="24"/>
        </w:rPr>
      </w:pPr>
      <w:r>
        <w:rPr>
          <w:rFonts w:hint="eastAsia" w:ascii="Times New Roman" w:hAnsi="Times New Roman" w:eastAsia="方正仿宋_GBK"/>
          <w:sz w:val="24"/>
          <w:szCs w:val="24"/>
        </w:rPr>
        <w:t>注：本表详细反映2022年政府性基金预算本级支出情况，按《预算法》要求细化到功能分类项级科目。</w:t>
      </w: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jc w:val="left"/>
        <w:rPr>
          <w:rFonts w:ascii="Times New Roman" w:hAnsi="Times New Roman" w:eastAsia="方正仿宋_GBK" w:cs="Times New Roman"/>
          <w:kern w:val="0"/>
          <w:sz w:val="32"/>
          <w:szCs w:val="32"/>
        </w:rPr>
      </w:pPr>
      <w:r>
        <w:rPr>
          <w:rFonts w:ascii="Times New Roman" w:hAnsi="Times New Roman" w:eastAsia="方正黑体_GBK" w:cs="Times New Roman"/>
          <w:kern w:val="0"/>
          <w:sz w:val="32"/>
          <w:szCs w:val="32"/>
        </w:rPr>
        <w:t>表24</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九龙坡区2023年区级政府性基金预算专项转移支付预算表</w:t>
      </w:r>
    </w:p>
    <w:p>
      <w:pPr>
        <w:adjustRightInd w:val="0"/>
        <w:snapToGrid w:val="0"/>
        <w:spacing w:line="480" w:lineRule="exact"/>
        <w:ind w:left="-94" w:leftChars="-202" w:right="-397" w:rightChars="-189" w:hanging="330" w:hangingChars="118"/>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9370" w:type="dxa"/>
        <w:tblInd w:w="94" w:type="dxa"/>
        <w:tblLayout w:type="autofit"/>
        <w:tblCellMar>
          <w:top w:w="0" w:type="dxa"/>
          <w:left w:w="108" w:type="dxa"/>
          <w:bottom w:w="0" w:type="dxa"/>
          <w:right w:w="108" w:type="dxa"/>
        </w:tblCellMar>
      </w:tblPr>
      <w:tblGrid>
        <w:gridCol w:w="4536"/>
        <w:gridCol w:w="1056"/>
        <w:gridCol w:w="2856"/>
        <w:gridCol w:w="1254"/>
      </w:tblGrid>
      <w:tr>
        <w:tblPrEx>
          <w:tblCellMar>
            <w:top w:w="0" w:type="dxa"/>
            <w:left w:w="108" w:type="dxa"/>
            <w:bottom w:w="0" w:type="dxa"/>
            <w:right w:w="108" w:type="dxa"/>
          </w:tblCellMar>
        </w:tblPrEx>
        <w:trPr>
          <w:trHeight w:val="585"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收            入</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center"/>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预算数</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center"/>
              <w:rPr>
                <w:rFonts w:ascii="Times New Roman" w:hAnsi="Times New Roman" w:eastAsia="方正黑体_GBK" w:cs="宋体"/>
                <w:color w:val="000000"/>
                <w:kern w:val="0"/>
                <w:sz w:val="28"/>
                <w:szCs w:val="28"/>
              </w:rPr>
            </w:pPr>
            <w:r>
              <w:rPr>
                <w:rFonts w:hint="eastAsia" w:ascii="Times New Roman" w:hAnsi="Times New Roman" w:eastAsia="方正黑体_GBK" w:cs="宋体"/>
                <w:color w:val="000000"/>
                <w:kern w:val="0"/>
                <w:sz w:val="28"/>
                <w:szCs w:val="28"/>
              </w:rPr>
              <w:t>支         出</w:t>
            </w:r>
          </w:p>
        </w:tc>
        <w:tc>
          <w:tcPr>
            <w:tcW w:w="125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center"/>
              <w:rPr>
                <w:rFonts w:ascii="Times New Roman" w:hAnsi="Times New Roman" w:eastAsia="方正黑体_GBK" w:cs="宋体"/>
                <w:color w:val="000000"/>
                <w:kern w:val="0"/>
                <w:sz w:val="28"/>
                <w:szCs w:val="28"/>
              </w:rPr>
            </w:pPr>
            <w:r>
              <w:rPr>
                <w:rFonts w:hint="eastAsia" w:ascii="Times New Roman" w:hAnsi="Times New Roman" w:eastAsia="方正黑体_GBK" w:cs="宋体"/>
                <w:color w:val="000000"/>
                <w:kern w:val="0"/>
                <w:sz w:val="28"/>
                <w:szCs w:val="28"/>
              </w:rPr>
              <w:t>预算数</w:t>
            </w:r>
          </w:p>
        </w:tc>
      </w:tr>
      <w:tr>
        <w:tblPrEx>
          <w:tblCellMar>
            <w:top w:w="0" w:type="dxa"/>
            <w:left w:w="108" w:type="dxa"/>
            <w:bottom w:w="0" w:type="dxa"/>
            <w:right w:w="108" w:type="dxa"/>
          </w:tblCellMar>
        </w:tblPrEx>
        <w:trPr>
          <w:trHeight w:val="5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上级补助收入</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bCs/>
                <w:kern w:val="0"/>
                <w:sz w:val="28"/>
                <w:szCs w:val="28"/>
              </w:rPr>
            </w:pPr>
            <w:r>
              <w:rPr>
                <w:rFonts w:ascii="Times New Roman" w:hAnsi="Times New Roman" w:eastAsia="宋体" w:cs="Times New Roman"/>
                <w:bCs/>
                <w:kern w:val="0"/>
                <w:sz w:val="28"/>
                <w:szCs w:val="28"/>
              </w:rPr>
              <w:t xml:space="preserve">464441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黑体_GBK" w:cs="宋体"/>
                <w:color w:val="000000"/>
                <w:kern w:val="0"/>
                <w:sz w:val="28"/>
                <w:szCs w:val="28"/>
              </w:rPr>
            </w:pPr>
            <w:r>
              <w:rPr>
                <w:rFonts w:hint="eastAsia" w:ascii="Times New Roman" w:hAnsi="Times New Roman" w:eastAsia="方正黑体_GBK" w:cs="宋体"/>
                <w:color w:val="000000"/>
                <w:kern w:val="0"/>
                <w:sz w:val="28"/>
                <w:szCs w:val="28"/>
              </w:rPr>
              <w:t>补助镇支出</w:t>
            </w:r>
          </w:p>
        </w:tc>
        <w:tc>
          <w:tcPr>
            <w:tcW w:w="125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bCs/>
                <w:color w:val="000000"/>
                <w:kern w:val="0"/>
                <w:sz w:val="28"/>
                <w:szCs w:val="28"/>
              </w:rPr>
            </w:pPr>
            <w:r>
              <w:rPr>
                <w:rFonts w:ascii="Times New Roman" w:hAnsi="Times New Roman" w:eastAsia="宋体" w:cs="Times New Roman"/>
                <w:bCs/>
                <w:color w:val="000000"/>
                <w:kern w:val="0"/>
                <w:sz w:val="28"/>
                <w:szCs w:val="28"/>
              </w:rPr>
              <w:t>1982</w:t>
            </w:r>
          </w:p>
        </w:tc>
      </w:tr>
      <w:tr>
        <w:tblPrEx>
          <w:tblCellMar>
            <w:top w:w="0" w:type="dxa"/>
            <w:left w:w="108" w:type="dxa"/>
            <w:bottom w:w="0" w:type="dxa"/>
            <w:right w:w="108" w:type="dxa"/>
          </w:tblCellMar>
        </w:tblPrEx>
        <w:trPr>
          <w:trHeight w:val="5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大中型水库移民后期扶持基金支出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31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彩票公益金安排的支出</w:t>
            </w:r>
          </w:p>
        </w:tc>
        <w:tc>
          <w:tcPr>
            <w:tcW w:w="125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1982</w:t>
            </w:r>
          </w:p>
        </w:tc>
      </w:tr>
      <w:tr>
        <w:tblPrEx>
          <w:tblCellMar>
            <w:top w:w="0" w:type="dxa"/>
            <w:left w:w="108" w:type="dxa"/>
            <w:bottom w:w="0" w:type="dxa"/>
            <w:right w:w="108" w:type="dxa"/>
          </w:tblCellMar>
        </w:tblPrEx>
        <w:trPr>
          <w:trHeight w:val="5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国有土地使用权出让收入安排的支出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460207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　</w:t>
            </w:r>
          </w:p>
        </w:tc>
        <w:tc>
          <w:tcPr>
            <w:tcW w:w="125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w:t>
            </w:r>
          </w:p>
        </w:tc>
      </w:tr>
      <w:tr>
        <w:tblPrEx>
          <w:tblCellMar>
            <w:top w:w="0" w:type="dxa"/>
            <w:left w:w="108" w:type="dxa"/>
            <w:bottom w:w="0" w:type="dxa"/>
            <w:right w:w="108" w:type="dxa"/>
          </w:tblCellMar>
        </w:tblPrEx>
        <w:trPr>
          <w:trHeight w:val="5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三峡水库库区基金支出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　</w:t>
            </w:r>
          </w:p>
        </w:tc>
        <w:tc>
          <w:tcPr>
            <w:tcW w:w="125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w:t>
            </w:r>
          </w:p>
        </w:tc>
      </w:tr>
      <w:tr>
        <w:tblPrEx>
          <w:tblCellMar>
            <w:top w:w="0" w:type="dxa"/>
            <w:left w:w="108" w:type="dxa"/>
            <w:bottom w:w="0" w:type="dxa"/>
            <w:right w:w="108" w:type="dxa"/>
          </w:tblCellMar>
        </w:tblPrEx>
        <w:trPr>
          <w:trHeight w:val="5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国家重大水利工程建设基金安排的支出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9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黑体_GBK" w:cs="宋体"/>
                <w:color w:val="000000"/>
                <w:kern w:val="0"/>
                <w:sz w:val="24"/>
                <w:szCs w:val="24"/>
              </w:rPr>
            </w:pPr>
            <w:r>
              <w:rPr>
                <w:rFonts w:hint="eastAsia" w:ascii="Times New Roman" w:hAnsi="Times New Roman" w:eastAsia="方正黑体_GBK" w:cs="宋体"/>
                <w:color w:val="000000"/>
                <w:kern w:val="0"/>
                <w:sz w:val="24"/>
                <w:szCs w:val="24"/>
              </w:rPr>
              <w:t>　</w:t>
            </w:r>
          </w:p>
        </w:tc>
        <w:tc>
          <w:tcPr>
            <w:tcW w:w="125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w:t>
            </w:r>
          </w:p>
        </w:tc>
      </w:tr>
      <w:tr>
        <w:tblPrEx>
          <w:tblCellMar>
            <w:top w:w="0" w:type="dxa"/>
            <w:left w:w="108" w:type="dxa"/>
            <w:bottom w:w="0" w:type="dxa"/>
            <w:right w:w="108" w:type="dxa"/>
          </w:tblCellMar>
        </w:tblPrEx>
        <w:trPr>
          <w:trHeight w:val="5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彩票公益金安排的支出</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4172 </w:t>
            </w:r>
          </w:p>
        </w:tc>
        <w:tc>
          <w:tcPr>
            <w:tcW w:w="0" w:type="auto"/>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254"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400" w:lineRule="exact"/>
              <w:jc w:val="lef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r>
      <w:tr>
        <w:tblPrEx>
          <w:tblCellMar>
            <w:top w:w="0" w:type="dxa"/>
            <w:left w:w="108" w:type="dxa"/>
            <w:bottom w:w="0" w:type="dxa"/>
            <w:right w:w="108" w:type="dxa"/>
          </w:tblCellMar>
        </w:tblPrEx>
        <w:trPr>
          <w:trHeight w:val="585" w:hRule="atLeast"/>
        </w:trPr>
        <w:tc>
          <w:tcPr>
            <w:tcW w:w="9370" w:type="dxa"/>
            <w:gridSpan w:val="4"/>
            <w:tcBorders>
              <w:top w:val="nil"/>
              <w:left w:val="nil"/>
              <w:bottom w:val="nil"/>
              <w:right w:val="nil"/>
            </w:tcBorders>
            <w:shd w:val="clear" w:color="auto" w:fill="auto"/>
            <w:vAlign w:val="center"/>
          </w:tcPr>
          <w:p>
            <w:pPr>
              <w:widowControl/>
              <w:adjustRightInd w:val="0"/>
              <w:snapToGrid w:val="0"/>
              <w:spacing w:line="40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注：本表详细反映</w:t>
            </w:r>
            <w:r>
              <w:rPr>
                <w:rFonts w:ascii="Times New Roman" w:hAnsi="Times New Roman" w:eastAsia="宋体" w:cs="Times New Roman"/>
                <w:color w:val="000000"/>
                <w:kern w:val="0"/>
                <w:sz w:val="24"/>
                <w:szCs w:val="24"/>
              </w:rPr>
              <w:t>2023</w:t>
            </w:r>
            <w:r>
              <w:rPr>
                <w:rFonts w:hint="eastAsia" w:ascii="Times New Roman" w:hAnsi="Times New Roman" w:eastAsia="方正仿宋_GBK" w:cs="Times New Roman"/>
                <w:color w:val="000000"/>
                <w:kern w:val="0"/>
                <w:sz w:val="24"/>
                <w:szCs w:val="24"/>
              </w:rPr>
              <w:t>年政府性基金预算转移支付收入和转移支付支出情况。</w:t>
            </w:r>
          </w:p>
        </w:tc>
      </w:tr>
    </w:tbl>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480" w:lineRule="exact"/>
        <w:jc w:val="left"/>
        <w:rPr>
          <w:rFonts w:ascii="Times New Roman" w:hAnsi="Times New Roman" w:eastAsia="方正仿宋_GBK" w:cs="Times New Roman"/>
          <w:kern w:val="0"/>
          <w:sz w:val="32"/>
          <w:szCs w:val="32"/>
        </w:rPr>
      </w:pPr>
    </w:p>
    <w:p>
      <w:pPr>
        <w:adjustRightInd w:val="0"/>
        <w:snapToGrid w:val="0"/>
        <w:spacing w:line="480" w:lineRule="exact"/>
        <w:jc w:val="left"/>
        <w:rPr>
          <w:rFonts w:ascii="Times New Roman" w:hAnsi="Times New Roman" w:eastAsia="方正仿宋_GBK" w:cs="Times New Roman"/>
          <w:kern w:val="0"/>
          <w:sz w:val="32"/>
          <w:szCs w:val="32"/>
        </w:rPr>
      </w:pPr>
      <w:r>
        <w:rPr>
          <w:rFonts w:ascii="Times New Roman" w:hAnsi="Times New Roman" w:eastAsia="方正黑体_GBK" w:cs="Times New Roman"/>
          <w:kern w:val="0"/>
          <w:sz w:val="32"/>
          <w:szCs w:val="32"/>
        </w:rPr>
        <w:t>表25</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九龙坡区2023年区级国有资本经营预算</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收支预算表</w:t>
      </w:r>
    </w:p>
    <w:p>
      <w:pPr>
        <w:adjustRightInd w:val="0"/>
        <w:snapToGrid w:val="0"/>
        <w:spacing w:line="480" w:lineRule="exact"/>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单位：万元</w:t>
      </w:r>
    </w:p>
    <w:tbl>
      <w:tblPr>
        <w:tblStyle w:val="9"/>
        <w:tblW w:w="11128" w:type="dxa"/>
        <w:jc w:val="center"/>
        <w:tblLayout w:type="autofit"/>
        <w:tblCellMar>
          <w:top w:w="0" w:type="dxa"/>
          <w:left w:w="108" w:type="dxa"/>
          <w:bottom w:w="0" w:type="dxa"/>
          <w:right w:w="108" w:type="dxa"/>
        </w:tblCellMar>
      </w:tblPr>
      <w:tblGrid>
        <w:gridCol w:w="2740"/>
        <w:gridCol w:w="1660"/>
        <w:gridCol w:w="5068"/>
        <w:gridCol w:w="1660"/>
      </w:tblGrid>
      <w:tr>
        <w:tblPrEx>
          <w:tblCellMar>
            <w:top w:w="0" w:type="dxa"/>
            <w:left w:w="108" w:type="dxa"/>
            <w:bottom w:w="0" w:type="dxa"/>
            <w:right w:w="108" w:type="dxa"/>
          </w:tblCellMar>
        </w:tblPrEx>
        <w:trPr>
          <w:trHeight w:val="315" w:hRule="atLeast"/>
          <w:jc w:val="center"/>
        </w:trPr>
        <w:tc>
          <w:tcPr>
            <w:tcW w:w="274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收        入</w:t>
            </w:r>
          </w:p>
        </w:tc>
        <w:tc>
          <w:tcPr>
            <w:tcW w:w="1660"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预算数</w:t>
            </w:r>
          </w:p>
        </w:tc>
        <w:tc>
          <w:tcPr>
            <w:tcW w:w="5068"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支        出</w:t>
            </w:r>
          </w:p>
        </w:tc>
        <w:tc>
          <w:tcPr>
            <w:tcW w:w="1660"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预算数</w:t>
            </w:r>
          </w:p>
        </w:tc>
      </w:tr>
      <w:tr>
        <w:tblPrEx>
          <w:tblCellMar>
            <w:top w:w="0" w:type="dxa"/>
            <w:left w:w="108" w:type="dxa"/>
            <w:bottom w:w="0" w:type="dxa"/>
            <w:right w:w="108" w:type="dxa"/>
          </w:tblCellMar>
        </w:tblPrEx>
        <w:trPr>
          <w:trHeight w:val="315" w:hRule="atLeast"/>
          <w:jc w:val="center"/>
        </w:trPr>
        <w:tc>
          <w:tcPr>
            <w:tcW w:w="274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总  计</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20507 </w:t>
            </w:r>
          </w:p>
        </w:tc>
        <w:tc>
          <w:tcPr>
            <w:tcW w:w="5068"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总  计</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20507 </w:t>
            </w:r>
          </w:p>
        </w:tc>
      </w:tr>
      <w:tr>
        <w:tblPrEx>
          <w:tblCellMar>
            <w:top w:w="0" w:type="dxa"/>
            <w:left w:w="108" w:type="dxa"/>
            <w:bottom w:w="0" w:type="dxa"/>
            <w:right w:w="108" w:type="dxa"/>
          </w:tblCellMar>
        </w:tblPrEx>
        <w:trPr>
          <w:trHeight w:val="315" w:hRule="atLeast"/>
          <w:jc w:val="center"/>
        </w:trPr>
        <w:tc>
          <w:tcPr>
            <w:tcW w:w="274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本级收入合计</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20507 </w:t>
            </w:r>
          </w:p>
        </w:tc>
        <w:tc>
          <w:tcPr>
            <w:tcW w:w="5068"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本级支出合计</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0 </w:t>
            </w:r>
          </w:p>
        </w:tc>
      </w:tr>
      <w:tr>
        <w:tblPrEx>
          <w:tblCellMar>
            <w:top w:w="0" w:type="dxa"/>
            <w:left w:w="108" w:type="dxa"/>
            <w:bottom w:w="0" w:type="dxa"/>
            <w:right w:w="108" w:type="dxa"/>
          </w:tblCellMar>
        </w:tblPrEx>
        <w:trPr>
          <w:trHeight w:val="315" w:hRule="atLeast"/>
          <w:jc w:val="center"/>
        </w:trPr>
        <w:tc>
          <w:tcPr>
            <w:tcW w:w="274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国有资本经营收入</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20507 </w:t>
            </w:r>
          </w:p>
        </w:tc>
        <w:tc>
          <w:tcPr>
            <w:tcW w:w="5068"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 xml:space="preserve">    解决历史遗留问题及改革成本支出</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0 </w:t>
            </w:r>
          </w:p>
        </w:tc>
      </w:tr>
      <w:tr>
        <w:tblPrEx>
          <w:tblCellMar>
            <w:top w:w="0" w:type="dxa"/>
            <w:left w:w="108" w:type="dxa"/>
            <w:bottom w:w="0" w:type="dxa"/>
            <w:right w:w="108" w:type="dxa"/>
          </w:tblCellMar>
        </w:tblPrEx>
        <w:trPr>
          <w:trHeight w:val="315" w:hRule="atLeast"/>
          <w:jc w:val="center"/>
        </w:trPr>
        <w:tc>
          <w:tcPr>
            <w:tcW w:w="274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利润收入</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20507 </w:t>
            </w:r>
          </w:p>
        </w:tc>
        <w:tc>
          <w:tcPr>
            <w:tcW w:w="5068"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w:t>
            </w:r>
            <w:r>
              <w:rPr>
                <w:rFonts w:hint="eastAsia" w:ascii="Times New Roman" w:hAnsi="Times New Roman" w:eastAsia="方正仿宋_GBK" w:cs="宋体"/>
                <w:color w:val="000000"/>
                <w:kern w:val="0"/>
                <w:sz w:val="24"/>
                <w:szCs w:val="24"/>
              </w:rPr>
              <w:t>国有企业退休人员社会化管理补助支出</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274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股利、股息收入</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5068"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其他解决历史遗留问题及改革成本支出</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274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c>
          <w:tcPr>
            <w:tcW w:w="5068"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楷体_GBK" w:cs="宋体"/>
                <w:bCs/>
                <w:kern w:val="0"/>
                <w:sz w:val="24"/>
                <w:szCs w:val="24"/>
              </w:rPr>
            </w:pPr>
            <w:r>
              <w:rPr>
                <w:rFonts w:hint="eastAsia" w:ascii="Times New Roman" w:hAnsi="Times New Roman" w:eastAsia="方正楷体_GBK" w:cs="宋体"/>
                <w:bCs/>
                <w:kern w:val="0"/>
                <w:sz w:val="24"/>
                <w:szCs w:val="24"/>
              </w:rPr>
              <w:t xml:space="preserve">    </w:t>
            </w:r>
            <w:r>
              <w:rPr>
                <w:rFonts w:hint="eastAsia" w:ascii="Times New Roman" w:hAnsi="Times New Roman" w:eastAsia="方正楷体_GBK" w:cs="宋体"/>
                <w:bCs/>
                <w:color w:val="000000"/>
                <w:kern w:val="0"/>
                <w:sz w:val="24"/>
                <w:szCs w:val="24"/>
              </w:rPr>
              <w:t>国有企业资本金注入</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0 </w:t>
            </w:r>
          </w:p>
        </w:tc>
      </w:tr>
      <w:tr>
        <w:tblPrEx>
          <w:tblCellMar>
            <w:top w:w="0" w:type="dxa"/>
            <w:left w:w="108" w:type="dxa"/>
            <w:bottom w:w="0" w:type="dxa"/>
            <w:right w:w="108" w:type="dxa"/>
          </w:tblCellMar>
        </w:tblPrEx>
        <w:trPr>
          <w:trHeight w:val="315" w:hRule="atLeast"/>
          <w:jc w:val="center"/>
        </w:trPr>
        <w:tc>
          <w:tcPr>
            <w:tcW w:w="274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5068"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w:t>
            </w:r>
            <w:r>
              <w:rPr>
                <w:rFonts w:hint="eastAsia" w:ascii="Times New Roman" w:hAnsi="Times New Roman" w:eastAsia="方正仿宋_GBK" w:cs="宋体"/>
                <w:color w:val="000000"/>
                <w:kern w:val="0"/>
                <w:sz w:val="24"/>
                <w:szCs w:val="24"/>
              </w:rPr>
              <w:t>其他国有企业资本金注入</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274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5068"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340" w:lineRule="exact"/>
              <w:ind w:firstLine="240" w:firstLineChars="100"/>
              <w:jc w:val="lef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2740" w:type="dxa"/>
            <w:tcBorders>
              <w:top w:val="nil"/>
              <w:left w:val="single" w:color="auto" w:sz="4" w:space="0"/>
              <w:bottom w:val="nil"/>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660" w:type="dxa"/>
            <w:tcBorders>
              <w:top w:val="nil"/>
              <w:left w:val="nil"/>
              <w:bottom w:val="nil"/>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5068"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1660" w:type="dxa"/>
            <w:tcBorders>
              <w:top w:val="nil"/>
              <w:left w:val="nil"/>
              <w:bottom w:val="nil"/>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2740" w:type="dxa"/>
            <w:tcBorders>
              <w:top w:val="single" w:color="auto" w:sz="4" w:space="0"/>
              <w:left w:val="single" w:color="auto" w:sz="4" w:space="0"/>
              <w:bottom w:val="nil"/>
              <w:right w:val="single" w:color="auto" w:sz="4" w:space="0"/>
            </w:tcBorders>
            <w:shd w:val="clear" w:color="000000" w:fill="FFFFFF"/>
            <w:noWrap/>
            <w:vAlign w:val="bottom"/>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660" w:type="dxa"/>
            <w:tcBorders>
              <w:top w:val="single" w:color="auto" w:sz="4" w:space="0"/>
              <w:left w:val="nil"/>
              <w:bottom w:val="nil"/>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5068"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340" w:lineRule="exact"/>
              <w:ind w:firstLine="240" w:firstLineChars="100"/>
              <w:jc w:val="lef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1660" w:type="dxa"/>
            <w:tcBorders>
              <w:top w:val="single" w:color="auto" w:sz="4" w:space="0"/>
              <w:left w:val="nil"/>
              <w:bottom w:val="nil"/>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2740" w:type="dxa"/>
            <w:tcBorders>
              <w:top w:val="single" w:color="auto" w:sz="4" w:space="0"/>
              <w:left w:val="single" w:color="auto" w:sz="4" w:space="0"/>
              <w:bottom w:val="single" w:color="auto" w:sz="4" w:space="0"/>
              <w:right w:val="single" w:color="auto" w:sz="4" w:space="0"/>
            </w:tcBorders>
            <w:shd w:val="clear" w:color="000000" w:fill="FFFFFF"/>
            <w:noWrap/>
            <w:vAlign w:val="bottom"/>
          </w:tcPr>
          <w:p>
            <w:pPr>
              <w:widowControl/>
              <w:adjustRightInd w:val="0"/>
              <w:snapToGrid w:val="0"/>
              <w:spacing w:line="340" w:lineRule="exact"/>
              <w:jc w:val="left"/>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　</w:t>
            </w:r>
          </w:p>
        </w:tc>
        <w:tc>
          <w:tcPr>
            <w:tcW w:w="1660"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c>
          <w:tcPr>
            <w:tcW w:w="5068"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340" w:lineRule="exact"/>
              <w:ind w:firstLine="240" w:firstLineChars="100"/>
              <w:jc w:val="lef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1660" w:type="dxa"/>
            <w:tcBorders>
              <w:top w:val="single" w:color="auto" w:sz="4" w:space="0"/>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2740" w:type="dxa"/>
            <w:tcBorders>
              <w:top w:val="nil"/>
              <w:left w:val="single" w:color="auto" w:sz="4" w:space="0"/>
              <w:bottom w:val="single" w:color="auto" w:sz="4" w:space="0"/>
              <w:right w:val="single" w:color="auto" w:sz="4" w:space="0"/>
            </w:tcBorders>
            <w:shd w:val="clear" w:color="000000" w:fill="FFFFFF"/>
            <w:noWrap/>
            <w:vAlign w:val="bottom"/>
          </w:tcPr>
          <w:p>
            <w:pPr>
              <w:widowControl/>
              <w:adjustRightInd w:val="0"/>
              <w:snapToGrid w:val="0"/>
              <w:spacing w:line="340" w:lineRule="exact"/>
              <w:jc w:val="left"/>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5068"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2740" w:type="dxa"/>
            <w:tcBorders>
              <w:top w:val="nil"/>
              <w:left w:val="single" w:color="auto" w:sz="4" w:space="0"/>
              <w:bottom w:val="single" w:color="auto" w:sz="4" w:space="0"/>
              <w:right w:val="single" w:color="auto" w:sz="4" w:space="0"/>
            </w:tcBorders>
            <w:shd w:val="clear" w:color="000000" w:fill="FFFFFF"/>
            <w:noWrap/>
            <w:vAlign w:val="bottom"/>
          </w:tcPr>
          <w:p>
            <w:pPr>
              <w:widowControl/>
              <w:adjustRightInd w:val="0"/>
              <w:snapToGrid w:val="0"/>
              <w:spacing w:line="340" w:lineRule="exact"/>
              <w:jc w:val="left"/>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　</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5068"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340" w:lineRule="exact"/>
              <w:ind w:firstLine="240" w:firstLineChars="100"/>
              <w:jc w:val="left"/>
              <w:rPr>
                <w:rFonts w:ascii="Times New Roman" w:hAnsi="Times New Roman" w:eastAsia="宋体" w:cs="宋体"/>
                <w:kern w:val="0"/>
                <w:sz w:val="24"/>
                <w:szCs w:val="24"/>
              </w:rPr>
            </w:pPr>
            <w:r>
              <w:rPr>
                <w:rFonts w:hint="eastAsia" w:ascii="Times New Roman" w:hAnsi="Times New Roman" w:eastAsia="宋体" w:cs="宋体"/>
                <w:kern w:val="0"/>
                <w:sz w:val="24"/>
                <w:szCs w:val="24"/>
              </w:rPr>
              <w:t>　</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315" w:hRule="atLeast"/>
          <w:jc w:val="center"/>
        </w:trPr>
        <w:tc>
          <w:tcPr>
            <w:tcW w:w="274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转移性收入合计</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0 </w:t>
            </w:r>
          </w:p>
        </w:tc>
        <w:tc>
          <w:tcPr>
            <w:tcW w:w="5068"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黑体" w:cs="宋体"/>
                <w:kern w:val="0"/>
                <w:sz w:val="24"/>
                <w:szCs w:val="24"/>
              </w:rPr>
            </w:pPr>
            <w:r>
              <w:rPr>
                <w:rFonts w:hint="eastAsia" w:ascii="Times New Roman" w:hAnsi="Times New Roman" w:eastAsia="黑体" w:cs="宋体"/>
                <w:kern w:val="0"/>
                <w:sz w:val="24"/>
                <w:szCs w:val="24"/>
              </w:rPr>
              <w:t>　</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w:t>
            </w:r>
          </w:p>
        </w:tc>
      </w:tr>
      <w:tr>
        <w:tblPrEx>
          <w:tblCellMar>
            <w:top w:w="0" w:type="dxa"/>
            <w:left w:w="108" w:type="dxa"/>
            <w:bottom w:w="0" w:type="dxa"/>
            <w:right w:w="108" w:type="dxa"/>
          </w:tblCellMar>
        </w:tblPrEx>
        <w:trPr>
          <w:trHeight w:val="315" w:hRule="atLeast"/>
          <w:jc w:val="center"/>
        </w:trPr>
        <w:tc>
          <w:tcPr>
            <w:tcW w:w="274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上级补助</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5068"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转移性支出合计</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 xml:space="preserve">20507 </w:t>
            </w:r>
          </w:p>
        </w:tc>
      </w:tr>
      <w:tr>
        <w:tblPrEx>
          <w:tblCellMar>
            <w:top w:w="0" w:type="dxa"/>
            <w:left w:w="108" w:type="dxa"/>
            <w:bottom w:w="0" w:type="dxa"/>
            <w:right w:w="108" w:type="dxa"/>
          </w:tblCellMar>
        </w:tblPrEx>
        <w:trPr>
          <w:trHeight w:val="450" w:hRule="atLeast"/>
          <w:jc w:val="center"/>
        </w:trPr>
        <w:tc>
          <w:tcPr>
            <w:tcW w:w="2740" w:type="dxa"/>
            <w:tcBorders>
              <w:top w:val="nil"/>
              <w:left w:val="single" w:color="auto" w:sz="4" w:space="0"/>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上年结转</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5068"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xml:space="preserve">   调出资金</w:t>
            </w:r>
          </w:p>
        </w:tc>
        <w:tc>
          <w:tcPr>
            <w:tcW w:w="1660"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spacing w:line="340" w:lineRule="exact"/>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20507 </w:t>
            </w:r>
          </w:p>
        </w:tc>
      </w:tr>
      <w:tr>
        <w:tblPrEx>
          <w:tblCellMar>
            <w:top w:w="0" w:type="dxa"/>
            <w:left w:w="108" w:type="dxa"/>
            <w:bottom w:w="0" w:type="dxa"/>
            <w:right w:w="108" w:type="dxa"/>
          </w:tblCellMar>
        </w:tblPrEx>
        <w:trPr>
          <w:trHeight w:val="780" w:hRule="atLeast"/>
          <w:jc w:val="center"/>
        </w:trPr>
        <w:tc>
          <w:tcPr>
            <w:tcW w:w="11128" w:type="dxa"/>
            <w:gridSpan w:val="4"/>
            <w:tcBorders>
              <w:top w:val="nil"/>
              <w:left w:val="nil"/>
              <w:bottom w:val="nil"/>
              <w:right w:val="nil"/>
            </w:tcBorders>
            <w:shd w:val="clear" w:color="000000" w:fill="FFFFFF"/>
            <w:vAlign w:val="center"/>
          </w:tcPr>
          <w:p>
            <w:pPr>
              <w:widowControl/>
              <w:adjustRightInd w:val="0"/>
              <w:snapToGrid w:val="0"/>
              <w:spacing w:line="340" w:lineRule="exact"/>
              <w:jc w:val="left"/>
              <w:rPr>
                <w:rFonts w:ascii="Times New Roman" w:hAnsi="Times New Roman" w:eastAsia="宋体" w:cs="Times New Roman"/>
                <w:color w:val="000000"/>
                <w:kern w:val="0"/>
                <w:sz w:val="24"/>
                <w:szCs w:val="24"/>
              </w:rPr>
            </w:pPr>
            <w:r>
              <w:rPr>
                <w:rFonts w:hint="eastAsia" w:ascii="Times New Roman" w:hAnsi="Times New Roman" w:eastAsia="方正仿宋_GBK" w:cs="Times New Roman"/>
                <w:color w:val="000000"/>
                <w:kern w:val="0"/>
                <w:sz w:val="24"/>
                <w:szCs w:val="24"/>
              </w:rPr>
              <w:t>注：</w:t>
            </w:r>
            <w:r>
              <w:rPr>
                <w:rFonts w:ascii="Times New Roman" w:hAnsi="Times New Roman" w:eastAsia="宋体" w:cs="Times New Roman"/>
                <w:color w:val="000000"/>
                <w:kern w:val="0"/>
                <w:sz w:val="24"/>
                <w:szCs w:val="24"/>
              </w:rPr>
              <w:t>1.</w:t>
            </w:r>
            <w:r>
              <w:rPr>
                <w:rFonts w:hint="eastAsia" w:ascii="Times New Roman" w:hAnsi="Times New Roman" w:eastAsia="方正仿宋_GBK" w:cs="Times New Roman"/>
                <w:color w:val="000000"/>
                <w:kern w:val="0"/>
                <w:sz w:val="24"/>
                <w:szCs w:val="24"/>
              </w:rPr>
              <w:t>本表直观反映</w:t>
            </w:r>
            <w:r>
              <w:rPr>
                <w:rFonts w:ascii="Times New Roman" w:hAnsi="Times New Roman" w:eastAsia="宋体" w:cs="Times New Roman"/>
                <w:color w:val="000000"/>
                <w:kern w:val="0"/>
                <w:sz w:val="24"/>
                <w:szCs w:val="24"/>
              </w:rPr>
              <w:t>2023</w:t>
            </w:r>
            <w:r>
              <w:rPr>
                <w:rFonts w:hint="eastAsia" w:ascii="Times New Roman" w:hAnsi="Times New Roman" w:eastAsia="方正仿宋_GBK" w:cs="Times New Roman"/>
                <w:color w:val="000000"/>
                <w:kern w:val="0"/>
                <w:sz w:val="24"/>
                <w:szCs w:val="24"/>
              </w:rPr>
              <w:t>年国有资本经营预算收入与支出的平衡关系。</w:t>
            </w:r>
            <w:r>
              <w:rPr>
                <w:rFonts w:hint="eastAsia" w:ascii="Times New Roman" w:hAnsi="Times New Roman" w:eastAsia="方正仿宋_GBK" w:cs="Times New Roman"/>
                <w:color w:val="000000"/>
                <w:kern w:val="0"/>
                <w:sz w:val="24"/>
                <w:szCs w:val="24"/>
              </w:rPr>
              <w:br w:type="textWrapping"/>
            </w:r>
            <w:r>
              <w:rPr>
                <w:rFonts w:ascii="Times New Roman" w:hAnsi="Times New Roman" w:eastAsia="宋体" w:cs="Times New Roman"/>
                <w:color w:val="000000"/>
                <w:kern w:val="0"/>
                <w:sz w:val="24"/>
                <w:szCs w:val="24"/>
              </w:rPr>
              <w:t xml:space="preserve">    2.</w:t>
            </w:r>
            <w:r>
              <w:rPr>
                <w:rFonts w:hint="eastAsia" w:ascii="Times New Roman" w:hAnsi="Times New Roman" w:eastAsia="方正仿宋_GBK" w:cs="Times New Roman"/>
                <w:color w:val="000000"/>
                <w:kern w:val="0"/>
                <w:sz w:val="24"/>
                <w:szCs w:val="24"/>
              </w:rPr>
              <w:t>收入总计（本级收入合计</w:t>
            </w:r>
            <w:r>
              <w:rPr>
                <w:rFonts w:ascii="Times New Roman" w:hAnsi="Times New Roman" w:eastAsia="宋体" w:cs="Times New Roman"/>
                <w:color w:val="000000"/>
                <w:kern w:val="0"/>
                <w:sz w:val="24"/>
                <w:szCs w:val="24"/>
              </w:rPr>
              <w:t>+</w:t>
            </w:r>
            <w:r>
              <w:rPr>
                <w:rFonts w:hint="eastAsia" w:ascii="Times New Roman" w:hAnsi="Times New Roman" w:eastAsia="方正仿宋_GBK" w:cs="Times New Roman"/>
                <w:color w:val="000000"/>
                <w:kern w:val="0"/>
                <w:sz w:val="24"/>
                <w:szCs w:val="24"/>
              </w:rPr>
              <w:t>转移性收入合计）</w:t>
            </w:r>
            <w:r>
              <w:rPr>
                <w:rFonts w:ascii="Times New Roman" w:hAnsi="Times New Roman" w:eastAsia="宋体" w:cs="Times New Roman"/>
                <w:color w:val="000000"/>
                <w:kern w:val="0"/>
                <w:sz w:val="24"/>
                <w:szCs w:val="24"/>
              </w:rPr>
              <w:t>=</w:t>
            </w:r>
            <w:r>
              <w:rPr>
                <w:rFonts w:hint="eastAsia" w:ascii="Times New Roman" w:hAnsi="Times New Roman" w:eastAsia="方正仿宋_GBK" w:cs="Times New Roman"/>
                <w:color w:val="000000"/>
                <w:kern w:val="0"/>
                <w:sz w:val="24"/>
                <w:szCs w:val="24"/>
              </w:rPr>
              <w:t>支出总计（本级支出合计</w:t>
            </w:r>
            <w:r>
              <w:rPr>
                <w:rFonts w:ascii="Times New Roman" w:hAnsi="Times New Roman" w:eastAsia="宋体" w:cs="Times New Roman"/>
                <w:color w:val="000000"/>
                <w:kern w:val="0"/>
                <w:sz w:val="24"/>
                <w:szCs w:val="24"/>
              </w:rPr>
              <w:t>+</w:t>
            </w:r>
            <w:r>
              <w:rPr>
                <w:rFonts w:hint="eastAsia" w:ascii="Times New Roman" w:hAnsi="Times New Roman" w:eastAsia="方正仿宋_GBK" w:cs="Times New Roman"/>
                <w:color w:val="000000"/>
                <w:kern w:val="0"/>
                <w:sz w:val="24"/>
                <w:szCs w:val="24"/>
              </w:rPr>
              <w:t>转移性支出合计）。</w:t>
            </w:r>
          </w:p>
        </w:tc>
      </w:tr>
    </w:tbl>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tbl>
      <w:tblPr>
        <w:tblStyle w:val="9"/>
        <w:tblW w:w="10858" w:type="dxa"/>
        <w:jc w:val="center"/>
        <w:tblLayout w:type="autofit"/>
        <w:tblCellMar>
          <w:top w:w="0" w:type="dxa"/>
          <w:left w:w="108" w:type="dxa"/>
          <w:bottom w:w="0" w:type="dxa"/>
          <w:right w:w="108" w:type="dxa"/>
        </w:tblCellMar>
      </w:tblPr>
      <w:tblGrid>
        <w:gridCol w:w="6149"/>
        <w:gridCol w:w="4709"/>
      </w:tblGrid>
      <w:tr>
        <w:tblPrEx>
          <w:tblCellMar>
            <w:top w:w="0" w:type="dxa"/>
            <w:left w:w="108" w:type="dxa"/>
            <w:bottom w:w="0" w:type="dxa"/>
            <w:right w:w="108" w:type="dxa"/>
          </w:tblCellMar>
        </w:tblPrEx>
        <w:trPr>
          <w:trHeight w:val="360" w:hRule="atLeast"/>
          <w:jc w:val="center"/>
        </w:trPr>
        <w:tc>
          <w:tcPr>
            <w:tcW w:w="10858" w:type="dxa"/>
            <w:gridSpan w:val="2"/>
            <w:tcBorders>
              <w:top w:val="nil"/>
              <w:left w:val="nil"/>
              <w:bottom w:val="nil"/>
              <w:right w:val="nil"/>
            </w:tcBorders>
            <w:shd w:val="clear" w:color="auto" w:fill="auto"/>
            <w:noWrap/>
            <w:vAlign w:val="center"/>
          </w:tcPr>
          <w:p>
            <w:pPr>
              <w:widowControl/>
              <w:jc w:val="left"/>
              <w:rPr>
                <w:rFonts w:ascii="Times New Roman" w:hAnsi="Times New Roman" w:eastAsia="方正黑体_GBK" w:cs="宋体"/>
                <w:color w:val="000000"/>
                <w:kern w:val="0"/>
                <w:sz w:val="30"/>
                <w:szCs w:val="30"/>
              </w:rPr>
            </w:pPr>
            <w:bookmarkStart w:id="0" w:name="RANGE!A1:B6"/>
            <w:r>
              <w:rPr>
                <w:rFonts w:hint="eastAsia" w:ascii="Times New Roman" w:hAnsi="Times New Roman" w:eastAsia="方正黑体_GBK" w:cs="宋体"/>
                <w:color w:val="000000"/>
                <w:kern w:val="0"/>
                <w:sz w:val="30"/>
                <w:szCs w:val="30"/>
              </w:rPr>
              <w:t>表26</w:t>
            </w:r>
            <w:bookmarkEnd w:id="0"/>
          </w:p>
        </w:tc>
      </w:tr>
      <w:tr>
        <w:tblPrEx>
          <w:tblCellMar>
            <w:top w:w="0" w:type="dxa"/>
            <w:left w:w="108" w:type="dxa"/>
            <w:bottom w:w="0" w:type="dxa"/>
            <w:right w:w="108" w:type="dxa"/>
          </w:tblCellMar>
        </w:tblPrEx>
        <w:trPr>
          <w:trHeight w:val="495" w:hRule="atLeast"/>
          <w:jc w:val="center"/>
        </w:trPr>
        <w:tc>
          <w:tcPr>
            <w:tcW w:w="10858" w:type="dxa"/>
            <w:gridSpan w:val="2"/>
            <w:tcBorders>
              <w:top w:val="nil"/>
              <w:left w:val="nil"/>
              <w:bottom w:val="nil"/>
              <w:right w:val="nil"/>
            </w:tcBorders>
            <w:shd w:val="clear" w:color="auto" w:fill="auto"/>
            <w:noWrap/>
            <w:vAlign w:val="bottom"/>
          </w:tcPr>
          <w:p>
            <w:pPr>
              <w:widowControl/>
              <w:jc w:val="center"/>
              <w:rPr>
                <w:rFonts w:ascii="Times New Roman" w:hAnsi="Times New Roman" w:eastAsia="方正小标宋_GBK" w:cs="宋体"/>
                <w:color w:val="000000"/>
                <w:kern w:val="0"/>
                <w:sz w:val="30"/>
                <w:szCs w:val="30"/>
              </w:rPr>
            </w:pPr>
            <w:r>
              <w:rPr>
                <w:rFonts w:hint="eastAsia" w:ascii="Times New Roman" w:hAnsi="Times New Roman" w:eastAsia="方正小标宋_GBK" w:cs="宋体"/>
                <w:color w:val="000000"/>
                <w:kern w:val="0"/>
                <w:sz w:val="30"/>
                <w:szCs w:val="30"/>
              </w:rPr>
              <w:t>九龙坡区2023年区级国有资本经营预算专项转移支付表（空表）</w:t>
            </w:r>
          </w:p>
        </w:tc>
      </w:tr>
      <w:tr>
        <w:tblPrEx>
          <w:tblCellMar>
            <w:top w:w="0" w:type="dxa"/>
            <w:left w:w="108" w:type="dxa"/>
            <w:bottom w:w="0" w:type="dxa"/>
            <w:right w:w="108" w:type="dxa"/>
          </w:tblCellMar>
        </w:tblPrEx>
        <w:trPr>
          <w:trHeight w:val="300" w:hRule="atLeast"/>
          <w:jc w:val="center"/>
        </w:trPr>
        <w:tc>
          <w:tcPr>
            <w:tcW w:w="6149" w:type="dxa"/>
            <w:tcBorders>
              <w:top w:val="nil"/>
              <w:left w:val="nil"/>
              <w:bottom w:val="nil"/>
              <w:right w:val="nil"/>
            </w:tcBorders>
            <w:shd w:val="clear" w:color="auto" w:fill="auto"/>
            <w:noWrap/>
            <w:vAlign w:val="bottom"/>
          </w:tcPr>
          <w:p>
            <w:pPr>
              <w:widowControl/>
              <w:jc w:val="center"/>
              <w:rPr>
                <w:rFonts w:ascii="Times New Roman" w:hAnsi="Times New Roman" w:eastAsia="方正黑体_GBK" w:cs="宋体"/>
                <w:color w:val="000000"/>
                <w:kern w:val="0"/>
                <w:sz w:val="30"/>
                <w:szCs w:val="30"/>
              </w:rPr>
            </w:pPr>
          </w:p>
        </w:tc>
        <w:tc>
          <w:tcPr>
            <w:tcW w:w="4709" w:type="dxa"/>
            <w:tcBorders>
              <w:top w:val="nil"/>
              <w:left w:val="nil"/>
              <w:bottom w:val="nil"/>
              <w:right w:val="nil"/>
            </w:tcBorders>
            <w:shd w:val="clear" w:color="auto" w:fill="auto"/>
            <w:noWrap/>
            <w:vAlign w:val="bottom"/>
          </w:tcPr>
          <w:p>
            <w:pPr>
              <w:widowControl/>
              <w:jc w:val="right"/>
              <w:rPr>
                <w:rFonts w:ascii="Times New Roman" w:hAnsi="Times New Roman" w:eastAsia="方正仿宋_GBK" w:cs="宋体"/>
                <w:color w:val="000000"/>
                <w:kern w:val="0"/>
                <w:sz w:val="30"/>
                <w:szCs w:val="30"/>
              </w:rPr>
            </w:pPr>
            <w:r>
              <w:rPr>
                <w:rFonts w:hint="eastAsia" w:ascii="Times New Roman" w:hAnsi="Times New Roman" w:eastAsia="方正仿宋_GBK" w:cs="宋体"/>
                <w:color w:val="000000"/>
                <w:kern w:val="0"/>
                <w:sz w:val="30"/>
                <w:szCs w:val="30"/>
              </w:rPr>
              <w:t xml:space="preserve"> 单位：万元 </w:t>
            </w:r>
          </w:p>
        </w:tc>
      </w:tr>
      <w:tr>
        <w:tblPrEx>
          <w:tblCellMar>
            <w:top w:w="0" w:type="dxa"/>
            <w:left w:w="108" w:type="dxa"/>
            <w:bottom w:w="0" w:type="dxa"/>
            <w:right w:w="108" w:type="dxa"/>
          </w:tblCellMar>
        </w:tblPrEx>
        <w:trPr>
          <w:trHeight w:val="420" w:hRule="atLeast"/>
          <w:jc w:val="center"/>
        </w:trPr>
        <w:tc>
          <w:tcPr>
            <w:tcW w:w="61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宋体"/>
                <w:color w:val="000000"/>
                <w:kern w:val="0"/>
                <w:sz w:val="30"/>
                <w:szCs w:val="30"/>
              </w:rPr>
            </w:pPr>
            <w:r>
              <w:rPr>
                <w:rFonts w:hint="eastAsia" w:ascii="Times New Roman" w:hAnsi="Times New Roman" w:eastAsia="方正黑体_GBK" w:cs="宋体"/>
                <w:color w:val="000000"/>
                <w:kern w:val="0"/>
                <w:sz w:val="30"/>
                <w:szCs w:val="30"/>
              </w:rPr>
              <w:t>项目名称</w:t>
            </w:r>
          </w:p>
        </w:tc>
        <w:tc>
          <w:tcPr>
            <w:tcW w:w="4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方正黑体_GBK" w:cs="宋体"/>
                <w:color w:val="000000"/>
                <w:kern w:val="0"/>
                <w:sz w:val="30"/>
                <w:szCs w:val="30"/>
              </w:rPr>
            </w:pPr>
            <w:r>
              <w:rPr>
                <w:rFonts w:hint="eastAsia" w:ascii="Times New Roman" w:hAnsi="Times New Roman" w:eastAsia="方正黑体_GBK" w:cs="宋体"/>
                <w:color w:val="000000"/>
                <w:kern w:val="0"/>
                <w:sz w:val="30"/>
                <w:szCs w:val="30"/>
              </w:rPr>
              <w:t>金    额</w:t>
            </w:r>
          </w:p>
        </w:tc>
      </w:tr>
      <w:tr>
        <w:tblPrEx>
          <w:tblCellMar>
            <w:top w:w="0" w:type="dxa"/>
            <w:left w:w="108" w:type="dxa"/>
            <w:bottom w:w="0" w:type="dxa"/>
            <w:right w:w="108" w:type="dxa"/>
          </w:tblCellMar>
        </w:tblPrEx>
        <w:trPr>
          <w:trHeight w:val="525" w:hRule="atLeast"/>
          <w:jc w:val="center"/>
        </w:trPr>
        <w:tc>
          <w:tcPr>
            <w:tcW w:w="61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宋体"/>
                <w:color w:val="000000"/>
                <w:kern w:val="0"/>
                <w:sz w:val="30"/>
                <w:szCs w:val="30"/>
              </w:rPr>
            </w:pPr>
            <w:r>
              <w:rPr>
                <w:rFonts w:hint="eastAsia" w:ascii="Times New Roman" w:hAnsi="Times New Roman" w:eastAsia="宋体" w:cs="宋体"/>
                <w:color w:val="000000"/>
                <w:kern w:val="0"/>
                <w:sz w:val="30"/>
                <w:szCs w:val="30"/>
              </w:rPr>
              <w:t>此表无数据</w:t>
            </w:r>
          </w:p>
        </w:tc>
        <w:tc>
          <w:tcPr>
            <w:tcW w:w="470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宋体"/>
                <w:color w:val="000000"/>
                <w:kern w:val="0"/>
                <w:sz w:val="30"/>
                <w:szCs w:val="30"/>
              </w:rPr>
            </w:pPr>
            <w:r>
              <w:rPr>
                <w:rFonts w:hint="eastAsia" w:ascii="Times New Roman" w:hAnsi="Times New Roman" w:eastAsia="宋体" w:cs="宋体"/>
                <w:color w:val="000000"/>
                <w:kern w:val="0"/>
                <w:sz w:val="30"/>
                <w:szCs w:val="30"/>
              </w:rPr>
              <w:t>　</w:t>
            </w:r>
          </w:p>
        </w:tc>
      </w:tr>
    </w:tbl>
    <w:p>
      <w:pPr>
        <w:adjustRightInd w:val="0"/>
        <w:snapToGrid w:val="0"/>
        <w:spacing w:line="600" w:lineRule="exact"/>
        <w:ind w:right="880"/>
        <w:jc w:val="left"/>
        <w:rPr>
          <w:rFonts w:ascii="Times New Roman" w:hAnsi="Times New Roman" w:eastAsia="方正小标宋_GBK"/>
          <w:sz w:val="44"/>
          <w:szCs w:val="44"/>
        </w:rPr>
      </w:pPr>
      <w:r>
        <w:rPr>
          <w:rFonts w:hint="eastAsia" w:ascii="Times New Roman" w:hAnsi="Times New Roman" w:eastAsia="方正仿宋_GBK" w:cs="Times New Roman"/>
          <w:color w:val="000000"/>
          <w:kern w:val="0"/>
          <w:sz w:val="30"/>
          <w:szCs w:val="30"/>
        </w:rPr>
        <w:t>注：</w:t>
      </w:r>
      <w:r>
        <w:rPr>
          <w:rFonts w:ascii="Times New Roman" w:hAnsi="Times New Roman" w:eastAsia="宋体" w:cs="Times New Roman"/>
          <w:color w:val="000000"/>
          <w:kern w:val="0"/>
          <w:sz w:val="30"/>
          <w:szCs w:val="30"/>
        </w:rPr>
        <w:t>2023</w:t>
      </w:r>
      <w:r>
        <w:rPr>
          <w:rFonts w:hint="eastAsia" w:ascii="Times New Roman" w:hAnsi="Times New Roman" w:eastAsia="方正仿宋_GBK" w:cs="Times New Roman"/>
          <w:color w:val="000000"/>
          <w:kern w:val="0"/>
          <w:sz w:val="30"/>
          <w:szCs w:val="30"/>
        </w:rPr>
        <w:t>年无国有资本经营预算上级补助收入。</w:t>
      </w: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tbl>
      <w:tblPr>
        <w:tblStyle w:val="9"/>
        <w:tblW w:w="9020" w:type="dxa"/>
        <w:jc w:val="center"/>
        <w:tblLayout w:type="autofit"/>
        <w:tblCellMar>
          <w:top w:w="0" w:type="dxa"/>
          <w:left w:w="108" w:type="dxa"/>
          <w:bottom w:w="0" w:type="dxa"/>
          <w:right w:w="108" w:type="dxa"/>
        </w:tblCellMar>
      </w:tblPr>
      <w:tblGrid>
        <w:gridCol w:w="3289"/>
        <w:gridCol w:w="1671"/>
        <w:gridCol w:w="2440"/>
        <w:gridCol w:w="1620"/>
      </w:tblGrid>
      <w:tr>
        <w:tblPrEx>
          <w:tblCellMar>
            <w:top w:w="0" w:type="dxa"/>
            <w:left w:w="108" w:type="dxa"/>
            <w:bottom w:w="0" w:type="dxa"/>
            <w:right w:w="108" w:type="dxa"/>
          </w:tblCellMar>
        </w:tblPrEx>
        <w:trPr>
          <w:trHeight w:val="360" w:hRule="atLeast"/>
          <w:jc w:val="center"/>
        </w:trPr>
        <w:tc>
          <w:tcPr>
            <w:tcW w:w="4960" w:type="dxa"/>
            <w:gridSpan w:val="2"/>
            <w:tcBorders>
              <w:top w:val="nil"/>
              <w:left w:val="nil"/>
              <w:bottom w:val="nil"/>
              <w:right w:val="nil"/>
            </w:tcBorders>
            <w:shd w:val="clear" w:color="auto" w:fill="auto"/>
            <w:noWrap/>
            <w:vAlign w:val="center"/>
          </w:tcPr>
          <w:p>
            <w:pPr>
              <w:widowControl/>
              <w:jc w:val="left"/>
              <w:rPr>
                <w:rFonts w:ascii="Times New Roman" w:hAnsi="Times New Roman" w:eastAsia="方正黑体_GBK" w:cs="宋体"/>
                <w:color w:val="000000"/>
                <w:kern w:val="0"/>
                <w:sz w:val="30"/>
                <w:szCs w:val="30"/>
              </w:rPr>
            </w:pPr>
            <w:r>
              <w:rPr>
                <w:rFonts w:hint="eastAsia" w:ascii="Times New Roman" w:hAnsi="Times New Roman" w:eastAsia="方正黑体_GBK" w:cs="宋体"/>
                <w:color w:val="000000"/>
                <w:kern w:val="0"/>
                <w:sz w:val="30"/>
                <w:szCs w:val="30"/>
              </w:rPr>
              <w:t>表27</w:t>
            </w:r>
          </w:p>
        </w:tc>
        <w:tc>
          <w:tcPr>
            <w:tcW w:w="2440" w:type="dxa"/>
            <w:tcBorders>
              <w:top w:val="nil"/>
              <w:left w:val="nil"/>
              <w:bottom w:val="nil"/>
              <w:right w:val="nil"/>
            </w:tcBorders>
            <w:shd w:val="clear" w:color="auto" w:fill="auto"/>
            <w:noWrap/>
            <w:vAlign w:val="bottom"/>
          </w:tcPr>
          <w:p>
            <w:pPr>
              <w:widowControl/>
              <w:jc w:val="left"/>
              <w:rPr>
                <w:rFonts w:ascii="Times New Roman" w:hAnsi="Times New Roman" w:eastAsia="仿宋_GB2312" w:cs="宋体"/>
                <w:kern w:val="0"/>
                <w:sz w:val="30"/>
                <w:szCs w:val="30"/>
              </w:rPr>
            </w:pPr>
          </w:p>
        </w:tc>
        <w:tc>
          <w:tcPr>
            <w:tcW w:w="1620" w:type="dxa"/>
            <w:tcBorders>
              <w:top w:val="nil"/>
              <w:left w:val="nil"/>
              <w:bottom w:val="nil"/>
              <w:right w:val="nil"/>
            </w:tcBorders>
            <w:shd w:val="clear" w:color="auto" w:fill="auto"/>
            <w:noWrap/>
            <w:vAlign w:val="bottom"/>
          </w:tcPr>
          <w:p>
            <w:pPr>
              <w:widowControl/>
              <w:jc w:val="left"/>
              <w:rPr>
                <w:rFonts w:ascii="Times New Roman" w:hAnsi="Times New Roman" w:eastAsia="仿宋_GB2312" w:cs="宋体"/>
                <w:kern w:val="0"/>
                <w:sz w:val="30"/>
                <w:szCs w:val="30"/>
              </w:rPr>
            </w:pPr>
          </w:p>
        </w:tc>
      </w:tr>
      <w:tr>
        <w:tblPrEx>
          <w:tblCellMar>
            <w:top w:w="0" w:type="dxa"/>
            <w:left w:w="108" w:type="dxa"/>
            <w:bottom w:w="0" w:type="dxa"/>
            <w:right w:w="108" w:type="dxa"/>
          </w:tblCellMar>
        </w:tblPrEx>
        <w:trPr>
          <w:trHeight w:val="495" w:hRule="atLeast"/>
          <w:jc w:val="center"/>
        </w:trPr>
        <w:tc>
          <w:tcPr>
            <w:tcW w:w="9020" w:type="dxa"/>
            <w:gridSpan w:val="4"/>
            <w:tcBorders>
              <w:top w:val="nil"/>
              <w:left w:val="nil"/>
              <w:bottom w:val="nil"/>
              <w:right w:val="nil"/>
            </w:tcBorders>
            <w:shd w:val="clear" w:color="000000" w:fill="FFFFFF"/>
            <w:noWrap/>
            <w:vAlign w:val="center"/>
          </w:tcPr>
          <w:p>
            <w:pPr>
              <w:widowControl/>
              <w:jc w:val="center"/>
              <w:rPr>
                <w:rFonts w:ascii="Times New Roman" w:hAnsi="Times New Roman" w:eastAsia="方正小标宋_GBK" w:cs="宋体"/>
                <w:color w:val="000000"/>
                <w:kern w:val="0"/>
                <w:sz w:val="30"/>
                <w:szCs w:val="30"/>
              </w:rPr>
            </w:pPr>
            <w:r>
              <w:rPr>
                <w:rFonts w:hint="eastAsia" w:ascii="Times New Roman" w:hAnsi="Times New Roman" w:eastAsia="方正小标宋_GBK" w:cs="宋体"/>
                <w:color w:val="000000"/>
                <w:kern w:val="0"/>
                <w:sz w:val="30"/>
                <w:szCs w:val="30"/>
              </w:rPr>
              <w:t xml:space="preserve">九龙坡区2023年全区社会保险基金预算收支预算表 </w:t>
            </w:r>
          </w:p>
        </w:tc>
      </w:tr>
      <w:tr>
        <w:tblPrEx>
          <w:tblCellMar>
            <w:top w:w="0" w:type="dxa"/>
            <w:left w:w="108" w:type="dxa"/>
            <w:bottom w:w="0" w:type="dxa"/>
            <w:right w:w="108" w:type="dxa"/>
          </w:tblCellMar>
        </w:tblPrEx>
        <w:trPr>
          <w:trHeight w:val="375" w:hRule="atLeast"/>
          <w:jc w:val="center"/>
        </w:trPr>
        <w:tc>
          <w:tcPr>
            <w:tcW w:w="4960" w:type="dxa"/>
            <w:gridSpan w:val="2"/>
            <w:tcBorders>
              <w:top w:val="nil"/>
              <w:left w:val="nil"/>
              <w:bottom w:val="nil"/>
              <w:right w:val="nil"/>
            </w:tcBorders>
            <w:shd w:val="clear" w:color="000000" w:fill="FFFFFF"/>
            <w:noWrap/>
            <w:vAlign w:val="center"/>
          </w:tcPr>
          <w:p>
            <w:pPr>
              <w:widowControl/>
              <w:jc w:val="center"/>
              <w:rPr>
                <w:rFonts w:ascii="Times New Roman" w:hAnsi="Times New Roman" w:eastAsia="黑体" w:cs="宋体"/>
                <w:kern w:val="0"/>
                <w:sz w:val="30"/>
                <w:szCs w:val="30"/>
              </w:rPr>
            </w:pPr>
            <w:r>
              <w:rPr>
                <w:rFonts w:hint="eastAsia" w:ascii="Times New Roman" w:hAnsi="Times New Roman" w:eastAsia="黑体" w:cs="宋体"/>
                <w:kern w:val="0"/>
                <w:sz w:val="30"/>
                <w:szCs w:val="30"/>
              </w:rPr>
              <w:t>　</w:t>
            </w:r>
          </w:p>
        </w:tc>
        <w:tc>
          <w:tcPr>
            <w:tcW w:w="2440" w:type="dxa"/>
            <w:tcBorders>
              <w:top w:val="nil"/>
              <w:left w:val="nil"/>
              <w:bottom w:val="single" w:color="auto" w:sz="4" w:space="0"/>
              <w:right w:val="nil"/>
            </w:tcBorders>
            <w:shd w:val="clear" w:color="000000" w:fill="FFFFFF"/>
            <w:noWrap/>
            <w:vAlign w:val="center"/>
          </w:tcPr>
          <w:p>
            <w:pPr>
              <w:widowControl/>
              <w:jc w:val="left"/>
              <w:rPr>
                <w:rFonts w:ascii="Times New Roman" w:hAnsi="Times New Roman" w:eastAsia="黑体" w:cs="宋体"/>
                <w:kern w:val="0"/>
                <w:sz w:val="30"/>
                <w:szCs w:val="30"/>
              </w:rPr>
            </w:pPr>
            <w:r>
              <w:rPr>
                <w:rFonts w:hint="eastAsia" w:ascii="Times New Roman" w:hAnsi="Times New Roman" w:eastAsia="黑体" w:cs="宋体"/>
                <w:kern w:val="0"/>
                <w:sz w:val="30"/>
                <w:szCs w:val="30"/>
              </w:rPr>
              <w:t>　</w:t>
            </w:r>
          </w:p>
        </w:tc>
        <w:tc>
          <w:tcPr>
            <w:tcW w:w="1620" w:type="dxa"/>
            <w:tcBorders>
              <w:top w:val="nil"/>
              <w:left w:val="nil"/>
              <w:bottom w:val="nil"/>
              <w:right w:val="nil"/>
            </w:tcBorders>
            <w:shd w:val="clear" w:color="000000" w:fill="FFFFFF"/>
            <w:noWrap/>
            <w:vAlign w:val="center"/>
          </w:tcPr>
          <w:p>
            <w:pPr>
              <w:widowControl/>
              <w:jc w:val="right"/>
              <w:rPr>
                <w:rFonts w:ascii="Times New Roman" w:hAnsi="Times New Roman" w:eastAsia="方正仿宋_GBK" w:cs="宋体"/>
                <w:color w:val="000000"/>
                <w:kern w:val="0"/>
                <w:sz w:val="30"/>
                <w:szCs w:val="30"/>
              </w:rPr>
            </w:pPr>
            <w:r>
              <w:rPr>
                <w:rFonts w:hint="eastAsia" w:ascii="Times New Roman" w:hAnsi="Times New Roman" w:eastAsia="方正仿宋_GBK" w:cs="宋体"/>
                <w:color w:val="000000"/>
                <w:kern w:val="0"/>
                <w:sz w:val="30"/>
                <w:szCs w:val="30"/>
              </w:rPr>
              <w:t>单位：万元</w:t>
            </w:r>
          </w:p>
        </w:tc>
      </w:tr>
      <w:tr>
        <w:tblPrEx>
          <w:tblCellMar>
            <w:top w:w="0" w:type="dxa"/>
            <w:left w:w="108" w:type="dxa"/>
            <w:bottom w:w="0" w:type="dxa"/>
            <w:right w:w="108" w:type="dxa"/>
          </w:tblCellMar>
        </w:tblPrEx>
        <w:trPr>
          <w:trHeight w:val="600" w:hRule="atLeast"/>
          <w:jc w:val="center"/>
        </w:trPr>
        <w:tc>
          <w:tcPr>
            <w:tcW w:w="328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Times New Roman" w:hAnsi="Times New Roman" w:eastAsia="黑体" w:cs="宋体"/>
                <w:kern w:val="0"/>
                <w:sz w:val="30"/>
                <w:szCs w:val="30"/>
              </w:rPr>
            </w:pPr>
            <w:r>
              <w:rPr>
                <w:rFonts w:hint="eastAsia" w:ascii="Times New Roman" w:hAnsi="Times New Roman" w:eastAsia="黑体" w:cs="宋体"/>
                <w:kern w:val="0"/>
                <w:sz w:val="30"/>
                <w:szCs w:val="30"/>
              </w:rPr>
              <w:t>收        入</w:t>
            </w:r>
          </w:p>
        </w:tc>
        <w:tc>
          <w:tcPr>
            <w:tcW w:w="1671"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黑体" w:cs="宋体"/>
                <w:kern w:val="0"/>
                <w:sz w:val="30"/>
                <w:szCs w:val="30"/>
              </w:rPr>
            </w:pPr>
            <w:r>
              <w:rPr>
                <w:rFonts w:hint="eastAsia" w:ascii="Times New Roman" w:hAnsi="Times New Roman" w:eastAsia="黑体" w:cs="宋体"/>
                <w:kern w:val="0"/>
                <w:sz w:val="30"/>
                <w:szCs w:val="30"/>
              </w:rPr>
              <w:t>预算数</w:t>
            </w:r>
          </w:p>
        </w:tc>
        <w:tc>
          <w:tcPr>
            <w:tcW w:w="2440" w:type="dxa"/>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黑体" w:cs="宋体"/>
                <w:kern w:val="0"/>
                <w:sz w:val="30"/>
                <w:szCs w:val="30"/>
              </w:rPr>
            </w:pPr>
            <w:r>
              <w:rPr>
                <w:rFonts w:hint="eastAsia" w:ascii="Times New Roman" w:hAnsi="Times New Roman" w:eastAsia="黑体" w:cs="宋体"/>
                <w:kern w:val="0"/>
                <w:sz w:val="30"/>
                <w:szCs w:val="30"/>
              </w:rPr>
              <w:t>支        出</w:t>
            </w:r>
          </w:p>
        </w:tc>
        <w:tc>
          <w:tcPr>
            <w:tcW w:w="162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黑体" w:cs="宋体"/>
                <w:kern w:val="0"/>
                <w:sz w:val="30"/>
                <w:szCs w:val="30"/>
              </w:rPr>
            </w:pPr>
            <w:r>
              <w:rPr>
                <w:rFonts w:hint="eastAsia" w:ascii="Times New Roman" w:hAnsi="Times New Roman" w:eastAsia="黑体" w:cs="宋体"/>
                <w:kern w:val="0"/>
                <w:sz w:val="30"/>
                <w:szCs w:val="30"/>
              </w:rPr>
              <w:t>预算数</w:t>
            </w:r>
          </w:p>
        </w:tc>
      </w:tr>
      <w:tr>
        <w:tblPrEx>
          <w:tblCellMar>
            <w:top w:w="0" w:type="dxa"/>
            <w:left w:w="108" w:type="dxa"/>
            <w:bottom w:w="0" w:type="dxa"/>
            <w:right w:w="108" w:type="dxa"/>
          </w:tblCellMar>
        </w:tblPrEx>
        <w:trPr>
          <w:trHeight w:val="600" w:hRule="atLeast"/>
          <w:jc w:val="center"/>
        </w:trPr>
        <w:tc>
          <w:tcPr>
            <w:tcW w:w="3289"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Times New Roman" w:hAnsi="Times New Roman" w:eastAsia="方正仿宋_GBK" w:cs="宋体"/>
                <w:color w:val="000000"/>
                <w:kern w:val="0"/>
                <w:sz w:val="30"/>
                <w:szCs w:val="30"/>
              </w:rPr>
            </w:pPr>
            <w:r>
              <w:rPr>
                <w:rFonts w:hint="eastAsia" w:ascii="Times New Roman" w:hAnsi="Times New Roman" w:eastAsia="方正仿宋_GBK" w:cs="宋体"/>
                <w:color w:val="000000"/>
                <w:kern w:val="0"/>
                <w:sz w:val="30"/>
                <w:szCs w:val="30"/>
              </w:rPr>
              <w:t>此表无数据</w:t>
            </w:r>
          </w:p>
        </w:tc>
        <w:tc>
          <w:tcPr>
            <w:tcW w:w="1671" w:type="dxa"/>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黑体" w:cs="宋体"/>
                <w:color w:val="000000"/>
                <w:kern w:val="0"/>
                <w:sz w:val="30"/>
                <w:szCs w:val="30"/>
              </w:rPr>
            </w:pPr>
            <w:r>
              <w:rPr>
                <w:rFonts w:hint="eastAsia" w:ascii="Times New Roman" w:hAnsi="Times New Roman" w:eastAsia="黑体" w:cs="宋体"/>
                <w:color w:val="000000"/>
                <w:kern w:val="0"/>
                <w:sz w:val="30"/>
                <w:szCs w:val="30"/>
              </w:rPr>
              <w:t>　</w:t>
            </w:r>
          </w:p>
        </w:tc>
        <w:tc>
          <w:tcPr>
            <w:tcW w:w="2440" w:type="dxa"/>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黑体" w:cs="宋体"/>
                <w:color w:val="000000"/>
                <w:kern w:val="0"/>
                <w:sz w:val="30"/>
                <w:szCs w:val="30"/>
              </w:rPr>
            </w:pPr>
            <w:r>
              <w:rPr>
                <w:rFonts w:hint="eastAsia" w:ascii="Times New Roman" w:hAnsi="Times New Roman" w:eastAsia="黑体" w:cs="宋体"/>
                <w:color w:val="000000"/>
                <w:kern w:val="0"/>
                <w:sz w:val="30"/>
                <w:szCs w:val="30"/>
              </w:rPr>
              <w:t>　</w:t>
            </w:r>
          </w:p>
        </w:tc>
        <w:tc>
          <w:tcPr>
            <w:tcW w:w="1620" w:type="dxa"/>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黑体" w:cs="宋体"/>
                <w:color w:val="000000"/>
                <w:kern w:val="0"/>
                <w:sz w:val="30"/>
                <w:szCs w:val="30"/>
              </w:rPr>
            </w:pPr>
            <w:r>
              <w:rPr>
                <w:rFonts w:hint="eastAsia" w:ascii="Times New Roman" w:hAnsi="Times New Roman" w:eastAsia="黑体" w:cs="宋体"/>
                <w:color w:val="000000"/>
                <w:kern w:val="0"/>
                <w:sz w:val="30"/>
                <w:szCs w:val="30"/>
              </w:rPr>
              <w:t>　</w:t>
            </w:r>
          </w:p>
        </w:tc>
      </w:tr>
      <w:tr>
        <w:tblPrEx>
          <w:tblCellMar>
            <w:top w:w="0" w:type="dxa"/>
            <w:left w:w="108" w:type="dxa"/>
            <w:bottom w:w="0" w:type="dxa"/>
            <w:right w:w="108" w:type="dxa"/>
          </w:tblCellMar>
        </w:tblPrEx>
        <w:trPr>
          <w:trHeight w:val="510" w:hRule="atLeast"/>
          <w:jc w:val="center"/>
        </w:trPr>
        <w:tc>
          <w:tcPr>
            <w:tcW w:w="9020" w:type="dxa"/>
            <w:gridSpan w:val="4"/>
            <w:tcBorders>
              <w:top w:val="nil"/>
              <w:left w:val="nil"/>
              <w:bottom w:val="nil"/>
              <w:right w:val="nil"/>
            </w:tcBorders>
            <w:shd w:val="clear" w:color="auto" w:fill="auto"/>
            <w:vAlign w:val="center"/>
          </w:tcPr>
          <w:p>
            <w:pPr>
              <w:widowControl/>
              <w:jc w:val="left"/>
              <w:rPr>
                <w:rFonts w:ascii="Times New Roman" w:hAnsi="Times New Roman" w:eastAsia="方正仿宋_GBK" w:cs="宋体"/>
                <w:color w:val="000000"/>
                <w:kern w:val="0"/>
                <w:sz w:val="30"/>
                <w:szCs w:val="30"/>
              </w:rPr>
            </w:pPr>
            <w:r>
              <w:rPr>
                <w:rFonts w:hint="eastAsia" w:ascii="Times New Roman" w:hAnsi="Times New Roman" w:eastAsia="方正仿宋_GBK" w:cs="宋体"/>
                <w:color w:val="000000"/>
                <w:kern w:val="0"/>
                <w:sz w:val="30"/>
                <w:szCs w:val="30"/>
              </w:rPr>
              <w:t>说明：社会保险基金全市统筹，我区社保基金预算统一由市级公开。</w:t>
            </w:r>
          </w:p>
        </w:tc>
      </w:tr>
    </w:tbl>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center"/>
        <w:rPr>
          <w:rFonts w:ascii="Times New Roman" w:hAnsi="Times New Roman" w:eastAsia="方正小标宋_GBK"/>
          <w:sz w:val="44"/>
          <w:szCs w:val="44"/>
        </w:rPr>
      </w:pPr>
    </w:p>
    <w:p>
      <w:pPr>
        <w:adjustRightInd w:val="0"/>
        <w:snapToGrid w:val="0"/>
        <w:spacing w:line="600" w:lineRule="exact"/>
        <w:ind w:right="880"/>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表28</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九龙坡区2023年“三公”经费预算表</w:t>
      </w:r>
    </w:p>
    <w:p>
      <w:pPr>
        <w:widowControl/>
        <w:adjustRightInd w:val="0"/>
        <w:snapToGrid w:val="0"/>
        <w:spacing w:line="500" w:lineRule="exact"/>
        <w:ind w:right="-227" w:rightChars="-108"/>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w:t>
      </w:r>
      <w:r>
        <w:rPr>
          <w:rFonts w:hint="eastAsia" w:ascii="Times New Roman" w:hAnsi="Times New Roman" w:eastAsia="方正仿宋_GBK" w:cs="Times New Roman"/>
          <w:kern w:val="0"/>
          <w:sz w:val="28"/>
          <w:szCs w:val="28"/>
        </w:rPr>
        <w:t>万</w:t>
      </w:r>
      <w:r>
        <w:rPr>
          <w:rFonts w:ascii="Times New Roman" w:hAnsi="Times New Roman" w:eastAsia="方正仿宋_GBK" w:cs="Times New Roman"/>
          <w:kern w:val="0"/>
          <w:sz w:val="28"/>
          <w:szCs w:val="28"/>
        </w:rPr>
        <w:t>元</w:t>
      </w:r>
    </w:p>
    <w:tbl>
      <w:tblPr>
        <w:tblStyle w:val="9"/>
        <w:tblW w:w="9993" w:type="dxa"/>
        <w:jc w:val="center"/>
        <w:tblLayout w:type="autofit"/>
        <w:tblCellMar>
          <w:top w:w="0" w:type="dxa"/>
          <w:left w:w="108" w:type="dxa"/>
          <w:bottom w:w="0" w:type="dxa"/>
          <w:right w:w="108" w:type="dxa"/>
        </w:tblCellMar>
      </w:tblPr>
      <w:tblGrid>
        <w:gridCol w:w="4034"/>
        <w:gridCol w:w="1276"/>
        <w:gridCol w:w="1430"/>
        <w:gridCol w:w="3253"/>
      </w:tblGrid>
      <w:tr>
        <w:tblPrEx>
          <w:tblCellMar>
            <w:top w:w="0" w:type="dxa"/>
            <w:left w:w="108" w:type="dxa"/>
            <w:bottom w:w="0" w:type="dxa"/>
            <w:right w:w="108" w:type="dxa"/>
          </w:tblCellMar>
        </w:tblPrEx>
        <w:trPr>
          <w:trHeight w:val="870" w:hRule="atLeast"/>
          <w:jc w:val="center"/>
        </w:trPr>
        <w:tc>
          <w:tcPr>
            <w:tcW w:w="4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宋体" w:cs="Times New Roman"/>
                <w:kern w:val="0"/>
                <w:sz w:val="30"/>
                <w:szCs w:val="30"/>
              </w:rPr>
            </w:pPr>
            <w:r>
              <w:rPr>
                <w:rFonts w:hint="eastAsia" w:ascii="Times New Roman" w:hAnsi="Times New Roman" w:eastAsia="方正黑体_GBK" w:cs="Times New Roman"/>
                <w:kern w:val="0"/>
                <w:sz w:val="30"/>
                <w:szCs w:val="30"/>
              </w:rPr>
              <w:t>项</w:t>
            </w:r>
            <w:r>
              <w:rPr>
                <w:rFonts w:ascii="Times New Roman" w:hAnsi="Times New Roman" w:eastAsia="宋体" w:cs="Times New Roman"/>
                <w:kern w:val="0"/>
                <w:sz w:val="30"/>
                <w:szCs w:val="30"/>
              </w:rPr>
              <w:t xml:space="preserve">      </w:t>
            </w:r>
            <w:r>
              <w:rPr>
                <w:rFonts w:hint="eastAsia" w:ascii="Times New Roman" w:hAnsi="Times New Roman" w:eastAsia="方正黑体_GBK" w:cs="Times New Roman"/>
                <w:kern w:val="0"/>
                <w:sz w:val="30"/>
                <w:szCs w:val="30"/>
              </w:rPr>
              <w:t>目</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宋体" w:cs="Times New Roman"/>
                <w:kern w:val="0"/>
                <w:sz w:val="30"/>
                <w:szCs w:val="30"/>
              </w:rPr>
            </w:pPr>
            <w:r>
              <w:rPr>
                <w:rFonts w:ascii="Times New Roman" w:hAnsi="Times New Roman" w:eastAsia="宋体" w:cs="Times New Roman"/>
                <w:kern w:val="0"/>
                <w:sz w:val="30"/>
                <w:szCs w:val="30"/>
              </w:rPr>
              <w:t>2022</w:t>
            </w:r>
            <w:r>
              <w:rPr>
                <w:rFonts w:hint="eastAsia" w:ascii="Times New Roman" w:hAnsi="Times New Roman" w:eastAsia="方正黑体_GBK" w:cs="Times New Roman"/>
                <w:kern w:val="0"/>
                <w:sz w:val="30"/>
                <w:szCs w:val="30"/>
              </w:rPr>
              <w:t>年预算数</w:t>
            </w:r>
          </w:p>
        </w:tc>
        <w:tc>
          <w:tcPr>
            <w:tcW w:w="143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宋体" w:cs="Times New Roman"/>
                <w:kern w:val="0"/>
                <w:sz w:val="30"/>
                <w:szCs w:val="30"/>
              </w:rPr>
            </w:pPr>
            <w:r>
              <w:rPr>
                <w:rFonts w:ascii="Times New Roman" w:hAnsi="Times New Roman" w:eastAsia="宋体" w:cs="Times New Roman"/>
                <w:kern w:val="0"/>
                <w:sz w:val="30"/>
                <w:szCs w:val="30"/>
              </w:rPr>
              <w:t>2023</w:t>
            </w:r>
            <w:r>
              <w:rPr>
                <w:rFonts w:hint="eastAsia" w:ascii="Times New Roman" w:hAnsi="Times New Roman" w:eastAsia="方正黑体_GBK" w:cs="Times New Roman"/>
                <w:kern w:val="0"/>
                <w:sz w:val="30"/>
                <w:szCs w:val="30"/>
              </w:rPr>
              <w:t>年预算数</w:t>
            </w:r>
          </w:p>
        </w:tc>
        <w:tc>
          <w:tcPr>
            <w:tcW w:w="325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宋体" w:cs="Times New Roman"/>
                <w:kern w:val="0"/>
                <w:sz w:val="30"/>
                <w:szCs w:val="30"/>
              </w:rPr>
            </w:pPr>
            <w:r>
              <w:rPr>
                <w:rFonts w:hint="eastAsia" w:ascii="Times New Roman" w:hAnsi="Times New Roman" w:eastAsia="方正黑体_GBK" w:cs="Times New Roman"/>
                <w:kern w:val="0"/>
                <w:sz w:val="30"/>
                <w:szCs w:val="30"/>
              </w:rPr>
              <w:t>较</w:t>
            </w:r>
            <w:r>
              <w:rPr>
                <w:rFonts w:ascii="Times New Roman" w:hAnsi="Times New Roman" w:eastAsia="宋体" w:cs="Times New Roman"/>
                <w:kern w:val="0"/>
                <w:sz w:val="30"/>
                <w:szCs w:val="30"/>
              </w:rPr>
              <w:t>2022</w:t>
            </w:r>
            <w:r>
              <w:rPr>
                <w:rFonts w:hint="eastAsia" w:ascii="Times New Roman" w:hAnsi="Times New Roman" w:eastAsia="方正黑体_GBK" w:cs="Times New Roman"/>
                <w:kern w:val="0"/>
                <w:sz w:val="30"/>
                <w:szCs w:val="30"/>
              </w:rPr>
              <w:t>年预算增幅</w:t>
            </w:r>
            <w:r>
              <w:rPr>
                <w:rFonts w:ascii="Times New Roman" w:hAnsi="Times New Roman" w:eastAsia="宋体" w:cs="Times New Roman"/>
                <w:kern w:val="0"/>
                <w:sz w:val="30"/>
                <w:szCs w:val="30"/>
              </w:rPr>
              <w:t>%</w:t>
            </w:r>
          </w:p>
        </w:tc>
      </w:tr>
      <w:tr>
        <w:tblPrEx>
          <w:tblCellMar>
            <w:top w:w="0" w:type="dxa"/>
            <w:left w:w="108" w:type="dxa"/>
            <w:bottom w:w="0" w:type="dxa"/>
            <w:right w:w="108" w:type="dxa"/>
          </w:tblCellMar>
        </w:tblPrEx>
        <w:trPr>
          <w:trHeight w:val="870" w:hRule="atLeast"/>
          <w:jc w:val="center"/>
        </w:trPr>
        <w:tc>
          <w:tcPr>
            <w:tcW w:w="403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center"/>
              <w:rPr>
                <w:rFonts w:ascii="Times New Roman" w:hAnsi="Times New Roman" w:eastAsia="方正黑体_GBK" w:cs="宋体"/>
                <w:kern w:val="0"/>
                <w:sz w:val="30"/>
                <w:szCs w:val="30"/>
              </w:rPr>
            </w:pPr>
            <w:r>
              <w:rPr>
                <w:rFonts w:hint="eastAsia" w:ascii="Times New Roman" w:hAnsi="Times New Roman" w:eastAsia="方正黑体_GBK" w:cs="宋体"/>
                <w:kern w:val="0"/>
                <w:sz w:val="30"/>
                <w:szCs w:val="30"/>
              </w:rPr>
              <w:t xml:space="preserve">合    计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30"/>
                <w:szCs w:val="30"/>
              </w:rPr>
            </w:pPr>
            <w:r>
              <w:rPr>
                <w:rFonts w:ascii="Times New Roman" w:hAnsi="Times New Roman" w:eastAsia="宋体" w:cs="Times New Roman"/>
                <w:bCs/>
                <w:kern w:val="0"/>
                <w:sz w:val="30"/>
                <w:szCs w:val="30"/>
              </w:rPr>
              <w:t xml:space="preserve">3292 </w:t>
            </w:r>
          </w:p>
        </w:tc>
        <w:tc>
          <w:tcPr>
            <w:tcW w:w="143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bCs/>
                <w:kern w:val="0"/>
                <w:sz w:val="30"/>
                <w:szCs w:val="30"/>
              </w:rPr>
            </w:pPr>
            <w:r>
              <w:rPr>
                <w:rFonts w:ascii="Times New Roman" w:hAnsi="Times New Roman" w:eastAsia="宋体" w:cs="Times New Roman"/>
                <w:bCs/>
                <w:kern w:val="0"/>
                <w:sz w:val="30"/>
                <w:szCs w:val="30"/>
              </w:rPr>
              <w:t xml:space="preserve">3292 </w:t>
            </w:r>
          </w:p>
        </w:tc>
        <w:tc>
          <w:tcPr>
            <w:tcW w:w="325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t xml:space="preserve">0.0 </w:t>
            </w:r>
          </w:p>
        </w:tc>
      </w:tr>
      <w:tr>
        <w:tblPrEx>
          <w:tblCellMar>
            <w:top w:w="0" w:type="dxa"/>
            <w:left w:w="108" w:type="dxa"/>
            <w:bottom w:w="0" w:type="dxa"/>
            <w:right w:w="108" w:type="dxa"/>
          </w:tblCellMar>
        </w:tblPrEx>
        <w:trPr>
          <w:trHeight w:val="870" w:hRule="atLeast"/>
          <w:jc w:val="center"/>
        </w:trPr>
        <w:tc>
          <w:tcPr>
            <w:tcW w:w="403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 w:val="30"/>
                <w:szCs w:val="30"/>
              </w:rPr>
            </w:pPr>
            <w:r>
              <w:rPr>
                <w:rFonts w:ascii="Times New Roman" w:hAnsi="Times New Roman" w:eastAsia="宋体" w:cs="Times New Roman"/>
                <w:kern w:val="0"/>
                <w:sz w:val="30"/>
                <w:szCs w:val="30"/>
              </w:rPr>
              <w:t>1</w:t>
            </w:r>
            <w:r>
              <w:rPr>
                <w:rFonts w:hint="eastAsia" w:ascii="Times New Roman" w:hAnsi="Times New Roman" w:eastAsia="方正仿宋_GBK" w:cs="Times New Roman"/>
                <w:kern w:val="0"/>
                <w:sz w:val="30"/>
                <w:szCs w:val="30"/>
              </w:rPr>
              <w:t>、因公出国（境）费用</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30"/>
                <w:szCs w:val="30"/>
              </w:rPr>
            </w:pPr>
            <w:r>
              <w:rPr>
                <w:rFonts w:ascii="Times New Roman" w:hAnsi="Times New Roman" w:eastAsia="宋体" w:cs="Times New Roman"/>
                <w:kern w:val="0"/>
                <w:sz w:val="30"/>
                <w:szCs w:val="30"/>
              </w:rPr>
              <w:t xml:space="preserve">0 </w:t>
            </w:r>
          </w:p>
        </w:tc>
        <w:tc>
          <w:tcPr>
            <w:tcW w:w="143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30"/>
                <w:szCs w:val="30"/>
              </w:rPr>
            </w:pPr>
            <w:r>
              <w:rPr>
                <w:rFonts w:ascii="Times New Roman" w:hAnsi="Times New Roman" w:eastAsia="宋体" w:cs="Times New Roman"/>
                <w:kern w:val="0"/>
                <w:sz w:val="30"/>
                <w:szCs w:val="30"/>
              </w:rPr>
              <w:t xml:space="preserve">8 </w:t>
            </w:r>
          </w:p>
        </w:tc>
        <w:tc>
          <w:tcPr>
            <w:tcW w:w="325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t xml:space="preserve">100.0 </w:t>
            </w:r>
          </w:p>
        </w:tc>
      </w:tr>
      <w:tr>
        <w:tblPrEx>
          <w:tblCellMar>
            <w:top w:w="0" w:type="dxa"/>
            <w:left w:w="108" w:type="dxa"/>
            <w:bottom w:w="0" w:type="dxa"/>
            <w:right w:w="108" w:type="dxa"/>
          </w:tblCellMar>
        </w:tblPrEx>
        <w:trPr>
          <w:trHeight w:val="870" w:hRule="atLeast"/>
          <w:jc w:val="center"/>
        </w:trPr>
        <w:tc>
          <w:tcPr>
            <w:tcW w:w="403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 w:val="30"/>
                <w:szCs w:val="30"/>
              </w:rPr>
            </w:pPr>
            <w:r>
              <w:rPr>
                <w:rFonts w:ascii="Times New Roman" w:hAnsi="Times New Roman" w:eastAsia="宋体" w:cs="Times New Roman"/>
                <w:kern w:val="0"/>
                <w:sz w:val="30"/>
                <w:szCs w:val="30"/>
              </w:rPr>
              <w:t>2</w:t>
            </w:r>
            <w:r>
              <w:rPr>
                <w:rFonts w:hint="eastAsia" w:ascii="Times New Roman" w:hAnsi="Times New Roman" w:eastAsia="方正仿宋_GBK" w:cs="Times New Roman"/>
                <w:kern w:val="0"/>
                <w:sz w:val="30"/>
                <w:szCs w:val="30"/>
              </w:rPr>
              <w:t>、公务接待费</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30"/>
                <w:szCs w:val="30"/>
              </w:rPr>
            </w:pPr>
            <w:r>
              <w:rPr>
                <w:rFonts w:ascii="Times New Roman" w:hAnsi="Times New Roman" w:eastAsia="宋体" w:cs="Times New Roman"/>
                <w:kern w:val="0"/>
                <w:sz w:val="30"/>
                <w:szCs w:val="30"/>
              </w:rPr>
              <w:t xml:space="preserve">388 </w:t>
            </w:r>
          </w:p>
        </w:tc>
        <w:tc>
          <w:tcPr>
            <w:tcW w:w="143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30"/>
                <w:szCs w:val="30"/>
              </w:rPr>
            </w:pPr>
            <w:r>
              <w:rPr>
                <w:rFonts w:ascii="Times New Roman" w:hAnsi="Times New Roman" w:eastAsia="宋体" w:cs="Times New Roman"/>
                <w:kern w:val="0"/>
                <w:sz w:val="30"/>
                <w:szCs w:val="30"/>
              </w:rPr>
              <w:t xml:space="preserve">321 </w:t>
            </w:r>
          </w:p>
        </w:tc>
        <w:tc>
          <w:tcPr>
            <w:tcW w:w="325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t xml:space="preserve">-17.3 </w:t>
            </w:r>
          </w:p>
        </w:tc>
      </w:tr>
      <w:tr>
        <w:tblPrEx>
          <w:tblCellMar>
            <w:top w:w="0" w:type="dxa"/>
            <w:left w:w="108" w:type="dxa"/>
            <w:bottom w:w="0" w:type="dxa"/>
            <w:right w:w="108" w:type="dxa"/>
          </w:tblCellMar>
        </w:tblPrEx>
        <w:trPr>
          <w:trHeight w:val="870" w:hRule="atLeast"/>
          <w:jc w:val="center"/>
        </w:trPr>
        <w:tc>
          <w:tcPr>
            <w:tcW w:w="403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40" w:lineRule="exact"/>
              <w:jc w:val="left"/>
              <w:rPr>
                <w:rFonts w:ascii="Times New Roman" w:hAnsi="Times New Roman" w:eastAsia="宋体" w:cs="Times New Roman"/>
                <w:kern w:val="0"/>
                <w:sz w:val="30"/>
                <w:szCs w:val="30"/>
              </w:rPr>
            </w:pPr>
            <w:r>
              <w:rPr>
                <w:rFonts w:ascii="Times New Roman" w:hAnsi="Times New Roman" w:eastAsia="宋体" w:cs="Times New Roman"/>
                <w:kern w:val="0"/>
                <w:sz w:val="30"/>
                <w:szCs w:val="30"/>
              </w:rPr>
              <w:t>3</w:t>
            </w:r>
            <w:r>
              <w:rPr>
                <w:rFonts w:hint="eastAsia" w:ascii="Times New Roman" w:hAnsi="Times New Roman" w:eastAsia="方正仿宋_GBK" w:cs="Times New Roman"/>
                <w:kern w:val="0"/>
                <w:sz w:val="30"/>
                <w:szCs w:val="30"/>
              </w:rPr>
              <w:t>、公务用车购置及运行维护费</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30"/>
                <w:szCs w:val="30"/>
              </w:rPr>
            </w:pPr>
            <w:r>
              <w:rPr>
                <w:rFonts w:ascii="Times New Roman" w:hAnsi="Times New Roman" w:eastAsia="宋体" w:cs="Times New Roman"/>
                <w:kern w:val="0"/>
                <w:sz w:val="30"/>
                <w:szCs w:val="30"/>
              </w:rPr>
              <w:t xml:space="preserve">2904 </w:t>
            </w:r>
          </w:p>
        </w:tc>
        <w:tc>
          <w:tcPr>
            <w:tcW w:w="143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30"/>
                <w:szCs w:val="30"/>
              </w:rPr>
            </w:pPr>
            <w:r>
              <w:rPr>
                <w:rFonts w:ascii="Times New Roman" w:hAnsi="Times New Roman" w:eastAsia="宋体" w:cs="Times New Roman"/>
                <w:kern w:val="0"/>
                <w:sz w:val="30"/>
                <w:szCs w:val="30"/>
              </w:rPr>
              <w:t xml:space="preserve">2963 </w:t>
            </w:r>
          </w:p>
        </w:tc>
        <w:tc>
          <w:tcPr>
            <w:tcW w:w="325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t xml:space="preserve">2.0 </w:t>
            </w:r>
          </w:p>
        </w:tc>
      </w:tr>
      <w:tr>
        <w:tblPrEx>
          <w:tblCellMar>
            <w:top w:w="0" w:type="dxa"/>
            <w:left w:w="108" w:type="dxa"/>
            <w:bottom w:w="0" w:type="dxa"/>
            <w:right w:w="108" w:type="dxa"/>
          </w:tblCellMar>
        </w:tblPrEx>
        <w:trPr>
          <w:trHeight w:val="870" w:hRule="atLeast"/>
          <w:jc w:val="center"/>
        </w:trPr>
        <w:tc>
          <w:tcPr>
            <w:tcW w:w="403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40" w:lineRule="exact"/>
              <w:ind w:firstLine="300" w:firstLineChars="100"/>
              <w:jc w:val="left"/>
              <w:rPr>
                <w:rFonts w:ascii="Times New Roman" w:hAnsi="Times New Roman" w:eastAsia="宋体" w:cs="Times New Roman"/>
                <w:kern w:val="0"/>
                <w:sz w:val="30"/>
                <w:szCs w:val="30"/>
              </w:rPr>
            </w:pPr>
            <w:r>
              <w:rPr>
                <w:rFonts w:hint="eastAsia" w:ascii="Times New Roman" w:hAnsi="Times New Roman" w:eastAsia="方正仿宋_GBK" w:cs="Times New Roman"/>
                <w:kern w:val="0"/>
                <w:sz w:val="30"/>
                <w:szCs w:val="30"/>
              </w:rPr>
              <w:t>其中：（</w:t>
            </w:r>
            <w:r>
              <w:rPr>
                <w:rFonts w:ascii="Times New Roman" w:hAnsi="Times New Roman" w:eastAsia="宋体" w:cs="Times New Roman"/>
                <w:kern w:val="0"/>
                <w:sz w:val="30"/>
                <w:szCs w:val="30"/>
              </w:rPr>
              <w:t>1</w:t>
            </w:r>
            <w:r>
              <w:rPr>
                <w:rFonts w:hint="eastAsia" w:ascii="Times New Roman" w:hAnsi="Times New Roman" w:eastAsia="方正仿宋_GBK" w:cs="Times New Roman"/>
                <w:kern w:val="0"/>
                <w:sz w:val="30"/>
                <w:szCs w:val="30"/>
              </w:rPr>
              <w:t>）公务用车运行维护费</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30"/>
                <w:szCs w:val="30"/>
              </w:rPr>
            </w:pPr>
            <w:r>
              <w:rPr>
                <w:rFonts w:ascii="Times New Roman" w:hAnsi="Times New Roman" w:eastAsia="宋体" w:cs="Times New Roman"/>
                <w:kern w:val="0"/>
                <w:sz w:val="30"/>
                <w:szCs w:val="30"/>
              </w:rPr>
              <w:t xml:space="preserve">2266 </w:t>
            </w:r>
          </w:p>
        </w:tc>
        <w:tc>
          <w:tcPr>
            <w:tcW w:w="143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30"/>
                <w:szCs w:val="30"/>
              </w:rPr>
            </w:pPr>
            <w:r>
              <w:rPr>
                <w:rFonts w:ascii="Times New Roman" w:hAnsi="Times New Roman" w:eastAsia="宋体" w:cs="Times New Roman"/>
                <w:kern w:val="0"/>
                <w:sz w:val="30"/>
                <w:szCs w:val="30"/>
              </w:rPr>
              <w:t xml:space="preserve">2205 </w:t>
            </w:r>
          </w:p>
        </w:tc>
        <w:tc>
          <w:tcPr>
            <w:tcW w:w="325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t xml:space="preserve">-2.7 </w:t>
            </w:r>
          </w:p>
        </w:tc>
      </w:tr>
      <w:tr>
        <w:tblPrEx>
          <w:tblCellMar>
            <w:top w:w="0" w:type="dxa"/>
            <w:left w:w="108" w:type="dxa"/>
            <w:bottom w:w="0" w:type="dxa"/>
            <w:right w:w="108" w:type="dxa"/>
          </w:tblCellMar>
        </w:tblPrEx>
        <w:trPr>
          <w:trHeight w:val="870" w:hRule="atLeast"/>
          <w:jc w:val="center"/>
        </w:trPr>
        <w:tc>
          <w:tcPr>
            <w:tcW w:w="403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40" w:lineRule="exact"/>
              <w:jc w:val="left"/>
              <w:rPr>
                <w:rFonts w:ascii="Times New Roman" w:hAnsi="Times New Roman" w:eastAsia="宋体" w:cs="Times New Roman"/>
                <w:kern w:val="0"/>
                <w:sz w:val="30"/>
                <w:szCs w:val="30"/>
              </w:rPr>
            </w:pPr>
            <w:r>
              <w:rPr>
                <w:rFonts w:ascii="Times New Roman" w:hAnsi="Times New Roman" w:eastAsia="宋体" w:cs="Times New Roman"/>
                <w:kern w:val="0"/>
                <w:sz w:val="30"/>
                <w:szCs w:val="30"/>
              </w:rPr>
              <w:t xml:space="preserve">        </w:t>
            </w:r>
            <w:r>
              <w:rPr>
                <w:rFonts w:hint="eastAsia" w:ascii="Times New Roman" w:hAnsi="Times New Roman" w:eastAsia="方正仿宋_GBK" w:cs="Times New Roman"/>
                <w:kern w:val="0"/>
                <w:sz w:val="30"/>
                <w:szCs w:val="30"/>
              </w:rPr>
              <w:t>（</w:t>
            </w:r>
            <w:r>
              <w:rPr>
                <w:rFonts w:ascii="Times New Roman" w:hAnsi="Times New Roman" w:eastAsia="宋体" w:cs="Times New Roman"/>
                <w:kern w:val="0"/>
                <w:sz w:val="30"/>
                <w:szCs w:val="30"/>
              </w:rPr>
              <w:t>2</w:t>
            </w:r>
            <w:r>
              <w:rPr>
                <w:rFonts w:hint="eastAsia" w:ascii="Times New Roman" w:hAnsi="Times New Roman" w:eastAsia="方正仿宋_GBK" w:cs="Times New Roman"/>
                <w:kern w:val="0"/>
                <w:sz w:val="30"/>
                <w:szCs w:val="30"/>
              </w:rPr>
              <w:t>）公务用车购置费</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30"/>
                <w:szCs w:val="30"/>
              </w:rPr>
            </w:pPr>
            <w:r>
              <w:rPr>
                <w:rFonts w:ascii="Times New Roman" w:hAnsi="Times New Roman" w:eastAsia="宋体" w:cs="Times New Roman"/>
                <w:kern w:val="0"/>
                <w:sz w:val="30"/>
                <w:szCs w:val="30"/>
              </w:rPr>
              <w:t xml:space="preserve">638 </w:t>
            </w:r>
          </w:p>
        </w:tc>
        <w:tc>
          <w:tcPr>
            <w:tcW w:w="143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kern w:val="0"/>
                <w:sz w:val="30"/>
                <w:szCs w:val="30"/>
              </w:rPr>
            </w:pPr>
            <w:r>
              <w:rPr>
                <w:rFonts w:ascii="Times New Roman" w:hAnsi="Times New Roman" w:eastAsia="宋体" w:cs="Times New Roman"/>
                <w:kern w:val="0"/>
                <w:sz w:val="30"/>
                <w:szCs w:val="30"/>
              </w:rPr>
              <w:t xml:space="preserve">758 </w:t>
            </w:r>
          </w:p>
        </w:tc>
        <w:tc>
          <w:tcPr>
            <w:tcW w:w="3253"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40" w:lineRule="exact"/>
              <w:jc w:val="right"/>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t xml:space="preserve">18.8 </w:t>
            </w:r>
          </w:p>
        </w:tc>
      </w:tr>
      <w:tr>
        <w:tblPrEx>
          <w:tblCellMar>
            <w:top w:w="0" w:type="dxa"/>
            <w:left w:w="108" w:type="dxa"/>
            <w:bottom w:w="0" w:type="dxa"/>
            <w:right w:w="108" w:type="dxa"/>
          </w:tblCellMar>
        </w:tblPrEx>
        <w:trPr>
          <w:trHeight w:val="1920" w:hRule="atLeast"/>
          <w:jc w:val="center"/>
        </w:trPr>
        <w:tc>
          <w:tcPr>
            <w:tcW w:w="9993" w:type="dxa"/>
            <w:gridSpan w:val="4"/>
            <w:tcBorders>
              <w:top w:val="nil"/>
              <w:left w:val="nil"/>
              <w:bottom w:val="nil"/>
              <w:right w:val="nil"/>
            </w:tcBorders>
            <w:shd w:val="clear" w:color="auto" w:fill="auto"/>
            <w:vAlign w:val="center"/>
          </w:tcPr>
          <w:p>
            <w:pPr>
              <w:widowControl/>
              <w:adjustRightInd w:val="0"/>
              <w:snapToGrid w:val="0"/>
              <w:spacing w:line="340" w:lineRule="exact"/>
              <w:ind w:left="1050" w:hanging="1050" w:hangingChars="350"/>
              <w:jc w:val="left"/>
              <w:rPr>
                <w:rFonts w:ascii="Times New Roman" w:hAnsi="Times New Roman" w:eastAsia="宋体" w:cs="Times New Roman"/>
                <w:kern w:val="0"/>
                <w:sz w:val="30"/>
                <w:szCs w:val="30"/>
              </w:rPr>
            </w:pPr>
            <w:r>
              <w:rPr>
                <w:rFonts w:hint="eastAsia" w:ascii="Times New Roman" w:hAnsi="Times New Roman" w:eastAsia="方正仿宋_GBK" w:cs="Times New Roman"/>
                <w:kern w:val="0"/>
                <w:sz w:val="30"/>
                <w:szCs w:val="30"/>
              </w:rPr>
              <w:t>说明：</w:t>
            </w:r>
            <w:r>
              <w:rPr>
                <w:rFonts w:ascii="Times New Roman" w:hAnsi="Times New Roman" w:eastAsia="宋体" w:cs="Times New Roman"/>
                <w:kern w:val="0"/>
                <w:sz w:val="30"/>
                <w:szCs w:val="30"/>
              </w:rPr>
              <w:t>1.</w:t>
            </w:r>
            <w:r>
              <w:rPr>
                <w:rFonts w:hint="eastAsia" w:ascii="Times New Roman" w:hAnsi="Times New Roman" w:eastAsia="方正仿宋_GBK" w:cs="Times New Roman"/>
                <w:kern w:val="0"/>
                <w:sz w:val="30"/>
                <w:szCs w:val="30"/>
              </w:rPr>
              <w:t>按照党中央、国务院有关文件及部门预算管理有关规定，</w:t>
            </w:r>
            <w:r>
              <w:rPr>
                <w:rFonts w:ascii="Times New Roman" w:hAnsi="Times New Roman" w:eastAsia="宋体" w:cs="Times New Roman"/>
                <w:kern w:val="0"/>
                <w:sz w:val="30"/>
                <w:szCs w:val="30"/>
              </w:rPr>
              <w:t>“</w:t>
            </w:r>
            <w:r>
              <w:rPr>
                <w:rFonts w:hint="eastAsia" w:ascii="Times New Roman" w:hAnsi="Times New Roman" w:eastAsia="方正仿宋_GBK" w:cs="Times New Roman"/>
                <w:kern w:val="0"/>
                <w:sz w:val="30"/>
                <w:szCs w:val="30"/>
              </w:rPr>
              <w:t>三公</w:t>
            </w:r>
            <w:r>
              <w:rPr>
                <w:rFonts w:ascii="Times New Roman" w:hAnsi="Times New Roman" w:eastAsia="宋体" w:cs="Times New Roman"/>
                <w:kern w:val="0"/>
                <w:sz w:val="30"/>
                <w:szCs w:val="30"/>
              </w:rPr>
              <w:t>”</w:t>
            </w:r>
            <w:r>
              <w:rPr>
                <w:rFonts w:hint="eastAsia" w:ascii="Times New Roman" w:hAnsi="Times New Roman" w:eastAsia="方正仿宋_GBK" w:cs="Times New Roman"/>
                <w:kern w:val="0"/>
                <w:sz w:val="30"/>
                <w:szCs w:val="30"/>
              </w:rPr>
              <w:t>经费包括因公出国（境）费、公务用车购置及运行费和公务接待费。（</w:t>
            </w:r>
            <w:r>
              <w:rPr>
                <w:rFonts w:ascii="Times New Roman" w:hAnsi="Times New Roman" w:eastAsia="宋体" w:cs="Times New Roman"/>
                <w:kern w:val="0"/>
                <w:sz w:val="30"/>
                <w:szCs w:val="30"/>
              </w:rPr>
              <w:t>1</w:t>
            </w:r>
            <w:r>
              <w:rPr>
                <w:rFonts w:hint="eastAsia" w:ascii="Times New Roman" w:hAnsi="Times New Roman" w:eastAsia="方正仿宋_GBK" w:cs="Times New Roman"/>
                <w:kern w:val="0"/>
                <w:sz w:val="30"/>
                <w:szCs w:val="30"/>
              </w:rPr>
              <w:t>）因公出国（境）费，指单位工作人员公务出国（境）的住宿费、旅费、伙食补助费、杂费、培训费等支出。（</w:t>
            </w:r>
            <w:r>
              <w:rPr>
                <w:rFonts w:ascii="Times New Roman" w:hAnsi="Times New Roman" w:eastAsia="宋体" w:cs="Times New Roman"/>
                <w:kern w:val="0"/>
                <w:sz w:val="30"/>
                <w:szCs w:val="30"/>
              </w:rPr>
              <w:t>2</w:t>
            </w:r>
            <w:r>
              <w:rPr>
                <w:rFonts w:hint="eastAsia" w:ascii="Times New Roman" w:hAnsi="Times New Roman" w:eastAsia="方正仿宋_GBK" w:cs="Times New Roman"/>
                <w:kern w:val="0"/>
                <w:sz w:val="30"/>
                <w:szCs w:val="30"/>
              </w:rPr>
              <w:t>）公务用车购置及运行费，指单位公务用车购置费及租用费、燃料费、维修费、过路过桥费、保险费、安全奖励费用等支出，公务用车指用于履行公务的机动车辆，包括领导干部专车、一般公务用车和执法执勤用车。（</w:t>
            </w:r>
            <w:r>
              <w:rPr>
                <w:rFonts w:ascii="Times New Roman" w:hAnsi="Times New Roman" w:eastAsia="宋体" w:cs="Times New Roman"/>
                <w:kern w:val="0"/>
                <w:sz w:val="30"/>
                <w:szCs w:val="30"/>
              </w:rPr>
              <w:t>3</w:t>
            </w:r>
            <w:r>
              <w:rPr>
                <w:rFonts w:hint="eastAsia" w:ascii="Times New Roman" w:hAnsi="Times New Roman" w:eastAsia="方正仿宋_GBK" w:cs="Times New Roman"/>
                <w:kern w:val="0"/>
                <w:sz w:val="30"/>
                <w:szCs w:val="30"/>
              </w:rPr>
              <w:t>）公务接待费，指单位按规定开支的各类公务接待（含外宾接待）支出。</w:t>
            </w:r>
            <w:r>
              <w:rPr>
                <w:rFonts w:ascii="Times New Roman" w:hAnsi="Times New Roman" w:eastAsia="宋体" w:cs="Times New Roman"/>
                <w:kern w:val="0"/>
                <w:sz w:val="30"/>
                <w:szCs w:val="30"/>
              </w:rPr>
              <w:t xml:space="preserve"> </w:t>
            </w:r>
          </w:p>
        </w:tc>
      </w:tr>
      <w:tr>
        <w:tblPrEx>
          <w:tblCellMar>
            <w:top w:w="0" w:type="dxa"/>
            <w:left w:w="108" w:type="dxa"/>
            <w:bottom w:w="0" w:type="dxa"/>
            <w:right w:w="108" w:type="dxa"/>
          </w:tblCellMar>
        </w:tblPrEx>
        <w:trPr>
          <w:trHeight w:val="1380" w:hRule="atLeast"/>
          <w:jc w:val="center"/>
        </w:trPr>
        <w:tc>
          <w:tcPr>
            <w:tcW w:w="9993" w:type="dxa"/>
            <w:gridSpan w:val="4"/>
            <w:tcBorders>
              <w:top w:val="nil"/>
              <w:left w:val="nil"/>
              <w:bottom w:val="nil"/>
              <w:right w:val="nil"/>
            </w:tcBorders>
            <w:shd w:val="clear" w:color="auto" w:fill="auto"/>
            <w:vAlign w:val="center"/>
          </w:tcPr>
          <w:p>
            <w:pPr>
              <w:widowControl/>
              <w:adjustRightInd w:val="0"/>
              <w:snapToGrid w:val="0"/>
              <w:spacing w:line="340" w:lineRule="exact"/>
              <w:ind w:left="868" w:leftChars="342" w:hanging="150" w:hangingChars="50"/>
              <w:jc w:val="left"/>
              <w:rPr>
                <w:rFonts w:ascii="Times New Roman" w:hAnsi="Times New Roman" w:eastAsia="宋体" w:cs="Times New Roman"/>
                <w:kern w:val="0"/>
                <w:sz w:val="30"/>
                <w:szCs w:val="30"/>
              </w:rPr>
            </w:pPr>
            <w:r>
              <w:rPr>
                <w:rFonts w:ascii="Times New Roman" w:hAnsi="Times New Roman" w:eastAsia="宋体" w:cs="Times New Roman"/>
                <w:kern w:val="0"/>
                <w:sz w:val="30"/>
                <w:szCs w:val="30"/>
              </w:rPr>
              <w:t>2.</w:t>
            </w:r>
            <w:r>
              <w:rPr>
                <w:rFonts w:hint="eastAsia" w:ascii="Times New Roman" w:hAnsi="Times New Roman" w:eastAsia="方正仿宋_GBK" w:cs="Times New Roman"/>
                <w:kern w:val="0"/>
                <w:sz w:val="30"/>
                <w:szCs w:val="30"/>
              </w:rPr>
              <w:t>按照区政府关于推进政府信息公开工作部署和要求，经汇总，</w:t>
            </w:r>
            <w:r>
              <w:rPr>
                <w:rFonts w:ascii="Times New Roman" w:hAnsi="Times New Roman" w:eastAsia="宋体" w:cs="Times New Roman"/>
                <w:kern w:val="0"/>
                <w:sz w:val="30"/>
                <w:szCs w:val="30"/>
              </w:rPr>
              <w:t>2023</w:t>
            </w:r>
            <w:r>
              <w:rPr>
                <w:rFonts w:hint="eastAsia" w:ascii="Times New Roman" w:hAnsi="Times New Roman" w:eastAsia="方正仿宋_GBK" w:cs="Times New Roman"/>
                <w:kern w:val="0"/>
                <w:sz w:val="30"/>
                <w:szCs w:val="30"/>
              </w:rPr>
              <w:t>年九龙坡区一般公共预算</w:t>
            </w:r>
            <w:r>
              <w:rPr>
                <w:rFonts w:ascii="Times New Roman" w:hAnsi="Times New Roman" w:eastAsia="宋体" w:cs="Times New Roman"/>
                <w:kern w:val="0"/>
                <w:sz w:val="30"/>
                <w:szCs w:val="30"/>
              </w:rPr>
              <w:t>“</w:t>
            </w:r>
            <w:r>
              <w:rPr>
                <w:rFonts w:hint="eastAsia" w:ascii="Times New Roman" w:hAnsi="Times New Roman" w:eastAsia="方正仿宋_GBK" w:cs="Times New Roman"/>
                <w:kern w:val="0"/>
                <w:sz w:val="30"/>
                <w:szCs w:val="30"/>
              </w:rPr>
              <w:t>三公</w:t>
            </w:r>
            <w:r>
              <w:rPr>
                <w:rFonts w:ascii="Times New Roman" w:hAnsi="Times New Roman" w:eastAsia="宋体" w:cs="Times New Roman"/>
                <w:kern w:val="0"/>
                <w:sz w:val="30"/>
                <w:szCs w:val="30"/>
              </w:rPr>
              <w:t>”</w:t>
            </w:r>
            <w:r>
              <w:rPr>
                <w:rFonts w:hint="eastAsia" w:ascii="Times New Roman" w:hAnsi="Times New Roman" w:eastAsia="方正仿宋_GBK" w:cs="Times New Roman"/>
                <w:kern w:val="0"/>
                <w:sz w:val="30"/>
                <w:szCs w:val="30"/>
              </w:rPr>
              <w:t>经费支出预算见上表，与</w:t>
            </w:r>
            <w:r>
              <w:rPr>
                <w:rFonts w:ascii="Times New Roman" w:hAnsi="Times New Roman" w:eastAsia="宋体" w:cs="Times New Roman"/>
                <w:kern w:val="0"/>
                <w:sz w:val="30"/>
                <w:szCs w:val="30"/>
              </w:rPr>
              <w:t>2022</w:t>
            </w:r>
            <w:r>
              <w:rPr>
                <w:rFonts w:hint="eastAsia" w:ascii="Times New Roman" w:hAnsi="Times New Roman" w:eastAsia="方正仿宋_GBK" w:cs="Times New Roman"/>
                <w:kern w:val="0"/>
                <w:sz w:val="30"/>
                <w:szCs w:val="30"/>
              </w:rPr>
              <w:t>年预算相比，一般公共预算“三公</w:t>
            </w:r>
            <w:r>
              <w:rPr>
                <w:rFonts w:ascii="Times New Roman" w:hAnsi="Times New Roman" w:eastAsia="宋体" w:cs="Times New Roman"/>
                <w:kern w:val="0"/>
                <w:sz w:val="30"/>
                <w:szCs w:val="30"/>
              </w:rPr>
              <w:t>”</w:t>
            </w:r>
            <w:r>
              <w:rPr>
                <w:rFonts w:hint="eastAsia" w:ascii="Times New Roman" w:hAnsi="Times New Roman" w:eastAsia="方正仿宋_GBK" w:cs="Times New Roman"/>
                <w:kern w:val="0"/>
                <w:sz w:val="30"/>
                <w:szCs w:val="30"/>
              </w:rPr>
              <w:t>支出持平，</w:t>
            </w:r>
            <w:r>
              <w:rPr>
                <w:rFonts w:ascii="Times New Roman" w:hAnsi="Times New Roman" w:eastAsia="宋体" w:cs="Times New Roman"/>
                <w:kern w:val="0"/>
                <w:sz w:val="30"/>
                <w:szCs w:val="30"/>
              </w:rPr>
              <w:t>2022</w:t>
            </w:r>
            <w:r>
              <w:rPr>
                <w:rFonts w:hint="eastAsia" w:ascii="Times New Roman" w:hAnsi="Times New Roman" w:eastAsia="方正仿宋_GBK" w:cs="Times New Roman"/>
                <w:kern w:val="0"/>
                <w:sz w:val="30"/>
                <w:szCs w:val="30"/>
              </w:rPr>
              <w:t>年机关事务局审批的公务购车增多，导致公务用车购置及运行维护费费增加，与公务接待费减少数品迭后“三公”经费总量不变。</w:t>
            </w:r>
          </w:p>
        </w:tc>
      </w:tr>
    </w:tbl>
    <w:p>
      <w:pPr>
        <w:widowControl/>
        <w:adjustRightInd w:val="0"/>
        <w:snapToGrid w:val="0"/>
        <w:spacing w:line="600" w:lineRule="exact"/>
        <w:ind w:right="-227" w:rightChars="-108"/>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表29</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九龙坡区2022年地方政府债务限额及余额情况表</w:t>
      </w:r>
    </w:p>
    <w:p>
      <w:pPr>
        <w:adjustRightInd w:val="0"/>
        <w:snapToGrid w:val="0"/>
        <w:spacing w:line="600" w:lineRule="exact"/>
        <w:ind w:right="880"/>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单位：亿元</w:t>
      </w:r>
    </w:p>
    <w:tbl>
      <w:tblPr>
        <w:tblStyle w:val="9"/>
        <w:tblW w:w="9520" w:type="dxa"/>
        <w:jc w:val="center"/>
        <w:tblLayout w:type="autofit"/>
        <w:tblCellMar>
          <w:top w:w="0" w:type="dxa"/>
          <w:left w:w="108" w:type="dxa"/>
          <w:bottom w:w="0" w:type="dxa"/>
          <w:right w:w="108" w:type="dxa"/>
        </w:tblCellMar>
      </w:tblPr>
      <w:tblGrid>
        <w:gridCol w:w="1560"/>
        <w:gridCol w:w="1300"/>
        <w:gridCol w:w="1300"/>
        <w:gridCol w:w="1300"/>
        <w:gridCol w:w="1300"/>
        <w:gridCol w:w="1300"/>
        <w:gridCol w:w="1460"/>
      </w:tblGrid>
      <w:tr>
        <w:tblPrEx>
          <w:tblCellMar>
            <w:top w:w="0" w:type="dxa"/>
            <w:left w:w="108" w:type="dxa"/>
            <w:bottom w:w="0" w:type="dxa"/>
            <w:right w:w="108" w:type="dxa"/>
          </w:tblCellMar>
        </w:tblPrEx>
        <w:trPr>
          <w:trHeight w:val="522" w:hRule="atLeast"/>
          <w:jc w:val="center"/>
        </w:trPr>
        <w:tc>
          <w:tcPr>
            <w:tcW w:w="1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hint="eastAsia" w:ascii="Times New Roman" w:hAnsi="Times New Roman" w:eastAsia="方正黑体_GBK" w:cs="Times New Roman"/>
                <w:kern w:val="0"/>
                <w:sz w:val="30"/>
                <w:szCs w:val="30"/>
              </w:rPr>
              <w:t>地</w:t>
            </w:r>
            <w:r>
              <w:rPr>
                <w:rFonts w:ascii="Times New Roman" w:hAnsi="Times New Roman" w:eastAsia="宋体" w:cs="Times New Roman"/>
                <w:kern w:val="0"/>
                <w:sz w:val="30"/>
                <w:szCs w:val="30"/>
              </w:rPr>
              <w:t xml:space="preserve">   </w:t>
            </w:r>
            <w:r>
              <w:rPr>
                <w:rFonts w:hint="eastAsia" w:ascii="Times New Roman" w:hAnsi="Times New Roman" w:eastAsia="方正黑体_GBK" w:cs="Times New Roman"/>
                <w:kern w:val="0"/>
                <w:sz w:val="30"/>
                <w:szCs w:val="30"/>
              </w:rPr>
              <w:t>区</w:t>
            </w:r>
          </w:p>
        </w:tc>
        <w:tc>
          <w:tcPr>
            <w:tcW w:w="39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ascii="Times New Roman" w:hAnsi="Times New Roman" w:eastAsia="宋体" w:cs="Times New Roman"/>
                <w:kern w:val="0"/>
                <w:sz w:val="30"/>
                <w:szCs w:val="30"/>
              </w:rPr>
              <w:t>2022</w:t>
            </w:r>
            <w:r>
              <w:rPr>
                <w:rFonts w:hint="eastAsia" w:ascii="Times New Roman" w:hAnsi="Times New Roman" w:eastAsia="方正黑体_GBK" w:cs="Times New Roman"/>
                <w:kern w:val="0"/>
                <w:sz w:val="30"/>
                <w:szCs w:val="30"/>
              </w:rPr>
              <w:t>年债务限额（预估数）</w:t>
            </w:r>
          </w:p>
        </w:tc>
        <w:tc>
          <w:tcPr>
            <w:tcW w:w="406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ascii="Times New Roman" w:hAnsi="Times New Roman" w:eastAsia="宋体" w:cs="Times New Roman"/>
                <w:kern w:val="0"/>
                <w:sz w:val="30"/>
                <w:szCs w:val="30"/>
              </w:rPr>
              <w:t>2022</w:t>
            </w:r>
            <w:r>
              <w:rPr>
                <w:rFonts w:hint="eastAsia" w:ascii="Times New Roman" w:hAnsi="Times New Roman" w:eastAsia="方正黑体_GBK" w:cs="Times New Roman"/>
                <w:kern w:val="0"/>
                <w:sz w:val="30"/>
                <w:szCs w:val="30"/>
              </w:rPr>
              <w:t>年债务余额预计执行数</w:t>
            </w:r>
          </w:p>
        </w:tc>
      </w:tr>
      <w:tr>
        <w:tblPrEx>
          <w:tblCellMar>
            <w:top w:w="0" w:type="dxa"/>
            <w:left w:w="108" w:type="dxa"/>
            <w:bottom w:w="0" w:type="dxa"/>
            <w:right w:w="108" w:type="dxa"/>
          </w:tblCellMar>
        </w:tblPrEx>
        <w:trPr>
          <w:trHeight w:val="522" w:hRule="atLeast"/>
          <w:jc w:val="center"/>
        </w:trPr>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 w:val="30"/>
                <w:szCs w:val="30"/>
              </w:rPr>
            </w:pPr>
          </w:p>
        </w:tc>
        <w:tc>
          <w:tcPr>
            <w:tcW w:w="130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30"/>
                <w:szCs w:val="30"/>
              </w:rPr>
            </w:pPr>
            <w:r>
              <w:rPr>
                <w:rFonts w:ascii="Times New Roman" w:hAnsi="Times New Roman" w:eastAsia="宋体" w:cs="Times New Roman"/>
                <w:kern w:val="0"/>
                <w:sz w:val="30"/>
                <w:szCs w:val="30"/>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hint="eastAsia" w:ascii="Times New Roman" w:hAnsi="Times New Roman" w:eastAsia="方正黑体_GBK" w:cs="Times New Roman"/>
                <w:kern w:val="0"/>
                <w:sz w:val="30"/>
                <w:szCs w:val="30"/>
              </w:rPr>
              <w:t>一般债务</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hint="eastAsia" w:ascii="Times New Roman" w:hAnsi="Times New Roman" w:eastAsia="方正黑体_GBK" w:cs="Times New Roman"/>
                <w:kern w:val="0"/>
                <w:sz w:val="30"/>
                <w:szCs w:val="30"/>
              </w:rPr>
              <w:t>专项债务</w:t>
            </w:r>
          </w:p>
        </w:tc>
        <w:tc>
          <w:tcPr>
            <w:tcW w:w="130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30"/>
                <w:szCs w:val="30"/>
              </w:rPr>
            </w:pPr>
            <w:r>
              <w:rPr>
                <w:rFonts w:ascii="Times New Roman" w:hAnsi="Times New Roman" w:eastAsia="宋体" w:cs="Times New Roman"/>
                <w:kern w:val="0"/>
                <w:sz w:val="30"/>
                <w:szCs w:val="30"/>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hint="eastAsia" w:ascii="Times New Roman" w:hAnsi="Times New Roman" w:eastAsia="方正黑体_GBK" w:cs="Times New Roman"/>
                <w:kern w:val="0"/>
                <w:sz w:val="30"/>
                <w:szCs w:val="30"/>
              </w:rPr>
              <w:t>一般债务</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hint="eastAsia" w:ascii="Times New Roman" w:hAnsi="Times New Roman" w:eastAsia="方正黑体_GBK" w:cs="Times New Roman"/>
                <w:kern w:val="0"/>
                <w:sz w:val="30"/>
                <w:szCs w:val="30"/>
              </w:rPr>
              <w:t>专项债务</w:t>
            </w:r>
          </w:p>
        </w:tc>
      </w:tr>
      <w:tr>
        <w:tblPrEx>
          <w:tblCellMar>
            <w:top w:w="0" w:type="dxa"/>
            <w:left w:w="108" w:type="dxa"/>
            <w:bottom w:w="0" w:type="dxa"/>
            <w:right w:w="108" w:type="dxa"/>
          </w:tblCellMar>
        </w:tblPrEx>
        <w:trPr>
          <w:trHeight w:val="522" w:hRule="atLeast"/>
          <w:jc w:val="center"/>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hint="eastAsia" w:ascii="Times New Roman" w:hAnsi="Times New Roman" w:eastAsia="方正黑体_GBK" w:cs="Times New Roman"/>
                <w:kern w:val="0"/>
                <w:sz w:val="30"/>
                <w:szCs w:val="30"/>
              </w:rPr>
              <w:t>公</w:t>
            </w:r>
            <w:r>
              <w:rPr>
                <w:rFonts w:ascii="Times New Roman" w:hAnsi="Times New Roman" w:eastAsia="宋体" w:cs="Times New Roman"/>
                <w:kern w:val="0"/>
                <w:sz w:val="30"/>
                <w:szCs w:val="30"/>
              </w:rPr>
              <w:t xml:space="preserve">  </w:t>
            </w:r>
            <w:r>
              <w:rPr>
                <w:rFonts w:hint="eastAsia" w:ascii="Times New Roman" w:hAnsi="Times New Roman" w:eastAsia="方正黑体_GBK" w:cs="Times New Roman"/>
                <w:kern w:val="0"/>
                <w:sz w:val="30"/>
                <w:szCs w:val="30"/>
              </w:rPr>
              <w:t>式</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ascii="Times New Roman" w:hAnsi="Times New Roman" w:eastAsia="宋体" w:cs="Times New Roman"/>
                <w:kern w:val="0"/>
                <w:sz w:val="30"/>
                <w:szCs w:val="30"/>
              </w:rPr>
              <w:t>A=B+C</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ascii="Times New Roman" w:hAnsi="Times New Roman" w:eastAsia="宋体" w:cs="Times New Roman"/>
                <w:kern w:val="0"/>
                <w:sz w:val="30"/>
                <w:szCs w:val="30"/>
              </w:rPr>
              <w:t>B</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ascii="Times New Roman" w:hAnsi="Times New Roman" w:eastAsia="宋体" w:cs="Times New Roman"/>
                <w:kern w:val="0"/>
                <w:sz w:val="30"/>
                <w:szCs w:val="30"/>
              </w:rPr>
              <w:t>C</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ascii="Times New Roman" w:hAnsi="Times New Roman" w:eastAsia="宋体" w:cs="Times New Roman"/>
                <w:kern w:val="0"/>
                <w:sz w:val="30"/>
                <w:szCs w:val="30"/>
              </w:rPr>
              <w:t>D=E+F</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ascii="Times New Roman" w:hAnsi="Times New Roman" w:eastAsia="宋体" w:cs="Times New Roman"/>
                <w:kern w:val="0"/>
                <w:sz w:val="30"/>
                <w:szCs w:val="30"/>
              </w:rPr>
              <w:t>E</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30"/>
                <w:szCs w:val="30"/>
              </w:rPr>
            </w:pPr>
            <w:r>
              <w:rPr>
                <w:rFonts w:ascii="Times New Roman" w:hAnsi="Times New Roman" w:eastAsia="宋体" w:cs="Times New Roman"/>
                <w:kern w:val="0"/>
                <w:sz w:val="30"/>
                <w:szCs w:val="30"/>
              </w:rPr>
              <w:t>F</w:t>
            </w:r>
          </w:p>
        </w:tc>
      </w:tr>
      <w:tr>
        <w:tblPrEx>
          <w:tblCellMar>
            <w:top w:w="0" w:type="dxa"/>
            <w:left w:w="108" w:type="dxa"/>
            <w:bottom w:w="0" w:type="dxa"/>
            <w:right w:w="108" w:type="dxa"/>
          </w:tblCellMar>
        </w:tblPrEx>
        <w:trPr>
          <w:trHeight w:val="522" w:hRule="atLeast"/>
          <w:jc w:val="center"/>
        </w:trPr>
        <w:tc>
          <w:tcPr>
            <w:tcW w:w="15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_GBK" w:cs="宋体"/>
                <w:color w:val="000000"/>
                <w:kern w:val="0"/>
                <w:sz w:val="30"/>
                <w:szCs w:val="30"/>
              </w:rPr>
            </w:pPr>
            <w:r>
              <w:rPr>
                <w:rFonts w:hint="eastAsia" w:ascii="Times New Roman" w:hAnsi="Times New Roman" w:eastAsia="方正仿宋_GBK" w:cs="宋体"/>
                <w:color w:val="000000"/>
                <w:kern w:val="0"/>
                <w:sz w:val="30"/>
                <w:szCs w:val="30"/>
              </w:rPr>
              <w:t>九龙坡区</w:t>
            </w:r>
          </w:p>
        </w:tc>
        <w:tc>
          <w:tcPr>
            <w:tcW w:w="130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t>271.2</w:t>
            </w:r>
          </w:p>
        </w:tc>
        <w:tc>
          <w:tcPr>
            <w:tcW w:w="130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t>84.3</w:t>
            </w:r>
          </w:p>
        </w:tc>
        <w:tc>
          <w:tcPr>
            <w:tcW w:w="130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t>186.9</w:t>
            </w:r>
          </w:p>
        </w:tc>
        <w:tc>
          <w:tcPr>
            <w:tcW w:w="130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t>271.03</w:t>
            </w:r>
          </w:p>
        </w:tc>
        <w:tc>
          <w:tcPr>
            <w:tcW w:w="130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t>84.21</w:t>
            </w:r>
          </w:p>
        </w:tc>
        <w:tc>
          <w:tcPr>
            <w:tcW w:w="146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t>186.82</w:t>
            </w:r>
          </w:p>
        </w:tc>
      </w:tr>
      <w:tr>
        <w:tblPrEx>
          <w:tblCellMar>
            <w:top w:w="0" w:type="dxa"/>
            <w:left w:w="108" w:type="dxa"/>
            <w:bottom w:w="0" w:type="dxa"/>
            <w:right w:w="108" w:type="dxa"/>
          </w:tblCellMar>
        </w:tblPrEx>
        <w:trPr>
          <w:trHeight w:val="315" w:hRule="atLeast"/>
          <w:jc w:val="center"/>
        </w:trPr>
        <w:tc>
          <w:tcPr>
            <w:tcW w:w="9520" w:type="dxa"/>
            <w:gridSpan w:val="7"/>
            <w:tcBorders>
              <w:top w:val="nil"/>
              <w:left w:val="nil"/>
              <w:bottom w:val="nil"/>
              <w:right w:val="nil"/>
            </w:tcBorders>
            <w:shd w:val="clear" w:color="auto" w:fill="auto"/>
            <w:vAlign w:val="center"/>
          </w:tcPr>
          <w:p>
            <w:pPr>
              <w:widowControl/>
              <w:adjustRightInd w:val="0"/>
              <w:snapToGrid w:val="0"/>
              <w:spacing w:line="400" w:lineRule="exact"/>
              <w:ind w:left="600" w:hanging="600" w:hangingChars="200"/>
              <w:jc w:val="left"/>
              <w:rPr>
                <w:rFonts w:ascii="Times New Roman" w:hAnsi="Times New Roman" w:eastAsia="宋体" w:cs="Times New Roman"/>
                <w:kern w:val="0"/>
                <w:sz w:val="30"/>
                <w:szCs w:val="30"/>
              </w:rPr>
            </w:pPr>
            <w:r>
              <w:rPr>
                <w:rFonts w:hint="eastAsia" w:ascii="Times New Roman" w:hAnsi="Times New Roman" w:eastAsia="方正仿宋_GBK" w:cs="Times New Roman"/>
                <w:kern w:val="0"/>
                <w:sz w:val="30"/>
                <w:szCs w:val="30"/>
              </w:rPr>
              <w:t>注：</w:t>
            </w:r>
            <w:r>
              <w:rPr>
                <w:rFonts w:ascii="Times New Roman" w:hAnsi="Times New Roman" w:eastAsia="宋体" w:cs="Times New Roman"/>
                <w:kern w:val="0"/>
                <w:sz w:val="30"/>
                <w:szCs w:val="30"/>
              </w:rPr>
              <w:t>1.</w:t>
            </w:r>
            <w:r>
              <w:rPr>
                <w:rFonts w:hint="eastAsia" w:ascii="Times New Roman" w:hAnsi="Times New Roman" w:eastAsia="方正仿宋_GBK" w:cs="Times New Roman"/>
                <w:kern w:val="0"/>
                <w:sz w:val="30"/>
                <w:szCs w:val="30"/>
              </w:rPr>
              <w:t>本表反映上一年度本地区、本级及所属地区政府债务限额及余额预计执行数。</w:t>
            </w:r>
          </w:p>
        </w:tc>
      </w:tr>
      <w:tr>
        <w:tblPrEx>
          <w:tblCellMar>
            <w:top w:w="0" w:type="dxa"/>
            <w:left w:w="108" w:type="dxa"/>
            <w:bottom w:w="0" w:type="dxa"/>
            <w:right w:w="108" w:type="dxa"/>
          </w:tblCellMar>
        </w:tblPrEx>
        <w:trPr>
          <w:trHeight w:val="315" w:hRule="atLeast"/>
          <w:jc w:val="center"/>
        </w:trPr>
        <w:tc>
          <w:tcPr>
            <w:tcW w:w="9520" w:type="dxa"/>
            <w:gridSpan w:val="7"/>
            <w:tcBorders>
              <w:top w:val="nil"/>
              <w:left w:val="nil"/>
              <w:bottom w:val="nil"/>
              <w:right w:val="nil"/>
            </w:tcBorders>
            <w:shd w:val="clear" w:color="auto" w:fill="auto"/>
            <w:vAlign w:val="center"/>
          </w:tcPr>
          <w:p>
            <w:pPr>
              <w:widowControl/>
              <w:adjustRightInd w:val="0"/>
              <w:snapToGrid w:val="0"/>
              <w:spacing w:line="400" w:lineRule="exact"/>
              <w:ind w:left="600" w:hanging="600" w:hangingChars="200"/>
              <w:jc w:val="left"/>
              <w:rPr>
                <w:rFonts w:ascii="Times New Roman" w:hAnsi="Times New Roman" w:eastAsia="宋体" w:cs="Times New Roman"/>
                <w:kern w:val="0"/>
                <w:sz w:val="30"/>
                <w:szCs w:val="30"/>
              </w:rPr>
            </w:pPr>
            <w:r>
              <w:rPr>
                <w:rFonts w:ascii="Times New Roman" w:hAnsi="Times New Roman" w:eastAsia="宋体" w:cs="Times New Roman"/>
                <w:kern w:val="0"/>
                <w:sz w:val="30"/>
                <w:szCs w:val="30"/>
              </w:rPr>
              <w:t xml:space="preserve">    2.</w:t>
            </w:r>
            <w:r>
              <w:rPr>
                <w:rFonts w:hint="eastAsia" w:ascii="Times New Roman" w:hAnsi="Times New Roman" w:eastAsia="方正仿宋_GBK" w:cs="Times New Roman"/>
                <w:kern w:val="0"/>
                <w:sz w:val="30"/>
                <w:szCs w:val="30"/>
              </w:rPr>
              <w:t>本表由县级以上地方各级财政部门在本级人民代表大会批准预算后二十日内公开。</w:t>
            </w:r>
          </w:p>
        </w:tc>
      </w:tr>
      <w:tr>
        <w:tblPrEx>
          <w:tblCellMar>
            <w:top w:w="0" w:type="dxa"/>
            <w:left w:w="108" w:type="dxa"/>
            <w:bottom w:w="0" w:type="dxa"/>
            <w:right w:w="108" w:type="dxa"/>
          </w:tblCellMar>
        </w:tblPrEx>
        <w:trPr>
          <w:trHeight w:val="660" w:hRule="atLeast"/>
          <w:jc w:val="center"/>
        </w:trPr>
        <w:tc>
          <w:tcPr>
            <w:tcW w:w="9520" w:type="dxa"/>
            <w:gridSpan w:val="7"/>
            <w:tcBorders>
              <w:top w:val="nil"/>
              <w:left w:val="nil"/>
              <w:bottom w:val="nil"/>
              <w:right w:val="nil"/>
            </w:tcBorders>
            <w:shd w:val="clear" w:color="auto" w:fill="auto"/>
            <w:vAlign w:val="center"/>
          </w:tcPr>
          <w:p>
            <w:pPr>
              <w:widowControl/>
              <w:adjustRightInd w:val="0"/>
              <w:snapToGrid w:val="0"/>
              <w:spacing w:line="400" w:lineRule="exact"/>
              <w:ind w:left="600" w:hanging="600" w:hangingChars="200"/>
              <w:jc w:val="left"/>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t xml:space="preserve">    3.</w:t>
            </w:r>
            <w:r>
              <w:rPr>
                <w:rFonts w:hint="eastAsia" w:ascii="Times New Roman" w:hAnsi="Times New Roman" w:eastAsia="方正仿宋_GBK" w:cs="Times New Roman"/>
                <w:color w:val="000000"/>
                <w:kern w:val="0"/>
                <w:sz w:val="30"/>
                <w:szCs w:val="30"/>
              </w:rPr>
              <w:t>截至目前，我区政府债务限额数据已锁定，但因市财政局未下达全市政府债务限额，故先将全区政府债务限额情况预估数提请人大审议，待市财政局文件下达后再向区人大报备。</w:t>
            </w:r>
          </w:p>
        </w:tc>
      </w:tr>
    </w:tbl>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widowControl/>
        <w:spacing w:line="480" w:lineRule="exact"/>
        <w:ind w:right="-227" w:rightChars="-108"/>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表30</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九龙坡区2022年和2023年地方政府一般债务余额情况表</w:t>
      </w:r>
    </w:p>
    <w:p>
      <w:pPr>
        <w:widowControl/>
        <w:spacing w:line="480" w:lineRule="exact"/>
        <w:ind w:right="-227" w:rightChars="-108"/>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单位：亿元</w:t>
      </w:r>
    </w:p>
    <w:tbl>
      <w:tblPr>
        <w:tblStyle w:val="9"/>
        <w:tblW w:w="9230" w:type="dxa"/>
        <w:jc w:val="center"/>
        <w:tblLayout w:type="autofit"/>
        <w:tblCellMar>
          <w:top w:w="0" w:type="dxa"/>
          <w:left w:w="108" w:type="dxa"/>
          <w:bottom w:w="0" w:type="dxa"/>
          <w:right w:w="108" w:type="dxa"/>
        </w:tblCellMar>
      </w:tblPr>
      <w:tblGrid>
        <w:gridCol w:w="6545"/>
        <w:gridCol w:w="1342"/>
        <w:gridCol w:w="1343"/>
      </w:tblGrid>
      <w:tr>
        <w:tblPrEx>
          <w:tblCellMar>
            <w:top w:w="0" w:type="dxa"/>
            <w:left w:w="108" w:type="dxa"/>
            <w:bottom w:w="0" w:type="dxa"/>
            <w:right w:w="108" w:type="dxa"/>
          </w:tblCellMar>
        </w:tblPrEx>
        <w:trPr>
          <w:trHeight w:val="737" w:hRule="atLeast"/>
          <w:tblHeader/>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项    目</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预算数</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w:t>
            </w:r>
          </w:p>
        </w:tc>
      </w:tr>
      <w:tr>
        <w:tblPrEx>
          <w:tblCellMar>
            <w:top w:w="0" w:type="dxa"/>
            <w:left w:w="108" w:type="dxa"/>
            <w:bottom w:w="0" w:type="dxa"/>
            <w:right w:w="108" w:type="dxa"/>
          </w:tblCellMar>
        </w:tblPrEx>
        <w:trPr>
          <w:trHeight w:val="73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一、</w:t>
            </w:r>
            <w:r>
              <w:rPr>
                <w:rFonts w:ascii="Times New Roman" w:hAnsi="Times New Roman" w:eastAsia="宋体" w:cs="Times New Roman"/>
                <w:kern w:val="0"/>
                <w:sz w:val="24"/>
                <w:szCs w:val="24"/>
              </w:rPr>
              <w:t>2021</w:t>
            </w:r>
            <w:r>
              <w:rPr>
                <w:rFonts w:hint="eastAsia" w:ascii="Times New Roman" w:hAnsi="Times New Roman" w:eastAsia="方正仿宋_GBK" w:cs="Times New Roman"/>
                <w:kern w:val="0"/>
                <w:sz w:val="24"/>
                <w:szCs w:val="24"/>
              </w:rPr>
              <w:t>年末地方政府一般债务余额实际数</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81.81 </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81.81 </w:t>
            </w:r>
          </w:p>
        </w:tc>
      </w:tr>
      <w:tr>
        <w:tblPrEx>
          <w:tblCellMar>
            <w:top w:w="0" w:type="dxa"/>
            <w:left w:w="108" w:type="dxa"/>
            <w:bottom w:w="0" w:type="dxa"/>
            <w:right w:w="108" w:type="dxa"/>
          </w:tblCellMar>
        </w:tblPrEx>
        <w:trPr>
          <w:trHeight w:val="73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二、</w:t>
            </w:r>
            <w:r>
              <w:rPr>
                <w:rFonts w:ascii="Times New Roman" w:hAnsi="Times New Roman" w:eastAsia="宋体" w:cs="Times New Roman"/>
                <w:kern w:val="0"/>
                <w:sz w:val="24"/>
                <w:szCs w:val="24"/>
              </w:rPr>
              <w:t>2022</w:t>
            </w:r>
            <w:r>
              <w:rPr>
                <w:rFonts w:hint="eastAsia" w:ascii="Times New Roman" w:hAnsi="Times New Roman" w:eastAsia="方正仿宋_GBK" w:cs="Times New Roman"/>
                <w:kern w:val="0"/>
                <w:sz w:val="24"/>
                <w:szCs w:val="24"/>
              </w:rPr>
              <w:t>年末地方政府一般债务限额（预估数）</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84.30 </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84.30 </w:t>
            </w:r>
          </w:p>
        </w:tc>
      </w:tr>
      <w:tr>
        <w:tblPrEx>
          <w:tblCellMar>
            <w:top w:w="0" w:type="dxa"/>
            <w:left w:w="108" w:type="dxa"/>
            <w:bottom w:w="0" w:type="dxa"/>
            <w:right w:w="108" w:type="dxa"/>
          </w:tblCellMar>
        </w:tblPrEx>
        <w:trPr>
          <w:trHeight w:val="73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三、</w:t>
            </w:r>
            <w:r>
              <w:rPr>
                <w:rFonts w:ascii="Times New Roman" w:hAnsi="Times New Roman" w:eastAsia="宋体" w:cs="Times New Roman"/>
                <w:kern w:val="0"/>
                <w:sz w:val="24"/>
                <w:szCs w:val="24"/>
              </w:rPr>
              <w:t>2022</w:t>
            </w:r>
            <w:r>
              <w:rPr>
                <w:rFonts w:hint="eastAsia" w:ascii="Times New Roman" w:hAnsi="Times New Roman" w:eastAsia="方正仿宋_GBK" w:cs="Times New Roman"/>
                <w:kern w:val="0"/>
                <w:sz w:val="24"/>
                <w:szCs w:val="24"/>
              </w:rPr>
              <w:t>年地方政府一般债务发行额</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2.40 </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2.40 </w:t>
            </w:r>
          </w:p>
        </w:tc>
      </w:tr>
      <w:tr>
        <w:tblPrEx>
          <w:tblCellMar>
            <w:top w:w="0" w:type="dxa"/>
            <w:left w:w="108" w:type="dxa"/>
            <w:bottom w:w="0" w:type="dxa"/>
            <w:right w:w="108" w:type="dxa"/>
          </w:tblCellMar>
        </w:tblPrEx>
        <w:trPr>
          <w:trHeight w:val="73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w:t>
            </w:r>
            <w:r>
              <w:rPr>
                <w:rFonts w:hint="eastAsia" w:ascii="Times New Roman" w:hAnsi="Times New Roman" w:eastAsia="方正仿宋_GBK" w:cs="Times New Roman"/>
                <w:kern w:val="0"/>
                <w:sz w:val="24"/>
                <w:szCs w:val="24"/>
              </w:rPr>
              <w:t>其中：中央转贷地方的国际金融组织和外国政府贷款</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73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2022</w:t>
            </w:r>
            <w:r>
              <w:rPr>
                <w:rFonts w:hint="eastAsia" w:ascii="Times New Roman" w:hAnsi="Times New Roman" w:eastAsia="方正仿宋_GBK" w:cs="Times New Roman"/>
                <w:kern w:val="0"/>
                <w:sz w:val="24"/>
                <w:szCs w:val="24"/>
              </w:rPr>
              <w:t>年地方政府一般债券发行额</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2.40 </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2.40 </w:t>
            </w:r>
          </w:p>
        </w:tc>
      </w:tr>
      <w:tr>
        <w:tblPrEx>
          <w:tblCellMar>
            <w:top w:w="0" w:type="dxa"/>
            <w:left w:w="108" w:type="dxa"/>
            <w:bottom w:w="0" w:type="dxa"/>
            <w:right w:w="108" w:type="dxa"/>
          </w:tblCellMar>
        </w:tblPrEx>
        <w:trPr>
          <w:trHeight w:val="73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四、</w:t>
            </w:r>
            <w:r>
              <w:rPr>
                <w:rFonts w:ascii="Times New Roman" w:hAnsi="Times New Roman" w:eastAsia="宋体" w:cs="Times New Roman"/>
                <w:kern w:val="0"/>
                <w:sz w:val="24"/>
                <w:szCs w:val="24"/>
              </w:rPr>
              <w:t>2022</w:t>
            </w:r>
            <w:r>
              <w:rPr>
                <w:rFonts w:hint="eastAsia" w:ascii="Times New Roman" w:hAnsi="Times New Roman" w:eastAsia="方正仿宋_GBK" w:cs="Times New Roman"/>
                <w:kern w:val="0"/>
                <w:sz w:val="24"/>
                <w:szCs w:val="24"/>
              </w:rPr>
              <w:t>年地方政府一般债务还本支出</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5.77 </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5.77 </w:t>
            </w:r>
          </w:p>
        </w:tc>
      </w:tr>
      <w:tr>
        <w:tblPrEx>
          <w:tblCellMar>
            <w:top w:w="0" w:type="dxa"/>
            <w:left w:w="108" w:type="dxa"/>
            <w:bottom w:w="0" w:type="dxa"/>
            <w:right w:w="108" w:type="dxa"/>
          </w:tblCellMar>
        </w:tblPrEx>
        <w:trPr>
          <w:trHeight w:val="73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五、</w:t>
            </w:r>
            <w:r>
              <w:rPr>
                <w:rFonts w:ascii="Times New Roman" w:hAnsi="Times New Roman" w:eastAsia="宋体" w:cs="Times New Roman"/>
                <w:kern w:val="0"/>
                <w:sz w:val="24"/>
                <w:szCs w:val="24"/>
              </w:rPr>
              <w:t>2022</w:t>
            </w:r>
            <w:r>
              <w:rPr>
                <w:rFonts w:hint="eastAsia" w:ascii="Times New Roman" w:hAnsi="Times New Roman" w:eastAsia="方正仿宋_GBK" w:cs="Times New Roman"/>
                <w:kern w:val="0"/>
                <w:sz w:val="24"/>
                <w:szCs w:val="24"/>
              </w:rPr>
              <w:t>年末地方政府一般债务余额预计执行数</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84.21 </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84.21 </w:t>
            </w:r>
          </w:p>
        </w:tc>
      </w:tr>
      <w:tr>
        <w:tblPrEx>
          <w:tblCellMar>
            <w:top w:w="0" w:type="dxa"/>
            <w:left w:w="108" w:type="dxa"/>
            <w:bottom w:w="0" w:type="dxa"/>
            <w:right w:w="108" w:type="dxa"/>
          </w:tblCellMar>
        </w:tblPrEx>
        <w:trPr>
          <w:trHeight w:val="73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六、</w:t>
            </w:r>
            <w:r>
              <w:rPr>
                <w:rFonts w:ascii="Times New Roman" w:hAnsi="Times New Roman" w:eastAsia="宋体" w:cs="Times New Roman"/>
                <w:kern w:val="0"/>
                <w:sz w:val="24"/>
                <w:szCs w:val="24"/>
              </w:rPr>
              <w:t>2023</w:t>
            </w:r>
            <w:r>
              <w:rPr>
                <w:rFonts w:hint="eastAsia" w:ascii="Times New Roman" w:hAnsi="Times New Roman" w:eastAsia="方正仿宋_GBK" w:cs="Times New Roman"/>
                <w:kern w:val="0"/>
                <w:sz w:val="24"/>
                <w:szCs w:val="24"/>
              </w:rPr>
              <w:t>年地方财政赤字</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73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七、</w:t>
            </w:r>
            <w:r>
              <w:rPr>
                <w:rFonts w:ascii="Times New Roman" w:hAnsi="Times New Roman" w:eastAsia="宋体" w:cs="Times New Roman"/>
                <w:kern w:val="0"/>
                <w:sz w:val="24"/>
                <w:szCs w:val="24"/>
              </w:rPr>
              <w:t>2023</w:t>
            </w:r>
            <w:r>
              <w:rPr>
                <w:rFonts w:hint="eastAsia" w:ascii="Times New Roman" w:hAnsi="Times New Roman" w:eastAsia="方正仿宋_GBK" w:cs="Times New Roman"/>
                <w:kern w:val="0"/>
                <w:sz w:val="24"/>
                <w:szCs w:val="24"/>
              </w:rPr>
              <w:t>年地方政府一般债务限额</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737" w:hRule="atLeast"/>
          <w:jc w:val="center"/>
        </w:trPr>
        <w:tc>
          <w:tcPr>
            <w:tcW w:w="0" w:type="auto"/>
            <w:gridSpan w:val="3"/>
            <w:tcBorders>
              <w:top w:val="nil"/>
              <w:left w:val="nil"/>
              <w:bottom w:val="nil"/>
              <w:right w:val="nil"/>
            </w:tcBorders>
            <w:shd w:val="clear" w:color="auto" w:fill="auto"/>
            <w:vAlign w:val="center"/>
          </w:tcPr>
          <w:p>
            <w:pPr>
              <w:widowControl/>
              <w:adjustRightInd w:val="0"/>
              <w:snapToGrid w:val="0"/>
              <w:spacing w:line="400" w:lineRule="exact"/>
              <w:ind w:left="550" w:hanging="550" w:hangingChars="250"/>
              <w:jc w:val="left"/>
              <w:rPr>
                <w:rFonts w:ascii="Times New Roman" w:hAnsi="Times New Roman" w:eastAsia="方正仿宋_GBK" w:cs="宋体"/>
                <w:kern w:val="0"/>
                <w:sz w:val="22"/>
              </w:rPr>
            </w:pPr>
            <w:r>
              <w:rPr>
                <w:rFonts w:hint="eastAsia" w:ascii="Times New Roman" w:hAnsi="Times New Roman" w:eastAsia="方正仿宋_GBK" w:cs="宋体"/>
                <w:kern w:val="0"/>
                <w:sz w:val="22"/>
              </w:rPr>
              <w:t>注：</w:t>
            </w:r>
            <w:r>
              <w:rPr>
                <w:rFonts w:ascii="Times New Roman" w:hAnsi="Times New Roman" w:eastAsia="方正仿宋_GBK" w:cs="Times New Roman"/>
                <w:kern w:val="0"/>
                <w:sz w:val="22"/>
              </w:rPr>
              <w:t>1.</w:t>
            </w:r>
            <w:r>
              <w:rPr>
                <w:rFonts w:hint="eastAsia" w:ascii="Times New Roman" w:hAnsi="Times New Roman" w:eastAsia="方正仿宋_GBK" w:cs="宋体"/>
                <w:kern w:val="0"/>
                <w:sz w:val="22"/>
              </w:rPr>
              <w:t>本表反映本地区上两年度一般债务余额，上一年度一般债务限额、发行额、还本支出及余额，本年度财政赤字及一般债务限额。</w:t>
            </w:r>
          </w:p>
          <w:p>
            <w:pPr>
              <w:widowControl/>
              <w:adjustRightInd w:val="0"/>
              <w:snapToGrid w:val="0"/>
              <w:spacing w:line="400" w:lineRule="exact"/>
              <w:ind w:left="551" w:leftChars="210" w:hanging="110" w:hangingChars="50"/>
              <w:jc w:val="left"/>
              <w:rPr>
                <w:rFonts w:ascii="Times New Roman" w:hAnsi="Times New Roman" w:eastAsia="方正仿宋_GBK" w:cs="宋体"/>
                <w:kern w:val="0"/>
                <w:sz w:val="22"/>
              </w:rPr>
            </w:pPr>
            <w:r>
              <w:rPr>
                <w:rFonts w:ascii="Times New Roman" w:hAnsi="Times New Roman" w:eastAsia="方正仿宋_GBK" w:cs="Times New Roman"/>
                <w:kern w:val="0"/>
                <w:sz w:val="22"/>
              </w:rPr>
              <w:t>2.</w:t>
            </w:r>
            <w:r>
              <w:rPr>
                <w:rFonts w:hint="eastAsia" w:ascii="Times New Roman" w:hAnsi="Times New Roman" w:eastAsia="方正仿宋_GBK" w:cs="宋体"/>
                <w:kern w:val="0"/>
                <w:sz w:val="22"/>
              </w:rPr>
              <w:t>本表由县级以上地方各级财政部门在本级人民代表大会批准预算后二十日内公开。</w:t>
            </w:r>
          </w:p>
          <w:p>
            <w:pPr>
              <w:widowControl/>
              <w:adjustRightInd w:val="0"/>
              <w:snapToGrid w:val="0"/>
              <w:spacing w:line="400" w:lineRule="exact"/>
              <w:ind w:left="551" w:leftChars="210" w:hanging="110" w:hangingChars="50"/>
              <w:jc w:val="left"/>
              <w:rPr>
                <w:rFonts w:ascii="Times New Roman" w:hAnsi="Times New Roman" w:eastAsia="方正仿宋_GBK" w:cs="宋体"/>
                <w:kern w:val="0"/>
                <w:sz w:val="22"/>
              </w:rPr>
            </w:pPr>
            <w:r>
              <w:rPr>
                <w:rFonts w:ascii="Times New Roman" w:hAnsi="Times New Roman" w:eastAsia="方正仿宋_GBK" w:cs="Times New Roman"/>
                <w:kern w:val="0"/>
                <w:sz w:val="22"/>
              </w:rPr>
              <w:t>3.</w:t>
            </w:r>
            <w:r>
              <w:rPr>
                <w:rFonts w:hint="eastAsia" w:ascii="Times New Roman" w:hAnsi="Times New Roman" w:eastAsia="方正仿宋_GBK" w:cs="宋体"/>
                <w:kern w:val="0"/>
                <w:sz w:val="22"/>
              </w:rPr>
              <w:t>截至目前，我区政府债务限额数据已锁定，但因市财政局未下达全市政府债务限额，故先将全区政府债务限额情况预估数提请人大审议，待市财政局文件下达后再向区人大备。</w:t>
            </w:r>
          </w:p>
        </w:tc>
      </w:tr>
      <w:tr>
        <w:tblPrEx>
          <w:tblCellMar>
            <w:top w:w="0" w:type="dxa"/>
            <w:left w:w="108" w:type="dxa"/>
            <w:bottom w:w="0" w:type="dxa"/>
            <w:right w:w="108" w:type="dxa"/>
          </w:tblCellMar>
        </w:tblPrEx>
        <w:trPr>
          <w:trHeight w:val="737" w:hRule="atLeast"/>
          <w:jc w:val="center"/>
        </w:trPr>
        <w:tc>
          <w:tcPr>
            <w:tcW w:w="0" w:type="auto"/>
            <w:tcBorders>
              <w:top w:val="nil"/>
              <w:left w:val="nil"/>
              <w:bottom w:val="nil"/>
              <w:right w:val="nil"/>
            </w:tcBorders>
            <w:shd w:val="clear" w:color="auto" w:fill="auto"/>
            <w:noWrap/>
            <w:vAlign w:val="center"/>
          </w:tcPr>
          <w:p>
            <w:pPr>
              <w:widowControl/>
              <w:adjustRightInd w:val="0"/>
              <w:snapToGrid w:val="0"/>
              <w:spacing w:line="400" w:lineRule="exact"/>
              <w:jc w:val="left"/>
              <w:rPr>
                <w:rFonts w:ascii="Times New Roman" w:hAnsi="Times New Roman" w:eastAsia="宋体" w:cs="宋体"/>
                <w:color w:val="000000"/>
                <w:kern w:val="0"/>
                <w:sz w:val="22"/>
              </w:rPr>
            </w:pPr>
          </w:p>
          <w:p>
            <w:pPr>
              <w:widowControl/>
              <w:adjustRightInd w:val="0"/>
              <w:snapToGrid w:val="0"/>
              <w:spacing w:line="400" w:lineRule="exact"/>
              <w:jc w:val="left"/>
              <w:rPr>
                <w:rFonts w:ascii="Times New Roman" w:hAnsi="Times New Roman" w:eastAsia="宋体" w:cs="宋体"/>
                <w:color w:val="000000"/>
                <w:kern w:val="0"/>
                <w:sz w:val="22"/>
              </w:rPr>
            </w:pPr>
          </w:p>
        </w:tc>
        <w:tc>
          <w:tcPr>
            <w:tcW w:w="0" w:type="auto"/>
            <w:tcBorders>
              <w:top w:val="nil"/>
              <w:left w:val="nil"/>
              <w:bottom w:val="nil"/>
              <w:right w:val="nil"/>
            </w:tcBorders>
            <w:shd w:val="clear" w:color="auto" w:fill="auto"/>
            <w:noWrap/>
            <w:vAlign w:val="center"/>
          </w:tcPr>
          <w:p>
            <w:pPr>
              <w:widowControl/>
              <w:adjustRightInd w:val="0"/>
              <w:snapToGrid w:val="0"/>
              <w:spacing w:line="400" w:lineRule="exact"/>
              <w:jc w:val="left"/>
              <w:rPr>
                <w:rFonts w:ascii="Times New Roman" w:hAnsi="Times New Roman" w:eastAsia="宋体" w:cs="宋体"/>
                <w:color w:val="000000"/>
                <w:kern w:val="0"/>
                <w:sz w:val="22"/>
              </w:rPr>
            </w:pPr>
          </w:p>
        </w:tc>
        <w:tc>
          <w:tcPr>
            <w:tcW w:w="0" w:type="auto"/>
            <w:tcBorders>
              <w:top w:val="nil"/>
              <w:left w:val="nil"/>
              <w:bottom w:val="nil"/>
              <w:right w:val="nil"/>
            </w:tcBorders>
            <w:shd w:val="clear" w:color="auto" w:fill="auto"/>
            <w:noWrap/>
            <w:vAlign w:val="center"/>
          </w:tcPr>
          <w:p>
            <w:pPr>
              <w:widowControl/>
              <w:adjustRightInd w:val="0"/>
              <w:snapToGrid w:val="0"/>
              <w:spacing w:line="400" w:lineRule="exact"/>
              <w:jc w:val="left"/>
              <w:rPr>
                <w:rFonts w:ascii="Times New Roman" w:hAnsi="Times New Roman" w:eastAsia="宋体" w:cs="宋体"/>
                <w:color w:val="000000"/>
                <w:kern w:val="0"/>
                <w:sz w:val="22"/>
              </w:rPr>
            </w:pPr>
          </w:p>
        </w:tc>
      </w:tr>
    </w:tbl>
    <w:p>
      <w:pPr>
        <w:widowControl/>
        <w:spacing w:line="600" w:lineRule="exact"/>
        <w:ind w:right="-227" w:rightChars="-108"/>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表31</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九龙坡区2022年和2023年地方政府专项债务余额情况表</w:t>
      </w:r>
    </w:p>
    <w:p>
      <w:pPr>
        <w:widowControl/>
        <w:spacing w:line="480" w:lineRule="exact"/>
        <w:ind w:right="-227" w:rightChars="-108"/>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单位：亿元</w:t>
      </w:r>
    </w:p>
    <w:tbl>
      <w:tblPr>
        <w:tblStyle w:val="9"/>
        <w:tblW w:w="9370" w:type="dxa"/>
        <w:tblInd w:w="94" w:type="dxa"/>
        <w:tblLayout w:type="autofit"/>
        <w:tblCellMar>
          <w:top w:w="0" w:type="dxa"/>
          <w:left w:w="108" w:type="dxa"/>
          <w:bottom w:w="0" w:type="dxa"/>
          <w:right w:w="108" w:type="dxa"/>
        </w:tblCellMar>
      </w:tblPr>
      <w:tblGrid>
        <w:gridCol w:w="5684"/>
        <w:gridCol w:w="1843"/>
        <w:gridCol w:w="1843"/>
      </w:tblGrid>
      <w:tr>
        <w:tblPrEx>
          <w:tblCellMar>
            <w:top w:w="0" w:type="dxa"/>
            <w:left w:w="108" w:type="dxa"/>
            <w:bottom w:w="0" w:type="dxa"/>
            <w:right w:w="108" w:type="dxa"/>
          </w:tblCellMar>
        </w:tblPrEx>
        <w:trPr>
          <w:trHeight w:val="907" w:hRule="atLeast"/>
        </w:trPr>
        <w:tc>
          <w:tcPr>
            <w:tcW w:w="56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项    目</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预算数</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执行数</w:t>
            </w:r>
          </w:p>
        </w:tc>
      </w:tr>
      <w:tr>
        <w:tblPrEx>
          <w:tblCellMar>
            <w:top w:w="0" w:type="dxa"/>
            <w:left w:w="108" w:type="dxa"/>
            <w:bottom w:w="0" w:type="dxa"/>
            <w:right w:w="108" w:type="dxa"/>
          </w:tblCellMar>
        </w:tblPrEx>
        <w:trPr>
          <w:trHeight w:val="907" w:hRule="atLeast"/>
        </w:trPr>
        <w:tc>
          <w:tcPr>
            <w:tcW w:w="568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一、</w:t>
            </w:r>
            <w:r>
              <w:rPr>
                <w:rFonts w:ascii="Times New Roman" w:hAnsi="Times New Roman" w:eastAsia="宋体" w:cs="Times New Roman"/>
                <w:kern w:val="0"/>
                <w:sz w:val="24"/>
                <w:szCs w:val="24"/>
              </w:rPr>
              <w:t>2021</w:t>
            </w:r>
            <w:r>
              <w:rPr>
                <w:rFonts w:hint="eastAsia" w:ascii="Times New Roman" w:hAnsi="Times New Roman" w:eastAsia="方正仿宋_GBK" w:cs="Times New Roman"/>
                <w:kern w:val="0"/>
                <w:sz w:val="24"/>
                <w:szCs w:val="24"/>
              </w:rPr>
              <w:t>年末地方政府专项债务余额实际数</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153.82 </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153.82 </w:t>
            </w:r>
          </w:p>
        </w:tc>
      </w:tr>
      <w:tr>
        <w:tblPrEx>
          <w:tblCellMar>
            <w:top w:w="0" w:type="dxa"/>
            <w:left w:w="108" w:type="dxa"/>
            <w:bottom w:w="0" w:type="dxa"/>
            <w:right w:w="108" w:type="dxa"/>
          </w:tblCellMar>
        </w:tblPrEx>
        <w:trPr>
          <w:trHeight w:val="907" w:hRule="atLeast"/>
        </w:trPr>
        <w:tc>
          <w:tcPr>
            <w:tcW w:w="568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二、</w:t>
            </w:r>
            <w:r>
              <w:rPr>
                <w:rFonts w:ascii="Times New Roman" w:hAnsi="Times New Roman" w:eastAsia="宋体" w:cs="Times New Roman"/>
                <w:kern w:val="0"/>
                <w:sz w:val="24"/>
                <w:szCs w:val="24"/>
              </w:rPr>
              <w:t>2022</w:t>
            </w:r>
            <w:r>
              <w:rPr>
                <w:rFonts w:hint="eastAsia" w:ascii="Times New Roman" w:hAnsi="Times New Roman" w:eastAsia="方正仿宋_GBK" w:cs="Times New Roman"/>
                <w:kern w:val="0"/>
                <w:sz w:val="24"/>
                <w:szCs w:val="24"/>
              </w:rPr>
              <w:t>年末地方政府专项债务限额（预估数）</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186.90 </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186.90 </w:t>
            </w:r>
          </w:p>
        </w:tc>
      </w:tr>
      <w:tr>
        <w:tblPrEx>
          <w:tblCellMar>
            <w:top w:w="0" w:type="dxa"/>
            <w:left w:w="108" w:type="dxa"/>
            <w:bottom w:w="0" w:type="dxa"/>
            <w:right w:w="108" w:type="dxa"/>
          </w:tblCellMar>
        </w:tblPrEx>
        <w:trPr>
          <w:trHeight w:val="907" w:hRule="atLeast"/>
        </w:trPr>
        <w:tc>
          <w:tcPr>
            <w:tcW w:w="568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三、</w:t>
            </w:r>
            <w:r>
              <w:rPr>
                <w:rFonts w:ascii="Times New Roman" w:hAnsi="Times New Roman" w:eastAsia="宋体" w:cs="Times New Roman"/>
                <w:kern w:val="0"/>
                <w:sz w:val="24"/>
                <w:szCs w:val="24"/>
              </w:rPr>
              <w:t>2022</w:t>
            </w:r>
            <w:r>
              <w:rPr>
                <w:rFonts w:hint="eastAsia" w:ascii="Times New Roman" w:hAnsi="Times New Roman" w:eastAsia="方正仿宋_GBK" w:cs="Times New Roman"/>
                <w:kern w:val="0"/>
                <w:sz w:val="24"/>
                <w:szCs w:val="24"/>
              </w:rPr>
              <w:t>年地方政府专项债务发行额</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33.00 </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33.00 </w:t>
            </w:r>
          </w:p>
        </w:tc>
      </w:tr>
      <w:tr>
        <w:tblPrEx>
          <w:tblCellMar>
            <w:top w:w="0" w:type="dxa"/>
            <w:left w:w="108" w:type="dxa"/>
            <w:bottom w:w="0" w:type="dxa"/>
            <w:right w:w="108" w:type="dxa"/>
          </w:tblCellMar>
        </w:tblPrEx>
        <w:trPr>
          <w:trHeight w:val="907" w:hRule="atLeast"/>
        </w:trPr>
        <w:tc>
          <w:tcPr>
            <w:tcW w:w="568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四、</w:t>
            </w:r>
            <w:r>
              <w:rPr>
                <w:rFonts w:ascii="Times New Roman" w:hAnsi="Times New Roman" w:eastAsia="宋体" w:cs="Times New Roman"/>
                <w:kern w:val="0"/>
                <w:sz w:val="24"/>
                <w:szCs w:val="24"/>
              </w:rPr>
              <w:t>2022</w:t>
            </w:r>
            <w:r>
              <w:rPr>
                <w:rFonts w:hint="eastAsia" w:ascii="Times New Roman" w:hAnsi="Times New Roman" w:eastAsia="方正仿宋_GBK" w:cs="Times New Roman"/>
                <w:kern w:val="0"/>
                <w:sz w:val="24"/>
                <w:szCs w:val="24"/>
              </w:rPr>
              <w:t>年地方政府专项债务还本支出</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 </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 </w:t>
            </w:r>
          </w:p>
        </w:tc>
      </w:tr>
      <w:tr>
        <w:tblPrEx>
          <w:tblCellMar>
            <w:top w:w="0" w:type="dxa"/>
            <w:left w:w="108" w:type="dxa"/>
            <w:bottom w:w="0" w:type="dxa"/>
            <w:right w:w="108" w:type="dxa"/>
          </w:tblCellMar>
        </w:tblPrEx>
        <w:trPr>
          <w:trHeight w:val="907" w:hRule="atLeast"/>
        </w:trPr>
        <w:tc>
          <w:tcPr>
            <w:tcW w:w="568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五、</w:t>
            </w:r>
            <w:r>
              <w:rPr>
                <w:rFonts w:ascii="Times New Roman" w:hAnsi="Times New Roman" w:eastAsia="宋体" w:cs="Times New Roman"/>
                <w:kern w:val="0"/>
                <w:sz w:val="24"/>
                <w:szCs w:val="24"/>
              </w:rPr>
              <w:t>2022</w:t>
            </w:r>
            <w:r>
              <w:rPr>
                <w:rFonts w:hint="eastAsia" w:ascii="Times New Roman" w:hAnsi="Times New Roman" w:eastAsia="方正仿宋_GBK" w:cs="Times New Roman"/>
                <w:kern w:val="0"/>
                <w:sz w:val="24"/>
                <w:szCs w:val="24"/>
              </w:rPr>
              <w:t>年末地方政府专项债务余额预计执行数</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186.82 </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186.82 </w:t>
            </w:r>
          </w:p>
        </w:tc>
      </w:tr>
      <w:tr>
        <w:tblPrEx>
          <w:tblCellMar>
            <w:top w:w="0" w:type="dxa"/>
            <w:left w:w="108" w:type="dxa"/>
            <w:bottom w:w="0" w:type="dxa"/>
            <w:right w:w="108" w:type="dxa"/>
          </w:tblCellMar>
        </w:tblPrEx>
        <w:trPr>
          <w:trHeight w:val="907" w:hRule="atLeast"/>
        </w:trPr>
        <w:tc>
          <w:tcPr>
            <w:tcW w:w="568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六、</w:t>
            </w:r>
            <w:r>
              <w:rPr>
                <w:rFonts w:ascii="Times New Roman" w:hAnsi="Times New Roman" w:eastAsia="宋体" w:cs="Times New Roman"/>
                <w:kern w:val="0"/>
                <w:sz w:val="24"/>
                <w:szCs w:val="24"/>
              </w:rPr>
              <w:t>2023</w:t>
            </w:r>
            <w:r>
              <w:rPr>
                <w:rFonts w:hint="eastAsia" w:ascii="Times New Roman" w:hAnsi="Times New Roman" w:eastAsia="方正仿宋_GBK" w:cs="Times New Roman"/>
                <w:kern w:val="0"/>
                <w:sz w:val="24"/>
                <w:szCs w:val="24"/>
              </w:rPr>
              <w:t>年地方政府专项债务新增限额</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907" w:hRule="atLeast"/>
        </w:trPr>
        <w:tc>
          <w:tcPr>
            <w:tcW w:w="568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七、</w:t>
            </w:r>
            <w:r>
              <w:rPr>
                <w:rFonts w:ascii="Times New Roman" w:hAnsi="Times New Roman" w:eastAsia="宋体" w:cs="Times New Roman"/>
                <w:kern w:val="0"/>
                <w:sz w:val="24"/>
                <w:szCs w:val="24"/>
              </w:rPr>
              <w:t>2023</w:t>
            </w:r>
            <w:r>
              <w:rPr>
                <w:rFonts w:hint="eastAsia" w:ascii="Times New Roman" w:hAnsi="Times New Roman" w:eastAsia="方正仿宋_GBK" w:cs="Times New Roman"/>
                <w:kern w:val="0"/>
                <w:sz w:val="24"/>
                <w:szCs w:val="24"/>
              </w:rPr>
              <w:t>年末地方政府专项债务限额</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907" w:hRule="atLeast"/>
        </w:trPr>
        <w:tc>
          <w:tcPr>
            <w:tcW w:w="9370" w:type="dxa"/>
            <w:gridSpan w:val="3"/>
            <w:tcBorders>
              <w:top w:val="nil"/>
              <w:left w:val="nil"/>
              <w:bottom w:val="nil"/>
              <w:right w:val="nil"/>
            </w:tcBorders>
            <w:shd w:val="clear" w:color="auto" w:fill="auto"/>
            <w:vAlign w:val="center"/>
          </w:tcPr>
          <w:p>
            <w:pPr>
              <w:widowControl/>
              <w:adjustRightInd w:val="0"/>
              <w:snapToGrid w:val="0"/>
              <w:spacing w:line="400" w:lineRule="exact"/>
              <w:ind w:left="360" w:hanging="360" w:hangingChars="150"/>
              <w:jc w:val="left"/>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注：</w:t>
            </w:r>
            <w:r>
              <w:rPr>
                <w:rFonts w:ascii="Times New Roman" w:hAnsi="Times New Roman" w:eastAsia="方正仿宋_GBK" w:cs="Times New Roman"/>
                <w:kern w:val="0"/>
                <w:sz w:val="24"/>
                <w:szCs w:val="24"/>
              </w:rPr>
              <w:t>1.</w:t>
            </w:r>
            <w:r>
              <w:rPr>
                <w:rFonts w:hint="eastAsia" w:ascii="Times New Roman" w:hAnsi="Times New Roman" w:eastAsia="方正仿宋_GBK" w:cs="宋体"/>
                <w:kern w:val="0"/>
                <w:sz w:val="24"/>
                <w:szCs w:val="24"/>
              </w:rPr>
              <w:t>本表反映本地区上两年度专项债务余额，上一年度专项债务限额、发行额、还本额及余额，本年度专项债务新增限额及限额。</w:t>
            </w:r>
          </w:p>
          <w:p>
            <w:pPr>
              <w:widowControl/>
              <w:adjustRightInd w:val="0"/>
              <w:snapToGrid w:val="0"/>
              <w:spacing w:line="400" w:lineRule="exact"/>
              <w:ind w:left="359" w:leftChars="171"/>
              <w:jc w:val="left"/>
              <w:rPr>
                <w:rFonts w:ascii="Times New Roman" w:hAnsi="Times New Roman" w:eastAsia="方正仿宋_GBK" w:cs="宋体"/>
                <w:kern w:val="0"/>
                <w:sz w:val="24"/>
                <w:szCs w:val="24"/>
              </w:rPr>
            </w:pPr>
            <w:r>
              <w:rPr>
                <w:rFonts w:ascii="Times New Roman" w:hAnsi="Times New Roman" w:eastAsia="方正仿宋_GBK" w:cs="Times New Roman"/>
                <w:kern w:val="0"/>
                <w:sz w:val="24"/>
                <w:szCs w:val="24"/>
              </w:rPr>
              <w:t>2.</w:t>
            </w:r>
            <w:r>
              <w:rPr>
                <w:rFonts w:hint="eastAsia" w:ascii="Times New Roman" w:hAnsi="Times New Roman" w:eastAsia="方正仿宋_GBK" w:cs="宋体"/>
                <w:kern w:val="0"/>
                <w:sz w:val="24"/>
                <w:szCs w:val="24"/>
              </w:rPr>
              <w:t>本表由县级以上地方各级财政部门在本级人民代表大会批准预算后二十日内公开。</w:t>
            </w:r>
            <w:r>
              <w:rPr>
                <w:rFonts w:ascii="Times New Roman" w:hAnsi="Times New Roman" w:eastAsia="方正仿宋_GBK" w:cs="Times New Roman"/>
                <w:kern w:val="0"/>
                <w:sz w:val="24"/>
                <w:szCs w:val="24"/>
              </w:rPr>
              <w:t>3.</w:t>
            </w:r>
            <w:r>
              <w:rPr>
                <w:rFonts w:hint="eastAsia" w:ascii="Times New Roman" w:hAnsi="Times New Roman" w:eastAsia="方正仿宋_GBK" w:cs="宋体"/>
                <w:kern w:val="0"/>
                <w:sz w:val="24"/>
                <w:szCs w:val="24"/>
              </w:rPr>
              <w:t>截至目前，我区政府债务限额数据已锁定，但因市财政局未下达全市政府债务限额，故先将全区政府债务限额情况预估数提请人大审议，待市财政局文件下达后再向区人大报备。</w:t>
            </w:r>
          </w:p>
          <w:p>
            <w:pPr>
              <w:widowControl/>
              <w:spacing w:line="480" w:lineRule="exact"/>
              <w:ind w:right="-227" w:rightChars="-108"/>
              <w:jc w:val="right"/>
              <w:rPr>
                <w:rFonts w:ascii="Times New Roman" w:hAnsi="Times New Roman" w:eastAsia="方正仿宋_GBK" w:cs="宋体"/>
                <w:kern w:val="0"/>
                <w:sz w:val="24"/>
                <w:szCs w:val="24"/>
              </w:rPr>
            </w:pPr>
          </w:p>
        </w:tc>
      </w:tr>
    </w:tbl>
    <w:p>
      <w:pPr>
        <w:widowControl/>
        <w:spacing w:line="600" w:lineRule="exact"/>
        <w:ind w:right="-227" w:rightChars="-108"/>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表32</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九龙坡区地方政府债券发行及还本付息</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情况表</w:t>
      </w:r>
    </w:p>
    <w:p>
      <w:pPr>
        <w:widowControl/>
        <w:spacing w:line="480" w:lineRule="exact"/>
        <w:ind w:right="-227" w:rightChars="-108"/>
        <w:jc w:val="right"/>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单位：亿元</w:t>
      </w:r>
    </w:p>
    <w:tbl>
      <w:tblPr>
        <w:tblStyle w:val="9"/>
        <w:tblW w:w="0" w:type="auto"/>
        <w:tblInd w:w="94" w:type="dxa"/>
        <w:tblLayout w:type="autofit"/>
        <w:tblCellMar>
          <w:top w:w="0" w:type="dxa"/>
          <w:left w:w="108" w:type="dxa"/>
          <w:bottom w:w="0" w:type="dxa"/>
          <w:right w:w="108" w:type="dxa"/>
        </w:tblCellMar>
      </w:tblPr>
      <w:tblGrid>
        <w:gridCol w:w="5775"/>
        <w:gridCol w:w="1931"/>
        <w:gridCol w:w="1430"/>
      </w:tblGrid>
      <w:tr>
        <w:tblPrEx>
          <w:tblCellMar>
            <w:top w:w="0" w:type="dxa"/>
            <w:left w:w="108" w:type="dxa"/>
            <w:bottom w:w="0" w:type="dxa"/>
            <w:right w:w="108" w:type="dxa"/>
          </w:tblCellMar>
        </w:tblPrEx>
        <w:trPr>
          <w:trHeight w:val="20" w:hRule="atLeast"/>
          <w:tblHead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项    目</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公式</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本级</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一、</w:t>
            </w:r>
            <w:r>
              <w:rPr>
                <w:rFonts w:ascii="Times New Roman" w:hAnsi="Times New Roman" w:eastAsia="宋体" w:cs="Times New Roman"/>
                <w:kern w:val="0"/>
                <w:sz w:val="24"/>
                <w:szCs w:val="24"/>
              </w:rPr>
              <w:t>2022</w:t>
            </w:r>
            <w:r>
              <w:rPr>
                <w:rFonts w:hint="eastAsia" w:ascii="Times New Roman" w:hAnsi="Times New Roman" w:eastAsia="方正仿宋_GBK" w:cs="Times New Roman"/>
                <w:kern w:val="0"/>
                <w:sz w:val="24"/>
                <w:szCs w:val="24"/>
              </w:rPr>
              <w:t>年发行预计执行数</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A=B+D</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59.32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（一）一般债券</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B</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8.17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w:t>
            </w:r>
            <w:r>
              <w:rPr>
                <w:rFonts w:hint="eastAsia" w:ascii="Times New Roman" w:hAnsi="Times New Roman" w:eastAsia="方正仿宋_GBK" w:cs="Times New Roman"/>
                <w:kern w:val="0"/>
                <w:sz w:val="24"/>
                <w:szCs w:val="24"/>
              </w:rPr>
              <w:t>其中：再融资债券</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C</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5.77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（二）专项债券</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D</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51.15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w:t>
            </w:r>
            <w:r>
              <w:rPr>
                <w:rFonts w:hint="eastAsia" w:ascii="Times New Roman" w:hAnsi="Times New Roman" w:eastAsia="方正仿宋_GBK" w:cs="Times New Roman"/>
                <w:kern w:val="0"/>
                <w:sz w:val="24"/>
                <w:szCs w:val="24"/>
              </w:rPr>
              <w:t>其中：再融资债券</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E</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二、</w:t>
            </w:r>
            <w:r>
              <w:rPr>
                <w:rFonts w:ascii="Times New Roman" w:hAnsi="Times New Roman" w:eastAsia="宋体" w:cs="Times New Roman"/>
                <w:kern w:val="0"/>
                <w:sz w:val="24"/>
                <w:szCs w:val="24"/>
              </w:rPr>
              <w:t>2022</w:t>
            </w:r>
            <w:r>
              <w:rPr>
                <w:rFonts w:hint="eastAsia" w:ascii="Times New Roman" w:hAnsi="Times New Roman" w:eastAsia="方正仿宋_GBK" w:cs="Times New Roman"/>
                <w:kern w:val="0"/>
                <w:sz w:val="24"/>
                <w:szCs w:val="24"/>
              </w:rPr>
              <w:t>年还本支出预计执行数</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F=G+H</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23.92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（一）一般债券</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G</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5.77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（二）专项债券</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H</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18.15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三、</w:t>
            </w:r>
            <w:r>
              <w:rPr>
                <w:rFonts w:ascii="Times New Roman" w:hAnsi="Times New Roman" w:eastAsia="宋体" w:cs="Times New Roman"/>
                <w:kern w:val="0"/>
                <w:sz w:val="24"/>
                <w:szCs w:val="24"/>
              </w:rPr>
              <w:t>2022</w:t>
            </w:r>
            <w:r>
              <w:rPr>
                <w:rFonts w:hint="eastAsia" w:ascii="Times New Roman" w:hAnsi="Times New Roman" w:eastAsia="方正仿宋_GBK" w:cs="Times New Roman"/>
                <w:kern w:val="0"/>
                <w:sz w:val="24"/>
                <w:szCs w:val="24"/>
              </w:rPr>
              <w:t>年付息支出预计执行数</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I=J+K</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8.81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（一）一般债券</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J</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2.80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（二）专项债券</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K</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6.01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四、</w:t>
            </w:r>
            <w:r>
              <w:rPr>
                <w:rFonts w:ascii="Times New Roman" w:hAnsi="Times New Roman" w:eastAsia="宋体" w:cs="Times New Roman"/>
                <w:kern w:val="0"/>
                <w:sz w:val="24"/>
                <w:szCs w:val="24"/>
              </w:rPr>
              <w:t>2023</w:t>
            </w:r>
            <w:r>
              <w:rPr>
                <w:rFonts w:hint="eastAsia" w:ascii="Times New Roman" w:hAnsi="Times New Roman" w:eastAsia="方正仿宋_GBK" w:cs="Times New Roman"/>
                <w:kern w:val="0"/>
                <w:sz w:val="24"/>
                <w:szCs w:val="24"/>
              </w:rPr>
              <w:t>年还本支出预算数</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L=M+O</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29.61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（一）一般债券</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M</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1.41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w:t>
            </w:r>
            <w:r>
              <w:rPr>
                <w:rFonts w:hint="eastAsia" w:ascii="Times New Roman" w:hAnsi="Times New Roman" w:eastAsia="方正仿宋_GBK" w:cs="Times New Roman"/>
                <w:kern w:val="0"/>
                <w:sz w:val="24"/>
                <w:szCs w:val="24"/>
              </w:rPr>
              <w:t>其中：再融资</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1.41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w:t>
            </w:r>
            <w:r>
              <w:rPr>
                <w:rFonts w:hint="eastAsia" w:ascii="Times New Roman" w:hAnsi="Times New Roman" w:eastAsia="方正仿宋_GBK" w:cs="Times New Roman"/>
                <w:kern w:val="0"/>
                <w:sz w:val="24"/>
                <w:szCs w:val="24"/>
              </w:rPr>
              <w:t>财政预算安排</w:t>
            </w:r>
            <w:r>
              <w:rPr>
                <w:rFonts w:ascii="Times New Roman" w:hAnsi="Times New Roman" w:eastAsia="宋体" w:cs="Times New Roman"/>
                <w:kern w:val="0"/>
                <w:sz w:val="24"/>
                <w:szCs w:val="24"/>
              </w:rPr>
              <w:t xml:space="preserve"> </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N</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（二）专项债券</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O</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28.20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w:t>
            </w:r>
            <w:r>
              <w:rPr>
                <w:rFonts w:hint="eastAsia" w:ascii="Times New Roman" w:hAnsi="Times New Roman" w:eastAsia="方正仿宋_GBK" w:cs="Times New Roman"/>
                <w:kern w:val="0"/>
                <w:sz w:val="24"/>
                <w:szCs w:val="24"/>
              </w:rPr>
              <w:t>其中：再融资</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28.20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w:t>
            </w:r>
            <w:r>
              <w:rPr>
                <w:rFonts w:hint="eastAsia" w:ascii="Times New Roman" w:hAnsi="Times New Roman" w:eastAsia="方正仿宋_GBK" w:cs="Times New Roman"/>
                <w:kern w:val="0"/>
                <w:sz w:val="24"/>
                <w:szCs w:val="24"/>
              </w:rPr>
              <w:t>财政预算安排</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P</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五、</w:t>
            </w:r>
            <w:r>
              <w:rPr>
                <w:rFonts w:ascii="Times New Roman" w:hAnsi="Times New Roman" w:eastAsia="宋体" w:cs="Times New Roman"/>
                <w:kern w:val="0"/>
                <w:sz w:val="24"/>
                <w:szCs w:val="24"/>
              </w:rPr>
              <w:t>2023</w:t>
            </w:r>
            <w:r>
              <w:rPr>
                <w:rFonts w:hint="eastAsia" w:ascii="Times New Roman" w:hAnsi="Times New Roman" w:eastAsia="方正仿宋_GBK" w:cs="Times New Roman"/>
                <w:kern w:val="0"/>
                <w:sz w:val="24"/>
                <w:szCs w:val="24"/>
              </w:rPr>
              <w:t>年付息支出预算数</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Q=R+S</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9.14</w:t>
            </w:r>
            <w:r>
              <w:rPr>
                <w:rFonts w:ascii="Times New Roman" w:hAnsi="Times New Roman" w:eastAsia="宋体" w:cs="Times New Roman"/>
                <w:kern w:val="0"/>
                <w:sz w:val="24"/>
                <w:szCs w:val="24"/>
              </w:rPr>
              <w:t xml:space="preserve">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（一）一般债券</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R</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2.82 </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（二）专项债券</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S</w:t>
            </w:r>
          </w:p>
        </w:tc>
        <w:tc>
          <w:tcPr>
            <w:tcW w:w="0" w:type="auto"/>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6.32 </w:t>
            </w:r>
          </w:p>
        </w:tc>
      </w:tr>
      <w:tr>
        <w:tblPrEx>
          <w:tblCellMar>
            <w:top w:w="0" w:type="dxa"/>
            <w:left w:w="108" w:type="dxa"/>
            <w:bottom w:w="0" w:type="dxa"/>
            <w:right w:w="108" w:type="dxa"/>
          </w:tblCellMar>
        </w:tblPrEx>
        <w:trPr>
          <w:trHeight w:val="20" w:hRule="atLeast"/>
        </w:trPr>
        <w:tc>
          <w:tcPr>
            <w:tcW w:w="0" w:type="auto"/>
            <w:gridSpan w:val="3"/>
            <w:tcBorders>
              <w:top w:val="nil"/>
              <w:left w:val="nil"/>
              <w:bottom w:val="nil"/>
              <w:right w:val="nil"/>
            </w:tcBorders>
            <w:shd w:val="clear" w:color="auto" w:fill="auto"/>
            <w:vAlign w:val="center"/>
          </w:tcPr>
          <w:p>
            <w:pPr>
              <w:widowControl/>
              <w:adjustRightInd w:val="0"/>
              <w:snapToGrid w:val="0"/>
              <w:spacing w:line="400" w:lineRule="exact"/>
              <w:ind w:left="440" w:hanging="440" w:hangingChars="200"/>
              <w:jc w:val="left"/>
              <w:rPr>
                <w:rFonts w:ascii="Times New Roman" w:hAnsi="Times New Roman" w:eastAsia="宋体" w:cs="Times New Roman"/>
                <w:kern w:val="0"/>
                <w:sz w:val="22"/>
              </w:rPr>
            </w:pPr>
            <w:r>
              <w:rPr>
                <w:rFonts w:hint="eastAsia" w:ascii="Times New Roman" w:hAnsi="Times New Roman" w:eastAsia="方正仿宋_GBK" w:cs="Times New Roman"/>
                <w:kern w:val="0"/>
                <w:sz w:val="22"/>
              </w:rPr>
              <w:t>注：</w:t>
            </w:r>
            <w:r>
              <w:rPr>
                <w:rFonts w:ascii="Times New Roman" w:hAnsi="Times New Roman" w:eastAsia="宋体" w:cs="Times New Roman"/>
                <w:kern w:val="0"/>
                <w:sz w:val="22"/>
              </w:rPr>
              <w:t>1.</w:t>
            </w:r>
            <w:r>
              <w:rPr>
                <w:rFonts w:hint="eastAsia" w:ascii="Times New Roman" w:hAnsi="Times New Roman" w:eastAsia="方正仿宋_GBK" w:cs="Times New Roman"/>
                <w:kern w:val="0"/>
                <w:sz w:val="22"/>
              </w:rPr>
              <w:t>本表反映本地区上一年度地方政府债券（含再融资债券）发行及还本付息支出预计执行数、本年度地方政府债券还本付息预算数等。</w:t>
            </w:r>
            <w:r>
              <w:rPr>
                <w:rFonts w:hint="eastAsia" w:ascii="Times New Roman" w:hAnsi="Times New Roman" w:eastAsia="方正仿宋_GBK" w:cs="Times New Roman"/>
                <w:kern w:val="0"/>
                <w:sz w:val="22"/>
              </w:rPr>
              <w:br w:type="textWrapping"/>
            </w:r>
            <w:r>
              <w:rPr>
                <w:rFonts w:ascii="Times New Roman" w:hAnsi="Times New Roman" w:eastAsia="宋体" w:cs="Times New Roman"/>
                <w:kern w:val="0"/>
                <w:sz w:val="22"/>
              </w:rPr>
              <w:t>2.</w:t>
            </w:r>
            <w:r>
              <w:rPr>
                <w:rFonts w:hint="eastAsia" w:ascii="Times New Roman" w:hAnsi="Times New Roman" w:eastAsia="方正仿宋_GBK" w:cs="Times New Roman"/>
                <w:kern w:val="0"/>
                <w:sz w:val="22"/>
              </w:rPr>
              <w:t>本表由县级以上地方各级财政部门在本级人民代表大会批准预算后二十日内公开。</w:t>
            </w:r>
          </w:p>
        </w:tc>
      </w:tr>
    </w:tbl>
    <w:p>
      <w:pPr>
        <w:widowControl/>
        <w:spacing w:line="600" w:lineRule="exact"/>
        <w:ind w:right="-227" w:rightChars="-108"/>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表3</w:t>
      </w:r>
      <w:r>
        <w:rPr>
          <w:rFonts w:hint="eastAsia" w:ascii="Times New Roman" w:hAnsi="Times New Roman" w:eastAsia="方正黑体_GBK" w:cs="Times New Roman"/>
          <w:kern w:val="0"/>
          <w:sz w:val="32"/>
          <w:szCs w:val="32"/>
        </w:rPr>
        <w:t>3</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九龙坡区2023年地方政府债务限额提前</w:t>
      </w:r>
    </w:p>
    <w:p>
      <w:pPr>
        <w:adjustRightInd w:val="0"/>
        <w:snapToGrid w:val="0"/>
        <w:spacing w:line="600" w:lineRule="exact"/>
        <w:ind w:right="880"/>
        <w:jc w:val="center"/>
        <w:rPr>
          <w:rFonts w:ascii="Times New Roman" w:hAnsi="Times New Roman" w:eastAsia="方正小标宋_GBK"/>
          <w:sz w:val="44"/>
          <w:szCs w:val="44"/>
        </w:rPr>
      </w:pPr>
      <w:r>
        <w:rPr>
          <w:rFonts w:hint="eastAsia" w:ascii="Times New Roman" w:hAnsi="Times New Roman" w:eastAsia="方正小标宋_GBK"/>
          <w:sz w:val="44"/>
          <w:szCs w:val="44"/>
        </w:rPr>
        <w:t>下达情况表</w:t>
      </w:r>
    </w:p>
    <w:p>
      <w:pPr>
        <w:adjustRightInd w:val="0"/>
        <w:snapToGrid w:val="0"/>
        <w:spacing w:line="600" w:lineRule="exact"/>
        <w:ind w:right="40"/>
        <w:jc w:val="right"/>
        <w:rPr>
          <w:rFonts w:ascii="Times New Roman" w:hAnsi="Times New Roman" w:eastAsia="方正仿宋_GBK" w:cs="Times New Roman"/>
          <w:kern w:val="0"/>
          <w:sz w:val="28"/>
          <w:szCs w:val="28"/>
        </w:rPr>
      </w:pPr>
      <w:r>
        <w:rPr>
          <w:rFonts w:hint="eastAsia" w:ascii="Times New Roman" w:hAnsi="Times New Roman" w:eastAsia="方正仿宋_GBK" w:cs="Times New Roman"/>
          <w:kern w:val="0"/>
          <w:sz w:val="28"/>
          <w:szCs w:val="28"/>
        </w:rPr>
        <w:t xml:space="preserve"> 单位：亿元</w:t>
      </w:r>
    </w:p>
    <w:tbl>
      <w:tblPr>
        <w:tblStyle w:val="9"/>
        <w:tblW w:w="9512" w:type="dxa"/>
        <w:jc w:val="center"/>
        <w:tblLayout w:type="autofit"/>
        <w:tblCellMar>
          <w:top w:w="0" w:type="dxa"/>
          <w:left w:w="108" w:type="dxa"/>
          <w:bottom w:w="0" w:type="dxa"/>
          <w:right w:w="108" w:type="dxa"/>
        </w:tblCellMar>
      </w:tblPr>
      <w:tblGrid>
        <w:gridCol w:w="4960"/>
        <w:gridCol w:w="1045"/>
        <w:gridCol w:w="997"/>
        <w:gridCol w:w="997"/>
        <w:gridCol w:w="1513"/>
      </w:tblGrid>
      <w:tr>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项    目</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公  式</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本地区</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本  级</w:t>
            </w:r>
          </w:p>
        </w:tc>
        <w:tc>
          <w:tcPr>
            <w:tcW w:w="14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黑体_GBK" w:cs="宋体"/>
                <w:kern w:val="0"/>
                <w:sz w:val="24"/>
                <w:szCs w:val="24"/>
              </w:rPr>
            </w:pPr>
            <w:r>
              <w:rPr>
                <w:rFonts w:hint="eastAsia" w:ascii="Times New Roman" w:hAnsi="Times New Roman" w:eastAsia="方正黑体_GBK" w:cs="宋体"/>
                <w:kern w:val="0"/>
                <w:sz w:val="24"/>
                <w:szCs w:val="24"/>
              </w:rPr>
              <w:t>下  级</w:t>
            </w:r>
          </w:p>
        </w:tc>
      </w:tr>
      <w:tr>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一：</w:t>
            </w:r>
            <w:r>
              <w:rPr>
                <w:rFonts w:ascii="Times New Roman" w:hAnsi="Times New Roman" w:eastAsia="宋体" w:cs="Times New Roman"/>
                <w:kern w:val="0"/>
                <w:sz w:val="24"/>
                <w:szCs w:val="24"/>
              </w:rPr>
              <w:t>2022</w:t>
            </w:r>
            <w:r>
              <w:rPr>
                <w:rFonts w:hint="eastAsia" w:ascii="Times New Roman" w:hAnsi="Times New Roman" w:eastAsia="方正仿宋_GBK" w:cs="Times New Roman"/>
                <w:kern w:val="0"/>
                <w:sz w:val="24"/>
                <w:szCs w:val="24"/>
              </w:rPr>
              <w:t>年地方政府债务限额（预估数）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A=B+C</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271.2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271.2</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其中：</w:t>
            </w:r>
            <w:r>
              <w:rPr>
                <w:rFonts w:ascii="Times New Roman" w:hAnsi="Times New Roman" w:eastAsia="宋体" w:cs="Times New Roman"/>
                <w:kern w:val="0"/>
                <w:sz w:val="24"/>
                <w:szCs w:val="24"/>
              </w:rPr>
              <w:t xml:space="preserve"> </w:t>
            </w:r>
            <w:r>
              <w:rPr>
                <w:rFonts w:hint="eastAsia" w:ascii="Times New Roman" w:hAnsi="Times New Roman" w:eastAsia="方正仿宋_GBK" w:cs="Times New Roman"/>
                <w:kern w:val="0"/>
                <w:sz w:val="24"/>
                <w:szCs w:val="24"/>
              </w:rPr>
              <w:t>一般债务限额</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B</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84.3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84.3</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w:t>
            </w:r>
            <w:r>
              <w:rPr>
                <w:rFonts w:hint="eastAsia" w:ascii="Times New Roman" w:hAnsi="Times New Roman" w:eastAsia="方正仿宋_GBK" w:cs="Times New Roman"/>
                <w:kern w:val="0"/>
                <w:sz w:val="24"/>
                <w:szCs w:val="24"/>
              </w:rPr>
              <w:t>专项债务限额</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C</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186.9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186.9</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二：提前下达的</w:t>
            </w:r>
            <w:r>
              <w:rPr>
                <w:rFonts w:ascii="Times New Roman" w:hAnsi="Times New Roman" w:eastAsia="宋体" w:cs="Times New Roman"/>
                <w:kern w:val="0"/>
                <w:sz w:val="24"/>
                <w:szCs w:val="24"/>
              </w:rPr>
              <w:t>2023</w:t>
            </w:r>
            <w:r>
              <w:rPr>
                <w:rFonts w:hint="eastAsia" w:ascii="Times New Roman" w:hAnsi="Times New Roman" w:eastAsia="方正仿宋_GBK" w:cs="Times New Roman"/>
                <w:kern w:val="0"/>
                <w:sz w:val="24"/>
                <w:szCs w:val="24"/>
              </w:rPr>
              <w:t>年地方政府债务限额</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D=E+F</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hint="eastAsia" w:ascii="Times New Roman" w:hAnsi="Times New Roman" w:eastAsia="方正仿宋_GBK" w:cs="Times New Roman"/>
                <w:kern w:val="0"/>
                <w:sz w:val="24"/>
                <w:szCs w:val="24"/>
              </w:rPr>
              <w:t>其中：</w:t>
            </w:r>
            <w:r>
              <w:rPr>
                <w:rFonts w:ascii="Times New Roman" w:hAnsi="Times New Roman" w:eastAsia="宋体" w:cs="Times New Roman"/>
                <w:kern w:val="0"/>
                <w:sz w:val="24"/>
                <w:szCs w:val="24"/>
              </w:rPr>
              <w:t xml:space="preserve"> </w:t>
            </w:r>
            <w:r>
              <w:rPr>
                <w:rFonts w:hint="eastAsia" w:ascii="Times New Roman" w:hAnsi="Times New Roman" w:eastAsia="方正仿宋_GBK" w:cs="Times New Roman"/>
                <w:kern w:val="0"/>
                <w:sz w:val="24"/>
                <w:szCs w:val="24"/>
              </w:rPr>
              <w:t>一般债务限额</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E</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w:t>
            </w:r>
            <w:r>
              <w:rPr>
                <w:rFonts w:hint="eastAsia" w:ascii="Times New Roman" w:hAnsi="Times New Roman" w:eastAsia="方正仿宋_GBK" w:cs="Times New Roman"/>
                <w:kern w:val="0"/>
                <w:sz w:val="24"/>
                <w:szCs w:val="24"/>
              </w:rPr>
              <w:t>专项债务限额</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F</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r>
      <w:tr>
        <w:tblPrEx>
          <w:tblCellMar>
            <w:top w:w="0" w:type="dxa"/>
            <w:left w:w="108" w:type="dxa"/>
            <w:bottom w:w="0" w:type="dxa"/>
            <w:right w:w="108" w:type="dxa"/>
          </w:tblCellMar>
        </w:tblPrEx>
        <w:trPr>
          <w:trHeight w:val="20" w:hRule="atLeast"/>
          <w:jc w:val="center"/>
        </w:trPr>
        <w:tc>
          <w:tcPr>
            <w:tcW w:w="9512" w:type="dxa"/>
            <w:gridSpan w:val="5"/>
            <w:tcBorders>
              <w:top w:val="nil"/>
              <w:left w:val="nil"/>
              <w:bottom w:val="nil"/>
              <w:right w:val="nil"/>
            </w:tcBorders>
            <w:shd w:val="clear" w:color="auto" w:fill="auto"/>
            <w:vAlign w:val="center"/>
          </w:tcPr>
          <w:p>
            <w:pPr>
              <w:widowControl/>
              <w:adjustRightInd w:val="0"/>
              <w:snapToGrid w:val="0"/>
              <w:spacing w:line="400" w:lineRule="atLeast"/>
              <w:ind w:left="440" w:hanging="440" w:hangingChars="200"/>
              <w:jc w:val="left"/>
              <w:rPr>
                <w:rFonts w:ascii="Times New Roman" w:hAnsi="Times New Roman" w:eastAsia="方正仿宋_GBK" w:cs="Times New Roman"/>
                <w:kern w:val="0"/>
                <w:sz w:val="22"/>
              </w:rPr>
            </w:pPr>
            <w:r>
              <w:rPr>
                <w:rFonts w:ascii="Times New Roman" w:hAnsi="Times New Roman" w:eastAsia="方正仿宋_GBK" w:cs="Times New Roman"/>
                <w:kern w:val="0"/>
                <w:sz w:val="22"/>
              </w:rPr>
              <w:t>注：1.本表反映本地区及本级预算中列示提前下达的新增地方政府债务限额情况，由县级以上地方各级财政部门在本级人民代表大会批准预算后二十日内公开。</w:t>
            </w:r>
            <w:r>
              <w:rPr>
                <w:rFonts w:ascii="Times New Roman" w:hAnsi="Times New Roman" w:eastAsia="方正仿宋_GBK" w:cs="Times New Roman"/>
                <w:kern w:val="0"/>
                <w:sz w:val="22"/>
              </w:rPr>
              <w:br w:type="textWrapping"/>
            </w:r>
            <w:r>
              <w:rPr>
                <w:rFonts w:ascii="Times New Roman" w:hAnsi="Times New Roman" w:eastAsia="方正仿宋_GBK" w:cs="Times New Roman"/>
                <w:kern w:val="0"/>
                <w:sz w:val="22"/>
              </w:rPr>
              <w:t>2.截至目前，我区政府债务限额数据已锁定，但因市财政局未下达全市政府债务限额，故先将全区政府债务限额情况预估数提请人大审议，待市财政局文件下达后再向区人大报备。</w:t>
            </w:r>
          </w:p>
        </w:tc>
      </w:tr>
    </w:tbl>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ind w:right="880"/>
        <w:jc w:val="right"/>
        <w:rPr>
          <w:rFonts w:ascii="Times New Roman" w:hAnsi="Times New Roman" w:eastAsia="方正小标宋_GBK"/>
          <w:sz w:val="44"/>
          <w:szCs w:val="44"/>
        </w:rPr>
      </w:pPr>
    </w:p>
    <w:p>
      <w:pPr>
        <w:adjustRightInd w:val="0"/>
        <w:snapToGrid w:val="0"/>
        <w:spacing w:line="600" w:lineRule="exact"/>
        <w:rPr>
          <w:rFonts w:ascii="Times New Roman" w:hAnsi="Times New Roman" w:eastAsia="方正黑体_GBK" w:cs="Times New Roman"/>
          <w:sz w:val="32"/>
          <w:szCs w:val="32"/>
        </w:rPr>
      </w:pPr>
      <w:r>
        <w:rPr>
          <w:rFonts w:hint="eastAsia" w:ascii="Times New Roman" w:hAnsi="Times New Roman" w:eastAsia="方正黑体_GBK" w:cs="Times New Roman"/>
          <w:sz w:val="32"/>
          <w:szCs w:val="32"/>
        </w:rPr>
        <w:t>附件2</w:t>
      </w:r>
    </w:p>
    <w:p>
      <w:pPr>
        <w:adjustRightInd w:val="0"/>
        <w:snapToGrid w:val="0"/>
        <w:spacing w:line="600" w:lineRule="exact"/>
        <w:ind w:left="420" w:leftChars="200"/>
        <w:rPr>
          <w:rFonts w:ascii="Times New Roman" w:hAnsi="Times New Roman" w:eastAsia="宋体" w:cs="Times New Roman"/>
        </w:rPr>
      </w:pPr>
    </w:p>
    <w:p>
      <w:pPr>
        <w:adjustRightInd w:val="0"/>
        <w:snapToGrid w:val="0"/>
        <w:spacing w:line="600" w:lineRule="exact"/>
        <w:jc w:val="center"/>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财政术语解释</w:t>
      </w:r>
    </w:p>
    <w:p>
      <w:pPr>
        <w:adjustRightInd w:val="0"/>
        <w:snapToGrid w:val="0"/>
        <w:spacing w:line="600" w:lineRule="exact"/>
        <w:rPr>
          <w:rFonts w:ascii="Times New Roman" w:hAnsi="Times New Roman" w:eastAsia="方正仿宋_GBK" w:cs="Times New Roman"/>
          <w:sz w:val="32"/>
          <w:szCs w:val="32"/>
        </w:rPr>
      </w:pP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1.预算：</w:t>
      </w:r>
      <w:r>
        <w:rPr>
          <w:rFonts w:hint="eastAsia" w:ascii="Times New Roman" w:hAnsi="Times New Roman" w:eastAsia="方正仿宋_GBK" w:cs="Times New Roman"/>
          <w:sz w:val="32"/>
          <w:szCs w:val="32"/>
        </w:rPr>
        <w:t>是经法定程序审核批准的年度集中性财政收支计划。它规定财政收入的来源和数量、财政支出的各项用途和数量，反映着整个地区政策、政府活动的范围和方向。它包含的内容不仅仅是预测，还涉及到有计划地巧妙处理所有变量，这些变量决定着行政单位未来努力达到某一有利地位的绩效。</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2.一般公共预算：</w:t>
      </w:r>
      <w:r>
        <w:rPr>
          <w:rFonts w:hint="eastAsia" w:ascii="Times New Roman" w:hAnsi="Times New Roman" w:eastAsia="方正仿宋_GBK" w:cs="Times New Roman"/>
          <w:sz w:val="32"/>
          <w:szCs w:val="32"/>
        </w:rPr>
        <w:t>一般公共预算是对以税收为主体的财政收入，安排用于保障和改善民生、推动经济社会发展、维护国家安全、维持国家机构正常运转等方面的收支预算。</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3.三资：</w:t>
      </w:r>
      <w:r>
        <w:rPr>
          <w:rFonts w:hint="eastAsia" w:ascii="Times New Roman" w:hAnsi="Times New Roman" w:eastAsia="方正仿宋_GBK" w:cs="Times New Roman"/>
          <w:sz w:val="32"/>
          <w:szCs w:val="32"/>
        </w:rPr>
        <w:t>资金、资产、资源。</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4.财政转移支付：</w:t>
      </w:r>
      <w:r>
        <w:rPr>
          <w:rFonts w:hint="eastAsia" w:ascii="Times New Roman" w:hAnsi="Times New Roman" w:eastAsia="方正仿宋_GBK" w:cs="Times New Roman"/>
          <w:sz w:val="32"/>
          <w:szCs w:val="32"/>
        </w:rPr>
        <w:t>财政转移支付包括中央对地方的转移支付和地方上级政府对下级政府的转移支付，以为均衡地区间基本财力、由下级政府统筹安排使用的一般性转移支付为主体。</w:t>
      </w:r>
    </w:p>
    <w:p>
      <w:pPr>
        <w:adjustRightInd w:val="0"/>
        <w:snapToGrid w:val="0"/>
        <w:spacing w:line="600" w:lineRule="exact"/>
        <w:ind w:firstLine="640" w:firstLineChars="200"/>
        <w:rPr>
          <w:rFonts w:ascii="Times New Roman" w:hAnsi="Times New Roman" w:eastAsia="方正黑体_GBK" w:cs="Times New Roman"/>
          <w:sz w:val="32"/>
          <w:szCs w:val="32"/>
        </w:rPr>
      </w:pPr>
      <w:r>
        <w:rPr>
          <w:rFonts w:hint="eastAsia" w:ascii="Times New Roman" w:hAnsi="Times New Roman" w:eastAsia="方正黑体_GBK" w:cs="Times New Roman"/>
          <w:sz w:val="32"/>
          <w:szCs w:val="32"/>
        </w:rPr>
        <w:t>5.“三公”经费：</w:t>
      </w:r>
      <w:r>
        <w:rPr>
          <w:rFonts w:hint="eastAsia" w:ascii="Times New Roman" w:hAnsi="Times New Roman" w:eastAsia="方正仿宋_GBK" w:cs="Times New Roman"/>
          <w:sz w:val="32"/>
          <w:szCs w:val="32"/>
        </w:rPr>
        <w:t>指因公出国（境）费、公务用车购置及运行维护费、公务接待费。</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6.“7+1”财经秩序专项整治：</w:t>
      </w:r>
      <w:r>
        <w:rPr>
          <w:rFonts w:hint="eastAsia" w:ascii="Times New Roman" w:hAnsi="Times New Roman" w:eastAsia="方正仿宋_GBK" w:cs="Times New Roman"/>
          <w:sz w:val="32"/>
          <w:szCs w:val="32"/>
        </w:rPr>
        <w:t>指财政部开展的落实减税降费政策、政府过“紧日子”、基层“三保”保障、规范国库管理、加强资产管理、防范债务风险、整治防范中介机构变相截留相关涉农资金7个财经秩序专项整治行动，以及我区结合开展的“财会监督检查”行动。</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7.区管国有企业“631”偿债机制：</w:t>
      </w:r>
      <w:r>
        <w:rPr>
          <w:rFonts w:hint="eastAsia" w:ascii="Times New Roman" w:hAnsi="Times New Roman" w:eastAsia="方正仿宋_GBK" w:cs="Times New Roman"/>
          <w:sz w:val="32"/>
          <w:szCs w:val="32"/>
        </w:rPr>
        <w:t>指提前6个月制定到期还款计划，提前3个月落实资金来源，提前1个月账上备足偿债资金。</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8.零基预算：</w:t>
      </w:r>
      <w:r>
        <w:rPr>
          <w:rFonts w:hint="eastAsia" w:ascii="Times New Roman" w:hAnsi="Times New Roman" w:eastAsia="方正仿宋_GBK" w:cs="Times New Roman"/>
          <w:sz w:val="32"/>
          <w:szCs w:val="32"/>
        </w:rPr>
        <w:t>是不考虑过去的预算项目和收支水平，以零为基点编制的预算，具体指不受以往预算安排情况的影响，一切从实际需要出发，逐项审议预算年度内各项费用的内容及其开支标准，结合财力状况，在综合平衡的基础上编制预算的一种科学的现代预算编制方法。</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 xml:space="preserve">9.预决算公开： </w:t>
      </w:r>
      <w:r>
        <w:rPr>
          <w:rFonts w:hint="eastAsia" w:ascii="Times New Roman" w:hAnsi="Times New Roman" w:eastAsia="方正仿宋_GBK" w:cs="Times New Roman"/>
          <w:sz w:val="32"/>
          <w:szCs w:val="32"/>
        </w:rPr>
        <w:t>按照《中华人民共和国政府信息公开条例》（国务院令第492号）和《中华人民共和国预算法》要求，经同级人大或其常委会审议批准的预算、决算要主动向社会公开。各级政府财政部门负责本级政府总预算、决算的公开，各部门负责本部门预算、决算的公开。</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10.财政预算公开评审：</w:t>
      </w:r>
      <w:r>
        <w:rPr>
          <w:rFonts w:hint="eastAsia" w:ascii="Times New Roman" w:hAnsi="Times New Roman" w:eastAsia="方正仿宋_GBK" w:cs="Times New Roman"/>
          <w:sz w:val="32"/>
          <w:szCs w:val="32"/>
        </w:rPr>
        <w:t>指为规范预算单位收支行为，强化预算约束，根据《中华人民共和国预算法》《重庆市预算审查监督条例》，在预算编制过程中，采取成立评审组联合评审的方式，对预算单位申报的项目支出预算进行评审论证，提出评审意见和建议的预算管理活动。</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11.决算：</w:t>
      </w:r>
      <w:r>
        <w:rPr>
          <w:rFonts w:hint="eastAsia" w:ascii="Times New Roman" w:hAnsi="Times New Roman" w:eastAsia="方正仿宋_GBK" w:cs="Times New Roman"/>
          <w:sz w:val="32"/>
          <w:szCs w:val="32"/>
        </w:rPr>
        <w:t>是预算执行的总结。当预算执行进入终结阶段，要根据年度执行的最终结果编制决算。它反映年度预算收支的最终结果，是经济活动在财政上的集中反映。决算收入表明建设资金的主要来源、构成和资金积累水平，决算支出体现了各项经济建设和社会发展事业的规模和速度。</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12.预算绩效一体化：</w:t>
      </w:r>
      <w:r>
        <w:rPr>
          <w:rFonts w:hint="eastAsia" w:ascii="Times New Roman" w:hAnsi="Times New Roman" w:eastAsia="方正仿宋_GBK" w:cs="Times New Roman"/>
          <w:sz w:val="32"/>
          <w:szCs w:val="32"/>
        </w:rPr>
        <w:t>以统一预算管理规则为核心，以预算管理一体化系统为主要载体，将统一的管理规则嵌入信息系统，提高项目储备、预算编审、预算调整和调剂、资金支付、会计核算、决算和报告等工作的标准化、自动化水平，实现对预算管理全流程的动态反映和有效控制，保证各级预算管理规范高效。</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13.预算绩效管理：</w:t>
      </w:r>
      <w:r>
        <w:rPr>
          <w:rFonts w:hint="eastAsia" w:ascii="Times New Roman" w:hAnsi="Times New Roman" w:eastAsia="方正仿宋_GBK" w:cs="Times New Roman"/>
          <w:sz w:val="32"/>
          <w:szCs w:val="32"/>
        </w:rPr>
        <w:t>是政府绩效管理的重要组成部分，是一种以支出结果为导向的预算管理模式。它强化政府预算为民服务的理念，强调预算支出的责任和效率，要求在预算编制、执行、监督的全过程中更加关注预算资金的产出和结果，要求政府部门不断改进服务水平和质量，花尽量少的资金、办尽量多的实事，向社会公众提供更多、更好的公共产品和公共服务，使政府行为更加务实、高效。</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14.政府采购：</w:t>
      </w:r>
      <w:r>
        <w:rPr>
          <w:rFonts w:hint="eastAsia" w:ascii="Times New Roman" w:hAnsi="Times New Roman" w:eastAsia="方正仿宋_GBK" w:cs="Times New Roman"/>
          <w:sz w:val="32"/>
          <w:szCs w:val="32"/>
        </w:rPr>
        <w:t>指各级国家机关、事业单位和团体组织，按政府采购法规和相关规定，使用财政性资金采购法定集中采购目录以内的或者采购限额标准以上的货物、工程和服务的行为。</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15.股权投资：</w:t>
      </w:r>
      <w:r>
        <w:rPr>
          <w:rFonts w:hint="eastAsia" w:ascii="Times New Roman" w:hAnsi="Times New Roman" w:eastAsia="方正仿宋_GBK" w:cs="Times New Roman"/>
          <w:sz w:val="32"/>
          <w:szCs w:val="32"/>
        </w:rPr>
        <w:t>指通过以货币资金、无形资产和其他实物资产直接投资于被投单位，从而取得被投单位股份，实现对被投资单位控制、共同控制、重大影响或与被投资单位建立密切关系，以期通过单位经营而取得投资收益的行为。</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16.政府性基金预算：</w:t>
      </w:r>
      <w:r>
        <w:rPr>
          <w:rFonts w:hint="eastAsia" w:ascii="Times New Roman" w:hAnsi="Times New Roman" w:eastAsia="方正仿宋_GBK" w:cs="Times New Roman"/>
          <w:sz w:val="32"/>
          <w:szCs w:val="32"/>
        </w:rPr>
        <w:t>政府性基金预算是对依照法律、行政法规的规定在一定期限内向特定对象征收、收取或者以其他方式筹集的资金，专项用于特定公共事业发展的收支预算。</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17.国有资本经营预算：</w:t>
      </w:r>
      <w:r>
        <w:rPr>
          <w:rFonts w:hint="eastAsia" w:ascii="Times New Roman" w:hAnsi="Times New Roman" w:eastAsia="方正仿宋_GBK" w:cs="Times New Roman"/>
          <w:sz w:val="32"/>
          <w:szCs w:val="32"/>
        </w:rPr>
        <w:t>国有资本经营预算是对国有资本收益作出支出安排的收支预算。</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18.预算稳定调节基金：</w:t>
      </w:r>
      <w:r>
        <w:rPr>
          <w:rFonts w:hint="eastAsia" w:ascii="Times New Roman" w:hAnsi="Times New Roman" w:eastAsia="方正仿宋_GBK" w:cs="Times New Roman"/>
          <w:sz w:val="32"/>
          <w:szCs w:val="32"/>
        </w:rPr>
        <w:t>指各级财政通过超收安排的具有储备性质的基金，用于弥补短收年份预算执行的收支缺口，以及视预算平衡情况，在安排年初预算时调入并安排使用。</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19.非税收入：</w:t>
      </w:r>
      <w:r>
        <w:rPr>
          <w:rFonts w:hint="eastAsia" w:ascii="Times New Roman" w:hAnsi="Times New Roman" w:eastAsia="方正仿宋_GBK" w:cs="Times New Roman"/>
          <w:sz w:val="32"/>
          <w:szCs w:val="32"/>
        </w:rPr>
        <w:t>指除税收以外，由各级政府、国家机关、事业单位、代行政府职能的社会团体及其他组织依法利用政府权力、政府信誉、国家资源、国有资产或提供特定公共服务、准公共服务取得用于满足社会公共需要或准公共需要的财政性资金。</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20.上级补助收入：</w:t>
      </w:r>
      <w:r>
        <w:rPr>
          <w:rFonts w:hint="eastAsia" w:ascii="Times New Roman" w:hAnsi="Times New Roman" w:eastAsia="方正仿宋_GBK" w:cs="Times New Roman"/>
          <w:sz w:val="32"/>
          <w:szCs w:val="32"/>
        </w:rPr>
        <w:t>指上级财政按照有关法律法规、财政体制和政策规定，给予下级财政的补助资金，主要包括返还性收入、一般性转移支付收入、专项转移支付收入。</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21.上解支出：</w:t>
      </w:r>
      <w:r>
        <w:rPr>
          <w:rFonts w:hint="eastAsia" w:ascii="Times New Roman" w:hAnsi="Times New Roman" w:eastAsia="方正仿宋_GBK" w:cs="Times New Roman"/>
          <w:sz w:val="32"/>
          <w:szCs w:val="32"/>
        </w:rPr>
        <w:t>指下级财政按照有关法律法规、财政体制和政策规定，上解上级财政的支出，主要包括体制上解支出和专项上解支出。</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22.债务转贷收入：</w:t>
      </w:r>
      <w:r>
        <w:rPr>
          <w:rFonts w:hint="eastAsia" w:ascii="Times New Roman" w:hAnsi="Times New Roman" w:eastAsia="方正仿宋_GBK" w:cs="Times New Roman"/>
          <w:sz w:val="32"/>
          <w:szCs w:val="32"/>
        </w:rPr>
        <w:t>指本级政府财政收到上级政府财政转贷的债务收入。</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方正仿宋_GBK"/>
          <w:sz w:val="32"/>
          <w:szCs w:val="32"/>
        </w:rPr>
        <w:t>23.三馆一站</w:t>
      </w:r>
      <w:r>
        <w:rPr>
          <w:rFonts w:hint="eastAsia" w:ascii="Times New Roman" w:hAnsi="Times New Roman" w:eastAsia="方正黑体_GBK" w:cs="Times New Roman"/>
          <w:sz w:val="32"/>
          <w:szCs w:val="32"/>
        </w:rPr>
        <w:t>：</w:t>
      </w:r>
      <w:r>
        <w:rPr>
          <w:rFonts w:hint="eastAsia" w:ascii="Times New Roman" w:hAnsi="Times New Roman" w:eastAsia="方正仿宋_GBK" w:cs="Times New Roman"/>
          <w:sz w:val="32"/>
          <w:szCs w:val="32"/>
        </w:rPr>
        <w:t>指文化馆、公共图书馆、美术馆以及乡镇综合文化站。</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方正仿宋_GBK"/>
          <w:sz w:val="32"/>
          <w:szCs w:val="32"/>
        </w:rPr>
        <w:t>24.一标三实：</w:t>
      </w:r>
      <w:r>
        <w:rPr>
          <w:rFonts w:hint="eastAsia" w:ascii="Times New Roman" w:hAnsi="Times New Roman" w:eastAsia="方正仿宋_GBK" w:cs="Times New Roman"/>
          <w:sz w:val="32"/>
          <w:szCs w:val="32"/>
        </w:rPr>
        <w:t>指标准地址、实有人口、实有房屋、实有单位。</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25.公立医院“六大投入”：</w:t>
      </w:r>
      <w:r>
        <w:rPr>
          <w:rFonts w:hint="eastAsia" w:ascii="Times New Roman" w:hAnsi="Times New Roman" w:eastAsia="方正仿宋_GBK" w:cs="Times New Roman"/>
          <w:sz w:val="32"/>
          <w:szCs w:val="32"/>
        </w:rPr>
        <w:t>指《中共中央国务院关于深化医药卫生体制改革的意见》（国办〔2009〕6号）所明确的政府对公立医院的定位和投入方向，“政府对公立医院投入，主要用于基本建设和设备购置、重点学科发展、人才培养、符合国家规定的离退休人员费用和政策性亏损补贴等投入，对公立医院承担的公共卫生任务给予专项补助”。</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方正仿宋_GBK"/>
          <w:sz w:val="32"/>
          <w:szCs w:val="32"/>
        </w:rPr>
        <w:t>26.“三无”小区：</w:t>
      </w:r>
      <w:r>
        <w:rPr>
          <w:rFonts w:hint="eastAsia" w:ascii="Times New Roman" w:hAnsi="Times New Roman" w:eastAsia="方正仿宋_GBK" w:cs="方正仿宋_GBK"/>
          <w:sz w:val="32"/>
          <w:szCs w:val="32"/>
        </w:rPr>
        <w:t>指无物管、无主管部门、无人防物防小区。</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27.结转资金：</w:t>
      </w:r>
      <w:r>
        <w:rPr>
          <w:rFonts w:hint="eastAsia" w:ascii="Times New Roman" w:hAnsi="Times New Roman" w:eastAsia="方正仿宋_GBK" w:cs="Times New Roman"/>
          <w:sz w:val="32"/>
          <w:szCs w:val="32"/>
        </w:rPr>
        <w:t>指当年支出预算已执行但尚未完成，或因故未执行，下年需按原用途继续使用的财政资金。</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Times New Roman"/>
          <w:sz w:val="32"/>
          <w:szCs w:val="32"/>
        </w:rPr>
        <w:t>28.结余资金：</w:t>
      </w:r>
      <w:r>
        <w:rPr>
          <w:rFonts w:hint="eastAsia" w:ascii="Times New Roman" w:hAnsi="Times New Roman" w:eastAsia="方正仿宋_GBK" w:cs="Times New Roman"/>
          <w:sz w:val="32"/>
          <w:szCs w:val="32"/>
        </w:rPr>
        <w:t>指同各级财政有缴拨款关系的行政事业单位等在预算年度结束时，尚未列支出的财政拨款资金。</w:t>
      </w:r>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黑体_GBK" w:cs="方正仿宋_GBK"/>
          <w:sz w:val="32"/>
          <w:szCs w:val="32"/>
        </w:rPr>
        <w:t>29.三本预算：</w:t>
      </w:r>
      <w:r>
        <w:rPr>
          <w:rFonts w:hint="eastAsia" w:ascii="Times New Roman" w:hAnsi="Times New Roman" w:eastAsia="方正仿宋_GBK" w:cs="方正仿宋_GBK"/>
          <w:sz w:val="32"/>
          <w:szCs w:val="32"/>
        </w:rPr>
        <w:t>指一般公共预算、政府性基金预算、国有资本经营预算。</w:t>
      </w:r>
    </w:p>
    <w:p>
      <w:pPr>
        <w:adjustRightInd w:val="0"/>
        <w:snapToGrid w:val="0"/>
        <w:spacing w:line="600" w:lineRule="exact"/>
        <w:ind w:right="880"/>
        <w:jc w:val="right"/>
        <w:rPr>
          <w:rFonts w:ascii="Times New Roman" w:hAnsi="Times New Roman" w:eastAsia="方正小标宋_GBK"/>
          <w:sz w:val="44"/>
          <w:szCs w:val="44"/>
        </w:rPr>
      </w:pPr>
    </w:p>
    <w:sectPr>
      <w:pgSz w:w="11906" w:h="16838"/>
      <w:pgMar w:top="1985" w:right="1446" w:bottom="1644" w:left="1446" w:header="851" w:footer="147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79DF89F-3BFA-42BF-9DFD-F08FB6C81AB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48337F2-431C-4436-A1B9-CE57910980D4}"/>
  </w:font>
  <w:font w:name="方正小标宋_GBK">
    <w:panose1 w:val="02000000000000000000"/>
    <w:charset w:val="86"/>
    <w:family w:val="script"/>
    <w:pitch w:val="default"/>
    <w:sig w:usb0="A00002BF" w:usb1="38CF7CFA" w:usb2="00082016" w:usb3="00000000" w:csb0="00040001" w:csb1="00000000"/>
    <w:embedRegular r:id="rId3" w:fontKey="{ACEB75F9-4003-4CBC-AA41-1BED28E7F22C}"/>
  </w:font>
  <w:font w:name="方正楷体_GBK">
    <w:panose1 w:val="02000000000000000000"/>
    <w:charset w:val="86"/>
    <w:family w:val="script"/>
    <w:pitch w:val="default"/>
    <w:sig w:usb0="800002BF" w:usb1="38CF7CFA" w:usb2="00000016" w:usb3="00000000" w:csb0="00040000" w:csb1="00000000"/>
    <w:embedRegular r:id="rId4" w:fontKey="{BE8A7B05-B923-452E-A1FA-3550F3C900A6}"/>
  </w:font>
  <w:font w:name="方正仿宋_GBK">
    <w:panose1 w:val="03000509000000000000"/>
    <w:charset w:val="86"/>
    <w:family w:val="script"/>
    <w:pitch w:val="default"/>
    <w:sig w:usb0="00000001" w:usb1="080E0000" w:usb2="00000000" w:usb3="00000000" w:csb0="00040000" w:csb1="00000000"/>
    <w:embedRegular r:id="rId5" w:fontKey="{15C935C4-F232-4810-AD2A-1F6FAFD5BE02}"/>
  </w:font>
  <w:font w:name="方正黑体_GBK">
    <w:altName w:val="微软雅黑"/>
    <w:panose1 w:val="03000509000000000000"/>
    <w:charset w:val="86"/>
    <w:family w:val="script"/>
    <w:pitch w:val="default"/>
    <w:sig w:usb0="00000000" w:usb1="00000000" w:usb2="00000010" w:usb3="00000000" w:csb0="00040000" w:csb1="00000000"/>
    <w:embedRegular r:id="rId6" w:fontKey="{63BCDE88-CE89-4F92-AD2A-DDBF0F919B8D}"/>
  </w:font>
  <w:font w:name="等线">
    <w:panose1 w:val="02010600030101010101"/>
    <w:charset w:val="86"/>
    <w:family w:val="auto"/>
    <w:pitch w:val="default"/>
    <w:sig w:usb0="A00002BF" w:usb1="38CF7CFA" w:usb2="00000016" w:usb3="00000000" w:csb0="0004000F" w:csb1="00000000"/>
    <w:embedRegular r:id="rId7" w:fontKey="{0F6986E3-5B5C-40D2-9459-3C7830B5C6CE}"/>
  </w:font>
  <w:font w:name="仿宋_GB2312">
    <w:altName w:val="仿宋"/>
    <w:panose1 w:val="00000000000000000000"/>
    <w:charset w:val="86"/>
    <w:family w:val="modern"/>
    <w:pitch w:val="default"/>
    <w:sig w:usb0="00000000" w:usb1="00000000" w:usb2="00000010" w:usb3="00000000" w:csb0="00040000" w:csb1="00000000"/>
    <w:embedRegular r:id="rId8" w:fontKey="{EC07AEC8-6803-4554-8D8E-C2788F9D818C}"/>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jc w:val="right"/>
    </w:pPr>
    <w:r>
      <w:rPr>
        <w:rFonts w:ascii="宋体" w:hAnsi="宋体" w:eastAsia="宋体" w:cs="Times New Roman"/>
        <w:sz w:val="28"/>
        <w:szCs w:val="28"/>
      </w:rPr>
      <w:t xml:space="preserve">— </w:t>
    </w:r>
    <w:r>
      <w:rPr>
        <w:rFonts w:ascii="宋体" w:hAnsi="宋体" w:eastAsia="宋体" w:cs="Times New Roman"/>
        <w:sz w:val="28"/>
        <w:szCs w:val="28"/>
      </w:rPr>
      <w:fldChar w:fldCharType="begin"/>
    </w:r>
    <w:r>
      <w:rPr>
        <w:rFonts w:ascii="宋体" w:hAnsi="宋体" w:eastAsia="宋体" w:cs="Times New Roman"/>
        <w:sz w:val="28"/>
        <w:szCs w:val="28"/>
      </w:rPr>
      <w:instrText xml:space="preserve"> PAGE   \* MERGEFORMAT </w:instrText>
    </w:r>
    <w:r>
      <w:rPr>
        <w:rFonts w:ascii="宋体" w:hAnsi="宋体" w:eastAsia="宋体" w:cs="Times New Roman"/>
        <w:sz w:val="28"/>
        <w:szCs w:val="28"/>
      </w:rPr>
      <w:fldChar w:fldCharType="separate"/>
    </w:r>
    <w:r>
      <w:rPr>
        <w:rFonts w:ascii="宋体" w:hAnsi="宋体" w:eastAsia="宋体" w:cs="Times New Roman"/>
        <w:sz w:val="28"/>
        <w:szCs w:val="28"/>
        <w:lang w:val="zh-CN"/>
      </w:rPr>
      <w:t>141</w:t>
    </w:r>
    <w:r>
      <w:rPr>
        <w:rFonts w:ascii="宋体" w:hAnsi="宋体" w:eastAsia="宋体" w:cs="Times New Roman"/>
        <w:sz w:val="28"/>
        <w:szCs w:val="28"/>
      </w:rPr>
      <w:fldChar w:fldCharType="end"/>
    </w:r>
    <w:r>
      <w:rPr>
        <w:rFonts w:ascii="宋体" w:hAnsi="宋体" w:eastAsia="宋体" w:cs="Times New Roman"/>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0746860"/>
    </w:sdtPr>
    <w:sdtEndPr>
      <w:rPr>
        <w:rFonts w:ascii="宋体" w:hAnsi="宋体" w:eastAsia="宋体"/>
      </w:rPr>
    </w:sdtEndPr>
    <w:sdtContent>
      <w:p>
        <w:pPr>
          <w:pStyle w:val="7"/>
          <w:ind w:firstLine="180" w:firstLineChars="100"/>
          <w:rPr>
            <w:rFonts w:ascii="宋体" w:hAnsi="宋体" w:eastAsia="宋体"/>
          </w:rPr>
        </w:pPr>
        <w:r>
          <w:rPr>
            <w:rFonts w:ascii="宋体" w:hAnsi="宋体" w:eastAsia="宋体" w:cs="Times New Roman"/>
            <w:sz w:val="28"/>
            <w:szCs w:val="28"/>
          </w:rPr>
          <w:t xml:space="preserve">— </w:t>
        </w:r>
        <w:r>
          <w:rPr>
            <w:rFonts w:ascii="宋体" w:hAnsi="宋体" w:eastAsia="宋体" w:cs="Times New Roman"/>
            <w:sz w:val="28"/>
            <w:szCs w:val="28"/>
          </w:rPr>
          <w:fldChar w:fldCharType="begin"/>
        </w:r>
        <w:r>
          <w:rPr>
            <w:rFonts w:ascii="宋体" w:hAnsi="宋体" w:eastAsia="宋体" w:cs="Times New Roman"/>
            <w:sz w:val="28"/>
            <w:szCs w:val="28"/>
          </w:rPr>
          <w:instrText xml:space="preserve"> PAGE   \* MERGEFORMAT </w:instrText>
        </w:r>
        <w:r>
          <w:rPr>
            <w:rFonts w:ascii="宋体" w:hAnsi="宋体" w:eastAsia="宋体" w:cs="Times New Roman"/>
            <w:sz w:val="28"/>
            <w:szCs w:val="28"/>
          </w:rPr>
          <w:fldChar w:fldCharType="separate"/>
        </w:r>
        <w:r>
          <w:rPr>
            <w:rFonts w:ascii="宋体" w:hAnsi="宋体" w:eastAsia="宋体" w:cs="Times New Roman"/>
            <w:sz w:val="28"/>
            <w:szCs w:val="28"/>
            <w:lang w:val="zh-CN"/>
          </w:rPr>
          <w:t>140</w:t>
        </w:r>
        <w:r>
          <w:rPr>
            <w:rFonts w:ascii="宋体" w:hAnsi="宋体" w:eastAsia="宋体" w:cs="Times New Roman"/>
            <w:sz w:val="28"/>
            <w:szCs w:val="28"/>
          </w:rPr>
          <w:fldChar w:fldCharType="end"/>
        </w:r>
        <w:r>
          <w:rPr>
            <w:rFonts w:ascii="宋体" w:hAnsi="宋体" w:eastAsia="宋体" w:cs="Times New Roman"/>
            <w:sz w:val="28"/>
            <w:szCs w:val="28"/>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RmYWUxOWJhMWE5OGFmZGQyNzA0NjBkZTNhOGRjMDEifQ=="/>
  </w:docVars>
  <w:rsids>
    <w:rsidRoot w:val="00B05CF2"/>
    <w:rsid w:val="00000D1B"/>
    <w:rsid w:val="00001478"/>
    <w:rsid w:val="00005C11"/>
    <w:rsid w:val="000071DA"/>
    <w:rsid w:val="00010B5C"/>
    <w:rsid w:val="000111C5"/>
    <w:rsid w:val="0001236C"/>
    <w:rsid w:val="00014783"/>
    <w:rsid w:val="0002089D"/>
    <w:rsid w:val="00021211"/>
    <w:rsid w:val="00022627"/>
    <w:rsid w:val="00023C5D"/>
    <w:rsid w:val="00024020"/>
    <w:rsid w:val="00025C58"/>
    <w:rsid w:val="0003347A"/>
    <w:rsid w:val="000368B4"/>
    <w:rsid w:val="00037F83"/>
    <w:rsid w:val="00041184"/>
    <w:rsid w:val="00045CC9"/>
    <w:rsid w:val="0004627D"/>
    <w:rsid w:val="00046A65"/>
    <w:rsid w:val="00054D9D"/>
    <w:rsid w:val="00063299"/>
    <w:rsid w:val="00065B50"/>
    <w:rsid w:val="00070ED7"/>
    <w:rsid w:val="00071DE1"/>
    <w:rsid w:val="00073619"/>
    <w:rsid w:val="00081FED"/>
    <w:rsid w:val="00083A7B"/>
    <w:rsid w:val="00084BF3"/>
    <w:rsid w:val="000874AD"/>
    <w:rsid w:val="0009047E"/>
    <w:rsid w:val="00090550"/>
    <w:rsid w:val="00090790"/>
    <w:rsid w:val="00091400"/>
    <w:rsid w:val="00095A4B"/>
    <w:rsid w:val="0009628C"/>
    <w:rsid w:val="000A0160"/>
    <w:rsid w:val="000A647F"/>
    <w:rsid w:val="000A6E3B"/>
    <w:rsid w:val="000A753A"/>
    <w:rsid w:val="000B04A0"/>
    <w:rsid w:val="000B29A1"/>
    <w:rsid w:val="000B2DC0"/>
    <w:rsid w:val="000B4D60"/>
    <w:rsid w:val="000B6EAD"/>
    <w:rsid w:val="000C31FB"/>
    <w:rsid w:val="000C320F"/>
    <w:rsid w:val="000C7514"/>
    <w:rsid w:val="000D1348"/>
    <w:rsid w:val="000D3076"/>
    <w:rsid w:val="000D43C7"/>
    <w:rsid w:val="000E16F8"/>
    <w:rsid w:val="000E1C87"/>
    <w:rsid w:val="000E3FEE"/>
    <w:rsid w:val="000E4601"/>
    <w:rsid w:val="000E6C76"/>
    <w:rsid w:val="000E75DB"/>
    <w:rsid w:val="000F057E"/>
    <w:rsid w:val="000F1790"/>
    <w:rsid w:val="000F2918"/>
    <w:rsid w:val="000F50EA"/>
    <w:rsid w:val="000F70CB"/>
    <w:rsid w:val="000F790F"/>
    <w:rsid w:val="00101405"/>
    <w:rsid w:val="00101E58"/>
    <w:rsid w:val="00103533"/>
    <w:rsid w:val="00103B2B"/>
    <w:rsid w:val="001069FE"/>
    <w:rsid w:val="00110589"/>
    <w:rsid w:val="0011087E"/>
    <w:rsid w:val="00113E7F"/>
    <w:rsid w:val="001219A0"/>
    <w:rsid w:val="001224EF"/>
    <w:rsid w:val="00122C43"/>
    <w:rsid w:val="00123E61"/>
    <w:rsid w:val="00125966"/>
    <w:rsid w:val="00125F83"/>
    <w:rsid w:val="001260E7"/>
    <w:rsid w:val="00131492"/>
    <w:rsid w:val="0013288C"/>
    <w:rsid w:val="0013320A"/>
    <w:rsid w:val="001360FB"/>
    <w:rsid w:val="0013637F"/>
    <w:rsid w:val="00140DAB"/>
    <w:rsid w:val="00142791"/>
    <w:rsid w:val="00143144"/>
    <w:rsid w:val="0014377A"/>
    <w:rsid w:val="00147709"/>
    <w:rsid w:val="00151CBB"/>
    <w:rsid w:val="00152241"/>
    <w:rsid w:val="00152CEE"/>
    <w:rsid w:val="00153CB3"/>
    <w:rsid w:val="00155983"/>
    <w:rsid w:val="00155D29"/>
    <w:rsid w:val="00156A1B"/>
    <w:rsid w:val="00156B2B"/>
    <w:rsid w:val="00157282"/>
    <w:rsid w:val="00160E76"/>
    <w:rsid w:val="00164F61"/>
    <w:rsid w:val="00165A12"/>
    <w:rsid w:val="00171D50"/>
    <w:rsid w:val="00175FF2"/>
    <w:rsid w:val="001816AA"/>
    <w:rsid w:val="00186168"/>
    <w:rsid w:val="001861E5"/>
    <w:rsid w:val="001863BB"/>
    <w:rsid w:val="00186587"/>
    <w:rsid w:val="00186EF3"/>
    <w:rsid w:val="001B3463"/>
    <w:rsid w:val="001B3BF3"/>
    <w:rsid w:val="001B4101"/>
    <w:rsid w:val="001B5135"/>
    <w:rsid w:val="001B5538"/>
    <w:rsid w:val="001B7B8A"/>
    <w:rsid w:val="001C21A4"/>
    <w:rsid w:val="001C22A2"/>
    <w:rsid w:val="001C44C2"/>
    <w:rsid w:val="001C7383"/>
    <w:rsid w:val="001D05F2"/>
    <w:rsid w:val="001D1209"/>
    <w:rsid w:val="001D249C"/>
    <w:rsid w:val="001D7C14"/>
    <w:rsid w:val="001D7DEA"/>
    <w:rsid w:val="001D7E71"/>
    <w:rsid w:val="001E0284"/>
    <w:rsid w:val="001E2ABA"/>
    <w:rsid w:val="001E3F14"/>
    <w:rsid w:val="001E49FD"/>
    <w:rsid w:val="001E4D91"/>
    <w:rsid w:val="001E5F2A"/>
    <w:rsid w:val="001F0F70"/>
    <w:rsid w:val="001F2EF6"/>
    <w:rsid w:val="001F4101"/>
    <w:rsid w:val="001F5B5A"/>
    <w:rsid w:val="001F795D"/>
    <w:rsid w:val="002010CA"/>
    <w:rsid w:val="00202141"/>
    <w:rsid w:val="00202B51"/>
    <w:rsid w:val="0020343A"/>
    <w:rsid w:val="00203DE7"/>
    <w:rsid w:val="00205BB9"/>
    <w:rsid w:val="00210E7C"/>
    <w:rsid w:val="00210EF8"/>
    <w:rsid w:val="00211A87"/>
    <w:rsid w:val="00214C50"/>
    <w:rsid w:val="00216FB1"/>
    <w:rsid w:val="0021737E"/>
    <w:rsid w:val="00217C4E"/>
    <w:rsid w:val="00220528"/>
    <w:rsid w:val="00221F9B"/>
    <w:rsid w:val="00224344"/>
    <w:rsid w:val="00224514"/>
    <w:rsid w:val="0022542E"/>
    <w:rsid w:val="00225747"/>
    <w:rsid w:val="00225905"/>
    <w:rsid w:val="00225AF1"/>
    <w:rsid w:val="00226929"/>
    <w:rsid w:val="00226E70"/>
    <w:rsid w:val="00233FB8"/>
    <w:rsid w:val="0023457C"/>
    <w:rsid w:val="00234D4F"/>
    <w:rsid w:val="00240893"/>
    <w:rsid w:val="00250FAC"/>
    <w:rsid w:val="00253B4A"/>
    <w:rsid w:val="00253D5B"/>
    <w:rsid w:val="00255216"/>
    <w:rsid w:val="00257608"/>
    <w:rsid w:val="00261187"/>
    <w:rsid w:val="0026330E"/>
    <w:rsid w:val="0026405F"/>
    <w:rsid w:val="002658C9"/>
    <w:rsid w:val="002670C7"/>
    <w:rsid w:val="002715D7"/>
    <w:rsid w:val="00271A9A"/>
    <w:rsid w:val="00276230"/>
    <w:rsid w:val="0027661B"/>
    <w:rsid w:val="002768F0"/>
    <w:rsid w:val="00277A3C"/>
    <w:rsid w:val="00281C85"/>
    <w:rsid w:val="00284E3C"/>
    <w:rsid w:val="00285485"/>
    <w:rsid w:val="00285EFB"/>
    <w:rsid w:val="00286A76"/>
    <w:rsid w:val="00286B7F"/>
    <w:rsid w:val="00287115"/>
    <w:rsid w:val="00291DE6"/>
    <w:rsid w:val="002A0FB8"/>
    <w:rsid w:val="002A12EA"/>
    <w:rsid w:val="002A2C5F"/>
    <w:rsid w:val="002A31BC"/>
    <w:rsid w:val="002A4BB3"/>
    <w:rsid w:val="002B1227"/>
    <w:rsid w:val="002B19F2"/>
    <w:rsid w:val="002B2E6C"/>
    <w:rsid w:val="002B3629"/>
    <w:rsid w:val="002B5BA7"/>
    <w:rsid w:val="002B5D94"/>
    <w:rsid w:val="002C0089"/>
    <w:rsid w:val="002C14F7"/>
    <w:rsid w:val="002C18A7"/>
    <w:rsid w:val="002C216D"/>
    <w:rsid w:val="002C3A98"/>
    <w:rsid w:val="002C5B06"/>
    <w:rsid w:val="002C6A06"/>
    <w:rsid w:val="002C726C"/>
    <w:rsid w:val="002D16F1"/>
    <w:rsid w:val="002D3D9F"/>
    <w:rsid w:val="002D7672"/>
    <w:rsid w:val="002E6E47"/>
    <w:rsid w:val="002F40E2"/>
    <w:rsid w:val="002F620F"/>
    <w:rsid w:val="00304D66"/>
    <w:rsid w:val="00306643"/>
    <w:rsid w:val="003103BF"/>
    <w:rsid w:val="00311B5A"/>
    <w:rsid w:val="00322079"/>
    <w:rsid w:val="00324996"/>
    <w:rsid w:val="003266C7"/>
    <w:rsid w:val="0032773C"/>
    <w:rsid w:val="003347C4"/>
    <w:rsid w:val="003348E5"/>
    <w:rsid w:val="00334E57"/>
    <w:rsid w:val="00336049"/>
    <w:rsid w:val="003373C8"/>
    <w:rsid w:val="0034532F"/>
    <w:rsid w:val="00352F14"/>
    <w:rsid w:val="00353418"/>
    <w:rsid w:val="00354F20"/>
    <w:rsid w:val="003557AE"/>
    <w:rsid w:val="003564F1"/>
    <w:rsid w:val="003575B4"/>
    <w:rsid w:val="0036093F"/>
    <w:rsid w:val="00363D93"/>
    <w:rsid w:val="0036467E"/>
    <w:rsid w:val="0036512A"/>
    <w:rsid w:val="00365EA5"/>
    <w:rsid w:val="003776E2"/>
    <w:rsid w:val="00380F14"/>
    <w:rsid w:val="00383638"/>
    <w:rsid w:val="00385565"/>
    <w:rsid w:val="0038758D"/>
    <w:rsid w:val="00390E98"/>
    <w:rsid w:val="00391DBD"/>
    <w:rsid w:val="00392C89"/>
    <w:rsid w:val="00393762"/>
    <w:rsid w:val="003941EF"/>
    <w:rsid w:val="0039471E"/>
    <w:rsid w:val="00395EFC"/>
    <w:rsid w:val="00397DD0"/>
    <w:rsid w:val="003A0CDC"/>
    <w:rsid w:val="003A5F2F"/>
    <w:rsid w:val="003B75DF"/>
    <w:rsid w:val="003C22E0"/>
    <w:rsid w:val="003C514C"/>
    <w:rsid w:val="003D1879"/>
    <w:rsid w:val="003D1B41"/>
    <w:rsid w:val="003D6838"/>
    <w:rsid w:val="003E2367"/>
    <w:rsid w:val="003E3F07"/>
    <w:rsid w:val="003E560A"/>
    <w:rsid w:val="003F09C6"/>
    <w:rsid w:val="003F15B3"/>
    <w:rsid w:val="003F32E4"/>
    <w:rsid w:val="003F4415"/>
    <w:rsid w:val="003F6A53"/>
    <w:rsid w:val="003F7C2F"/>
    <w:rsid w:val="00405DD3"/>
    <w:rsid w:val="0041035D"/>
    <w:rsid w:val="00421313"/>
    <w:rsid w:val="0042352F"/>
    <w:rsid w:val="00425201"/>
    <w:rsid w:val="00426C3A"/>
    <w:rsid w:val="0042748C"/>
    <w:rsid w:val="00431C29"/>
    <w:rsid w:val="0043291A"/>
    <w:rsid w:val="004347C0"/>
    <w:rsid w:val="00440484"/>
    <w:rsid w:val="004412B7"/>
    <w:rsid w:val="00442375"/>
    <w:rsid w:val="00442FFC"/>
    <w:rsid w:val="00444605"/>
    <w:rsid w:val="00445604"/>
    <w:rsid w:val="00446E86"/>
    <w:rsid w:val="00451A87"/>
    <w:rsid w:val="00452D0A"/>
    <w:rsid w:val="00454D78"/>
    <w:rsid w:val="00457495"/>
    <w:rsid w:val="004660FA"/>
    <w:rsid w:val="004678CF"/>
    <w:rsid w:val="00472BB4"/>
    <w:rsid w:val="004742B8"/>
    <w:rsid w:val="00477078"/>
    <w:rsid w:val="0047709D"/>
    <w:rsid w:val="004830C6"/>
    <w:rsid w:val="00484FA6"/>
    <w:rsid w:val="004912AF"/>
    <w:rsid w:val="0049239E"/>
    <w:rsid w:val="00495BA3"/>
    <w:rsid w:val="004A44A7"/>
    <w:rsid w:val="004A48EF"/>
    <w:rsid w:val="004A6021"/>
    <w:rsid w:val="004A666C"/>
    <w:rsid w:val="004A6BE7"/>
    <w:rsid w:val="004B0070"/>
    <w:rsid w:val="004B029E"/>
    <w:rsid w:val="004B56DD"/>
    <w:rsid w:val="004B7F87"/>
    <w:rsid w:val="004C09F5"/>
    <w:rsid w:val="004C10BF"/>
    <w:rsid w:val="004C257C"/>
    <w:rsid w:val="004D1833"/>
    <w:rsid w:val="004D2586"/>
    <w:rsid w:val="004D28A8"/>
    <w:rsid w:val="004D3185"/>
    <w:rsid w:val="004D3348"/>
    <w:rsid w:val="004D3718"/>
    <w:rsid w:val="004E020C"/>
    <w:rsid w:val="004E16C0"/>
    <w:rsid w:val="004F4937"/>
    <w:rsid w:val="00501088"/>
    <w:rsid w:val="00502EF0"/>
    <w:rsid w:val="005043F5"/>
    <w:rsid w:val="00507459"/>
    <w:rsid w:val="00510D7C"/>
    <w:rsid w:val="00513240"/>
    <w:rsid w:val="0051647F"/>
    <w:rsid w:val="005212CA"/>
    <w:rsid w:val="00524EAB"/>
    <w:rsid w:val="005325F4"/>
    <w:rsid w:val="005331F8"/>
    <w:rsid w:val="005363C6"/>
    <w:rsid w:val="0053741C"/>
    <w:rsid w:val="00541511"/>
    <w:rsid w:val="0054216C"/>
    <w:rsid w:val="0054667C"/>
    <w:rsid w:val="00546EF0"/>
    <w:rsid w:val="005503D4"/>
    <w:rsid w:val="005523A5"/>
    <w:rsid w:val="005537D8"/>
    <w:rsid w:val="00556B10"/>
    <w:rsid w:val="00556D31"/>
    <w:rsid w:val="00557ABE"/>
    <w:rsid w:val="0056125C"/>
    <w:rsid w:val="00562C7E"/>
    <w:rsid w:val="00566280"/>
    <w:rsid w:val="00570FA0"/>
    <w:rsid w:val="005714D2"/>
    <w:rsid w:val="00573462"/>
    <w:rsid w:val="00576EB4"/>
    <w:rsid w:val="0058114F"/>
    <w:rsid w:val="00581796"/>
    <w:rsid w:val="00582064"/>
    <w:rsid w:val="0058671E"/>
    <w:rsid w:val="00586A7C"/>
    <w:rsid w:val="00591A23"/>
    <w:rsid w:val="00591F2D"/>
    <w:rsid w:val="005920F4"/>
    <w:rsid w:val="0059607E"/>
    <w:rsid w:val="0059632B"/>
    <w:rsid w:val="005968C8"/>
    <w:rsid w:val="005A1596"/>
    <w:rsid w:val="005A2176"/>
    <w:rsid w:val="005A3F52"/>
    <w:rsid w:val="005A627D"/>
    <w:rsid w:val="005B1A22"/>
    <w:rsid w:val="005B3330"/>
    <w:rsid w:val="005B662A"/>
    <w:rsid w:val="005B6E79"/>
    <w:rsid w:val="005C00FE"/>
    <w:rsid w:val="005C07FD"/>
    <w:rsid w:val="005C083C"/>
    <w:rsid w:val="005C0E8B"/>
    <w:rsid w:val="005C4E96"/>
    <w:rsid w:val="005D0B3F"/>
    <w:rsid w:val="005D4E10"/>
    <w:rsid w:val="005D55A6"/>
    <w:rsid w:val="005E0092"/>
    <w:rsid w:val="005E16CD"/>
    <w:rsid w:val="005F02EB"/>
    <w:rsid w:val="005F07C3"/>
    <w:rsid w:val="005F0B90"/>
    <w:rsid w:val="005F50B2"/>
    <w:rsid w:val="005F76D6"/>
    <w:rsid w:val="006001C6"/>
    <w:rsid w:val="00600620"/>
    <w:rsid w:val="00601346"/>
    <w:rsid w:val="00602B92"/>
    <w:rsid w:val="00604759"/>
    <w:rsid w:val="0060535D"/>
    <w:rsid w:val="00613172"/>
    <w:rsid w:val="00617AD9"/>
    <w:rsid w:val="00617CC8"/>
    <w:rsid w:val="00620405"/>
    <w:rsid w:val="00626B19"/>
    <w:rsid w:val="00626D01"/>
    <w:rsid w:val="006300EE"/>
    <w:rsid w:val="0063786B"/>
    <w:rsid w:val="00641072"/>
    <w:rsid w:val="00641343"/>
    <w:rsid w:val="00643157"/>
    <w:rsid w:val="006475D2"/>
    <w:rsid w:val="0065014D"/>
    <w:rsid w:val="006516EA"/>
    <w:rsid w:val="00654BB4"/>
    <w:rsid w:val="00655130"/>
    <w:rsid w:val="0066156D"/>
    <w:rsid w:val="00661587"/>
    <w:rsid w:val="006644BC"/>
    <w:rsid w:val="0067028E"/>
    <w:rsid w:val="00671248"/>
    <w:rsid w:val="00672FBD"/>
    <w:rsid w:val="00677193"/>
    <w:rsid w:val="00680271"/>
    <w:rsid w:val="00681A5E"/>
    <w:rsid w:val="00682468"/>
    <w:rsid w:val="006827F1"/>
    <w:rsid w:val="00684361"/>
    <w:rsid w:val="00686791"/>
    <w:rsid w:val="0068691A"/>
    <w:rsid w:val="006878E6"/>
    <w:rsid w:val="00690662"/>
    <w:rsid w:val="00691574"/>
    <w:rsid w:val="00691B1B"/>
    <w:rsid w:val="00692CB9"/>
    <w:rsid w:val="006964DC"/>
    <w:rsid w:val="006A32DE"/>
    <w:rsid w:val="006A3A13"/>
    <w:rsid w:val="006A655D"/>
    <w:rsid w:val="006A7A65"/>
    <w:rsid w:val="006B1517"/>
    <w:rsid w:val="006B492A"/>
    <w:rsid w:val="006B4D40"/>
    <w:rsid w:val="006B60FA"/>
    <w:rsid w:val="006B7E3E"/>
    <w:rsid w:val="006C0A73"/>
    <w:rsid w:val="006C1A1C"/>
    <w:rsid w:val="006C26E0"/>
    <w:rsid w:val="006C3344"/>
    <w:rsid w:val="006C5BB2"/>
    <w:rsid w:val="006C7228"/>
    <w:rsid w:val="006C7D5B"/>
    <w:rsid w:val="006D0076"/>
    <w:rsid w:val="006D0854"/>
    <w:rsid w:val="006D0DFF"/>
    <w:rsid w:val="006D142F"/>
    <w:rsid w:val="006D42F1"/>
    <w:rsid w:val="006D5121"/>
    <w:rsid w:val="006D5EDC"/>
    <w:rsid w:val="006D6F7E"/>
    <w:rsid w:val="006E115D"/>
    <w:rsid w:val="006E165C"/>
    <w:rsid w:val="006E1FFA"/>
    <w:rsid w:val="006E29A0"/>
    <w:rsid w:val="006E3CC8"/>
    <w:rsid w:val="006F0BDC"/>
    <w:rsid w:val="006F0EA3"/>
    <w:rsid w:val="006F152A"/>
    <w:rsid w:val="006F17F0"/>
    <w:rsid w:val="006F2CF4"/>
    <w:rsid w:val="006F2F68"/>
    <w:rsid w:val="006F3B96"/>
    <w:rsid w:val="006F63DA"/>
    <w:rsid w:val="006F6726"/>
    <w:rsid w:val="00702B3B"/>
    <w:rsid w:val="00705610"/>
    <w:rsid w:val="00713533"/>
    <w:rsid w:val="00714DB0"/>
    <w:rsid w:val="00722250"/>
    <w:rsid w:val="0072560C"/>
    <w:rsid w:val="00730705"/>
    <w:rsid w:val="00731FBF"/>
    <w:rsid w:val="00732245"/>
    <w:rsid w:val="00743984"/>
    <w:rsid w:val="00745913"/>
    <w:rsid w:val="00747A41"/>
    <w:rsid w:val="0075042F"/>
    <w:rsid w:val="00750865"/>
    <w:rsid w:val="00751039"/>
    <w:rsid w:val="007534D8"/>
    <w:rsid w:val="00753511"/>
    <w:rsid w:val="00755030"/>
    <w:rsid w:val="00761A16"/>
    <w:rsid w:val="00763C69"/>
    <w:rsid w:val="0076767E"/>
    <w:rsid w:val="00767D97"/>
    <w:rsid w:val="0077013D"/>
    <w:rsid w:val="00771B8F"/>
    <w:rsid w:val="007724E5"/>
    <w:rsid w:val="00772FBE"/>
    <w:rsid w:val="00773E8D"/>
    <w:rsid w:val="0077437E"/>
    <w:rsid w:val="0078074D"/>
    <w:rsid w:val="00783BCA"/>
    <w:rsid w:val="007876F4"/>
    <w:rsid w:val="00795AB2"/>
    <w:rsid w:val="00795E06"/>
    <w:rsid w:val="007A03D0"/>
    <w:rsid w:val="007A0C06"/>
    <w:rsid w:val="007A3C8D"/>
    <w:rsid w:val="007B008D"/>
    <w:rsid w:val="007B4B18"/>
    <w:rsid w:val="007B6B06"/>
    <w:rsid w:val="007C04CA"/>
    <w:rsid w:val="007C0F0A"/>
    <w:rsid w:val="007C3021"/>
    <w:rsid w:val="007C4017"/>
    <w:rsid w:val="007C4951"/>
    <w:rsid w:val="007C4A94"/>
    <w:rsid w:val="007D653B"/>
    <w:rsid w:val="007E2496"/>
    <w:rsid w:val="007F327A"/>
    <w:rsid w:val="007F6938"/>
    <w:rsid w:val="0080115B"/>
    <w:rsid w:val="00802488"/>
    <w:rsid w:val="008028E4"/>
    <w:rsid w:val="0080465C"/>
    <w:rsid w:val="00813530"/>
    <w:rsid w:val="00815ECB"/>
    <w:rsid w:val="0081646A"/>
    <w:rsid w:val="008220EC"/>
    <w:rsid w:val="00822359"/>
    <w:rsid w:val="00822494"/>
    <w:rsid w:val="00822998"/>
    <w:rsid w:val="00823273"/>
    <w:rsid w:val="00825AF7"/>
    <w:rsid w:val="00831065"/>
    <w:rsid w:val="00831487"/>
    <w:rsid w:val="00832421"/>
    <w:rsid w:val="00842546"/>
    <w:rsid w:val="00845F6F"/>
    <w:rsid w:val="00846733"/>
    <w:rsid w:val="00846995"/>
    <w:rsid w:val="0085044C"/>
    <w:rsid w:val="008513C0"/>
    <w:rsid w:val="00853559"/>
    <w:rsid w:val="008555C4"/>
    <w:rsid w:val="00857143"/>
    <w:rsid w:val="0086050B"/>
    <w:rsid w:val="00861504"/>
    <w:rsid w:val="00861CE2"/>
    <w:rsid w:val="00862A19"/>
    <w:rsid w:val="0087198E"/>
    <w:rsid w:val="008736F4"/>
    <w:rsid w:val="00876926"/>
    <w:rsid w:val="00877D57"/>
    <w:rsid w:val="008812B5"/>
    <w:rsid w:val="00882423"/>
    <w:rsid w:val="0088260E"/>
    <w:rsid w:val="00884353"/>
    <w:rsid w:val="0088721D"/>
    <w:rsid w:val="00891D60"/>
    <w:rsid w:val="00895254"/>
    <w:rsid w:val="008963EB"/>
    <w:rsid w:val="008A261E"/>
    <w:rsid w:val="008A6EBF"/>
    <w:rsid w:val="008A7304"/>
    <w:rsid w:val="008A7FB0"/>
    <w:rsid w:val="008B29B4"/>
    <w:rsid w:val="008B2D83"/>
    <w:rsid w:val="008B5272"/>
    <w:rsid w:val="008B5485"/>
    <w:rsid w:val="008B58A5"/>
    <w:rsid w:val="008B7A5D"/>
    <w:rsid w:val="008C17B5"/>
    <w:rsid w:val="008C246B"/>
    <w:rsid w:val="008C4FD9"/>
    <w:rsid w:val="008C527F"/>
    <w:rsid w:val="008D4AC7"/>
    <w:rsid w:val="008D78C3"/>
    <w:rsid w:val="008D7B79"/>
    <w:rsid w:val="008E03BA"/>
    <w:rsid w:val="008F32D3"/>
    <w:rsid w:val="008F67BB"/>
    <w:rsid w:val="00913078"/>
    <w:rsid w:val="0091546B"/>
    <w:rsid w:val="00917718"/>
    <w:rsid w:val="0092061D"/>
    <w:rsid w:val="00920C86"/>
    <w:rsid w:val="009229F4"/>
    <w:rsid w:val="00925623"/>
    <w:rsid w:val="00930E07"/>
    <w:rsid w:val="00931CE5"/>
    <w:rsid w:val="0093486D"/>
    <w:rsid w:val="00934C76"/>
    <w:rsid w:val="009404E3"/>
    <w:rsid w:val="00945590"/>
    <w:rsid w:val="0094598E"/>
    <w:rsid w:val="00947ACC"/>
    <w:rsid w:val="009501F6"/>
    <w:rsid w:val="00951F5B"/>
    <w:rsid w:val="00953A02"/>
    <w:rsid w:val="00955F97"/>
    <w:rsid w:val="009565F5"/>
    <w:rsid w:val="00960596"/>
    <w:rsid w:val="00961C83"/>
    <w:rsid w:val="0096284E"/>
    <w:rsid w:val="00962BBE"/>
    <w:rsid w:val="00962F1A"/>
    <w:rsid w:val="00973A25"/>
    <w:rsid w:val="00980D5A"/>
    <w:rsid w:val="00981AF6"/>
    <w:rsid w:val="00985A05"/>
    <w:rsid w:val="00987050"/>
    <w:rsid w:val="00987072"/>
    <w:rsid w:val="00987796"/>
    <w:rsid w:val="009923A1"/>
    <w:rsid w:val="00995F60"/>
    <w:rsid w:val="009B0460"/>
    <w:rsid w:val="009B32C3"/>
    <w:rsid w:val="009B536F"/>
    <w:rsid w:val="009C31E3"/>
    <w:rsid w:val="009C692F"/>
    <w:rsid w:val="009C6CF2"/>
    <w:rsid w:val="009D04FA"/>
    <w:rsid w:val="009D3E5D"/>
    <w:rsid w:val="009D4FE8"/>
    <w:rsid w:val="009D6200"/>
    <w:rsid w:val="009D6621"/>
    <w:rsid w:val="009D6B7D"/>
    <w:rsid w:val="009F1D14"/>
    <w:rsid w:val="009F352A"/>
    <w:rsid w:val="009F454C"/>
    <w:rsid w:val="00A004AA"/>
    <w:rsid w:val="00A02A3B"/>
    <w:rsid w:val="00A02C52"/>
    <w:rsid w:val="00A02D85"/>
    <w:rsid w:val="00A050C8"/>
    <w:rsid w:val="00A111C8"/>
    <w:rsid w:val="00A119F2"/>
    <w:rsid w:val="00A124F0"/>
    <w:rsid w:val="00A1529E"/>
    <w:rsid w:val="00A17219"/>
    <w:rsid w:val="00A20503"/>
    <w:rsid w:val="00A23EE1"/>
    <w:rsid w:val="00A24AA2"/>
    <w:rsid w:val="00A24CF4"/>
    <w:rsid w:val="00A253AF"/>
    <w:rsid w:val="00A26C5A"/>
    <w:rsid w:val="00A274B4"/>
    <w:rsid w:val="00A33720"/>
    <w:rsid w:val="00A339A0"/>
    <w:rsid w:val="00A34941"/>
    <w:rsid w:val="00A36600"/>
    <w:rsid w:val="00A41412"/>
    <w:rsid w:val="00A44648"/>
    <w:rsid w:val="00A464B3"/>
    <w:rsid w:val="00A469BE"/>
    <w:rsid w:val="00A472F2"/>
    <w:rsid w:val="00A50BB4"/>
    <w:rsid w:val="00A52E72"/>
    <w:rsid w:val="00A52FAC"/>
    <w:rsid w:val="00A54E0B"/>
    <w:rsid w:val="00A55885"/>
    <w:rsid w:val="00A56DE9"/>
    <w:rsid w:val="00A60321"/>
    <w:rsid w:val="00A64FC3"/>
    <w:rsid w:val="00A6653A"/>
    <w:rsid w:val="00A676E8"/>
    <w:rsid w:val="00A67802"/>
    <w:rsid w:val="00A67D49"/>
    <w:rsid w:val="00A700A8"/>
    <w:rsid w:val="00A75B1E"/>
    <w:rsid w:val="00A77F62"/>
    <w:rsid w:val="00A80CD1"/>
    <w:rsid w:val="00A813A6"/>
    <w:rsid w:val="00A83486"/>
    <w:rsid w:val="00A840CE"/>
    <w:rsid w:val="00A85A66"/>
    <w:rsid w:val="00A8760D"/>
    <w:rsid w:val="00A8782C"/>
    <w:rsid w:val="00A9000D"/>
    <w:rsid w:val="00A9333B"/>
    <w:rsid w:val="00A93433"/>
    <w:rsid w:val="00A949EB"/>
    <w:rsid w:val="00AA2E96"/>
    <w:rsid w:val="00AA32C3"/>
    <w:rsid w:val="00AA4C01"/>
    <w:rsid w:val="00AB0AFE"/>
    <w:rsid w:val="00AB1C3D"/>
    <w:rsid w:val="00AB3AAA"/>
    <w:rsid w:val="00AB50FE"/>
    <w:rsid w:val="00AB6B98"/>
    <w:rsid w:val="00AC6806"/>
    <w:rsid w:val="00AC715C"/>
    <w:rsid w:val="00AC77D3"/>
    <w:rsid w:val="00AD09B6"/>
    <w:rsid w:val="00AD49F7"/>
    <w:rsid w:val="00AD555F"/>
    <w:rsid w:val="00AD62C7"/>
    <w:rsid w:val="00AD661B"/>
    <w:rsid w:val="00AD7BE3"/>
    <w:rsid w:val="00AE0397"/>
    <w:rsid w:val="00AE070C"/>
    <w:rsid w:val="00AE151A"/>
    <w:rsid w:val="00AE2B0A"/>
    <w:rsid w:val="00AE4C3E"/>
    <w:rsid w:val="00AE769A"/>
    <w:rsid w:val="00AF2469"/>
    <w:rsid w:val="00AF37D3"/>
    <w:rsid w:val="00AF46F1"/>
    <w:rsid w:val="00AF564C"/>
    <w:rsid w:val="00AF6267"/>
    <w:rsid w:val="00B05CF2"/>
    <w:rsid w:val="00B1036E"/>
    <w:rsid w:val="00B16ADD"/>
    <w:rsid w:val="00B2301F"/>
    <w:rsid w:val="00B24446"/>
    <w:rsid w:val="00B314FE"/>
    <w:rsid w:val="00B31C28"/>
    <w:rsid w:val="00B31CA0"/>
    <w:rsid w:val="00B35EA1"/>
    <w:rsid w:val="00B3694F"/>
    <w:rsid w:val="00B36974"/>
    <w:rsid w:val="00B40626"/>
    <w:rsid w:val="00B40DFF"/>
    <w:rsid w:val="00B43CF7"/>
    <w:rsid w:val="00B46F26"/>
    <w:rsid w:val="00B47519"/>
    <w:rsid w:val="00B537F0"/>
    <w:rsid w:val="00B56FBF"/>
    <w:rsid w:val="00B57719"/>
    <w:rsid w:val="00B57F70"/>
    <w:rsid w:val="00B602CD"/>
    <w:rsid w:val="00B618EC"/>
    <w:rsid w:val="00B6268C"/>
    <w:rsid w:val="00B72CC3"/>
    <w:rsid w:val="00B77BF4"/>
    <w:rsid w:val="00B80351"/>
    <w:rsid w:val="00B83372"/>
    <w:rsid w:val="00B84298"/>
    <w:rsid w:val="00B85A98"/>
    <w:rsid w:val="00B87F5C"/>
    <w:rsid w:val="00B93362"/>
    <w:rsid w:val="00B974C2"/>
    <w:rsid w:val="00BA230D"/>
    <w:rsid w:val="00BA4019"/>
    <w:rsid w:val="00BA5907"/>
    <w:rsid w:val="00BA59F2"/>
    <w:rsid w:val="00BA700C"/>
    <w:rsid w:val="00BB267E"/>
    <w:rsid w:val="00BB4B8E"/>
    <w:rsid w:val="00BC104D"/>
    <w:rsid w:val="00BC1C3D"/>
    <w:rsid w:val="00BC223B"/>
    <w:rsid w:val="00BC3556"/>
    <w:rsid w:val="00BC3F95"/>
    <w:rsid w:val="00BC6335"/>
    <w:rsid w:val="00BD14EF"/>
    <w:rsid w:val="00BD2E1A"/>
    <w:rsid w:val="00BD2E71"/>
    <w:rsid w:val="00BD4947"/>
    <w:rsid w:val="00BD6C8B"/>
    <w:rsid w:val="00BE0601"/>
    <w:rsid w:val="00BE5E3D"/>
    <w:rsid w:val="00BE7A3C"/>
    <w:rsid w:val="00BF1617"/>
    <w:rsid w:val="00BF21B8"/>
    <w:rsid w:val="00BF2A73"/>
    <w:rsid w:val="00BF33F9"/>
    <w:rsid w:val="00BF49CE"/>
    <w:rsid w:val="00BF7EA8"/>
    <w:rsid w:val="00C01917"/>
    <w:rsid w:val="00C04C02"/>
    <w:rsid w:val="00C05256"/>
    <w:rsid w:val="00C05C4F"/>
    <w:rsid w:val="00C1001A"/>
    <w:rsid w:val="00C11153"/>
    <w:rsid w:val="00C11DEA"/>
    <w:rsid w:val="00C12D89"/>
    <w:rsid w:val="00C16932"/>
    <w:rsid w:val="00C210AA"/>
    <w:rsid w:val="00C21359"/>
    <w:rsid w:val="00C2158B"/>
    <w:rsid w:val="00C2466F"/>
    <w:rsid w:val="00C2479A"/>
    <w:rsid w:val="00C2701A"/>
    <w:rsid w:val="00C27449"/>
    <w:rsid w:val="00C30E98"/>
    <w:rsid w:val="00C30FE8"/>
    <w:rsid w:val="00C314E8"/>
    <w:rsid w:val="00C32CA5"/>
    <w:rsid w:val="00C32D95"/>
    <w:rsid w:val="00C35B99"/>
    <w:rsid w:val="00C43BF5"/>
    <w:rsid w:val="00C475C6"/>
    <w:rsid w:val="00C504AB"/>
    <w:rsid w:val="00C51DCD"/>
    <w:rsid w:val="00C5629C"/>
    <w:rsid w:val="00C5664B"/>
    <w:rsid w:val="00C611D3"/>
    <w:rsid w:val="00C646F1"/>
    <w:rsid w:val="00C649F5"/>
    <w:rsid w:val="00C71056"/>
    <w:rsid w:val="00C7384D"/>
    <w:rsid w:val="00C76A5B"/>
    <w:rsid w:val="00C77B88"/>
    <w:rsid w:val="00C8463C"/>
    <w:rsid w:val="00C865F2"/>
    <w:rsid w:val="00C8750D"/>
    <w:rsid w:val="00C87C7B"/>
    <w:rsid w:val="00C87E25"/>
    <w:rsid w:val="00C906B2"/>
    <w:rsid w:val="00C91AC3"/>
    <w:rsid w:val="00C936C6"/>
    <w:rsid w:val="00C93CE6"/>
    <w:rsid w:val="00C960C2"/>
    <w:rsid w:val="00CA0628"/>
    <w:rsid w:val="00CA0AAC"/>
    <w:rsid w:val="00CA2FD0"/>
    <w:rsid w:val="00CA4AC4"/>
    <w:rsid w:val="00CA5E06"/>
    <w:rsid w:val="00CA7B07"/>
    <w:rsid w:val="00CA7FF5"/>
    <w:rsid w:val="00CB3E28"/>
    <w:rsid w:val="00CB4EDC"/>
    <w:rsid w:val="00CB6141"/>
    <w:rsid w:val="00CC0084"/>
    <w:rsid w:val="00CC24B2"/>
    <w:rsid w:val="00CC3D6E"/>
    <w:rsid w:val="00CC6B34"/>
    <w:rsid w:val="00CD1E6A"/>
    <w:rsid w:val="00CD1F53"/>
    <w:rsid w:val="00CD2BEE"/>
    <w:rsid w:val="00CD36F6"/>
    <w:rsid w:val="00CD693C"/>
    <w:rsid w:val="00CE3F42"/>
    <w:rsid w:val="00CE5F3D"/>
    <w:rsid w:val="00CE60D4"/>
    <w:rsid w:val="00CE60FA"/>
    <w:rsid w:val="00CE755D"/>
    <w:rsid w:val="00CF0E7F"/>
    <w:rsid w:val="00CF1D43"/>
    <w:rsid w:val="00CF3486"/>
    <w:rsid w:val="00CF4367"/>
    <w:rsid w:val="00D003A0"/>
    <w:rsid w:val="00D007D5"/>
    <w:rsid w:val="00D017D1"/>
    <w:rsid w:val="00D03F2C"/>
    <w:rsid w:val="00D12A1F"/>
    <w:rsid w:val="00D13EAA"/>
    <w:rsid w:val="00D14C11"/>
    <w:rsid w:val="00D15172"/>
    <w:rsid w:val="00D17B55"/>
    <w:rsid w:val="00D23037"/>
    <w:rsid w:val="00D30049"/>
    <w:rsid w:val="00D3304C"/>
    <w:rsid w:val="00D33939"/>
    <w:rsid w:val="00D33FB6"/>
    <w:rsid w:val="00D351BA"/>
    <w:rsid w:val="00D36FE1"/>
    <w:rsid w:val="00D4551A"/>
    <w:rsid w:val="00D45DA1"/>
    <w:rsid w:val="00D52D50"/>
    <w:rsid w:val="00D62B57"/>
    <w:rsid w:val="00D656CA"/>
    <w:rsid w:val="00D679E7"/>
    <w:rsid w:val="00D73D27"/>
    <w:rsid w:val="00D749E9"/>
    <w:rsid w:val="00D75CCC"/>
    <w:rsid w:val="00D76CC4"/>
    <w:rsid w:val="00D77FF5"/>
    <w:rsid w:val="00D80903"/>
    <w:rsid w:val="00D81FB4"/>
    <w:rsid w:val="00D91DC9"/>
    <w:rsid w:val="00D92C7E"/>
    <w:rsid w:val="00D9300A"/>
    <w:rsid w:val="00D931C8"/>
    <w:rsid w:val="00D94FAB"/>
    <w:rsid w:val="00D952E8"/>
    <w:rsid w:val="00D9580B"/>
    <w:rsid w:val="00D97A2C"/>
    <w:rsid w:val="00DA0BAB"/>
    <w:rsid w:val="00DA28D5"/>
    <w:rsid w:val="00DA4F34"/>
    <w:rsid w:val="00DA5AEF"/>
    <w:rsid w:val="00DB0C35"/>
    <w:rsid w:val="00DB61C5"/>
    <w:rsid w:val="00DB6947"/>
    <w:rsid w:val="00DC20EE"/>
    <w:rsid w:val="00DC4411"/>
    <w:rsid w:val="00DC7316"/>
    <w:rsid w:val="00DC77B1"/>
    <w:rsid w:val="00DC787E"/>
    <w:rsid w:val="00DD056B"/>
    <w:rsid w:val="00DD26CA"/>
    <w:rsid w:val="00DD3FEE"/>
    <w:rsid w:val="00DD4455"/>
    <w:rsid w:val="00DD4E2F"/>
    <w:rsid w:val="00DD5A26"/>
    <w:rsid w:val="00DD5E41"/>
    <w:rsid w:val="00DD5E45"/>
    <w:rsid w:val="00DD62B1"/>
    <w:rsid w:val="00DD6F98"/>
    <w:rsid w:val="00DE07B7"/>
    <w:rsid w:val="00DE0DA7"/>
    <w:rsid w:val="00DE0F63"/>
    <w:rsid w:val="00DE43BA"/>
    <w:rsid w:val="00DE7900"/>
    <w:rsid w:val="00E00696"/>
    <w:rsid w:val="00E02E83"/>
    <w:rsid w:val="00E10547"/>
    <w:rsid w:val="00E11C04"/>
    <w:rsid w:val="00E16B48"/>
    <w:rsid w:val="00E178A5"/>
    <w:rsid w:val="00E207E5"/>
    <w:rsid w:val="00E213E0"/>
    <w:rsid w:val="00E26803"/>
    <w:rsid w:val="00E2708D"/>
    <w:rsid w:val="00E277AE"/>
    <w:rsid w:val="00E31633"/>
    <w:rsid w:val="00E418A6"/>
    <w:rsid w:val="00E44A00"/>
    <w:rsid w:val="00E44AAD"/>
    <w:rsid w:val="00E4664A"/>
    <w:rsid w:val="00E50EF7"/>
    <w:rsid w:val="00E51697"/>
    <w:rsid w:val="00E525FC"/>
    <w:rsid w:val="00E52704"/>
    <w:rsid w:val="00E56A5F"/>
    <w:rsid w:val="00E56A64"/>
    <w:rsid w:val="00E571AF"/>
    <w:rsid w:val="00E641C6"/>
    <w:rsid w:val="00E657D3"/>
    <w:rsid w:val="00E70750"/>
    <w:rsid w:val="00E707B6"/>
    <w:rsid w:val="00E70EF8"/>
    <w:rsid w:val="00E7588B"/>
    <w:rsid w:val="00E80BEC"/>
    <w:rsid w:val="00E82D39"/>
    <w:rsid w:val="00E847BB"/>
    <w:rsid w:val="00E84C69"/>
    <w:rsid w:val="00E90142"/>
    <w:rsid w:val="00E905FD"/>
    <w:rsid w:val="00E90E03"/>
    <w:rsid w:val="00E9171C"/>
    <w:rsid w:val="00EA324A"/>
    <w:rsid w:val="00EA442A"/>
    <w:rsid w:val="00EA4723"/>
    <w:rsid w:val="00EA63E2"/>
    <w:rsid w:val="00EB0A81"/>
    <w:rsid w:val="00EB14ED"/>
    <w:rsid w:val="00EB1C08"/>
    <w:rsid w:val="00EB1DD8"/>
    <w:rsid w:val="00EB23AE"/>
    <w:rsid w:val="00EB2C85"/>
    <w:rsid w:val="00EB35AD"/>
    <w:rsid w:val="00EB56F9"/>
    <w:rsid w:val="00EC3C6F"/>
    <w:rsid w:val="00EC53BB"/>
    <w:rsid w:val="00EC6E9E"/>
    <w:rsid w:val="00ED0541"/>
    <w:rsid w:val="00ED062C"/>
    <w:rsid w:val="00ED071D"/>
    <w:rsid w:val="00ED348F"/>
    <w:rsid w:val="00ED4C6E"/>
    <w:rsid w:val="00ED6143"/>
    <w:rsid w:val="00ED7E95"/>
    <w:rsid w:val="00EE0188"/>
    <w:rsid w:val="00EE0FBE"/>
    <w:rsid w:val="00EE446C"/>
    <w:rsid w:val="00EE4CE5"/>
    <w:rsid w:val="00EE5E91"/>
    <w:rsid w:val="00EE7A97"/>
    <w:rsid w:val="00EF1965"/>
    <w:rsid w:val="00EF6D29"/>
    <w:rsid w:val="00F048A2"/>
    <w:rsid w:val="00F06771"/>
    <w:rsid w:val="00F06C6A"/>
    <w:rsid w:val="00F07145"/>
    <w:rsid w:val="00F07F6B"/>
    <w:rsid w:val="00F10E86"/>
    <w:rsid w:val="00F14099"/>
    <w:rsid w:val="00F14ECE"/>
    <w:rsid w:val="00F14ED3"/>
    <w:rsid w:val="00F1753F"/>
    <w:rsid w:val="00F2070E"/>
    <w:rsid w:val="00F20F12"/>
    <w:rsid w:val="00F22B17"/>
    <w:rsid w:val="00F24440"/>
    <w:rsid w:val="00F332B0"/>
    <w:rsid w:val="00F344FD"/>
    <w:rsid w:val="00F3466B"/>
    <w:rsid w:val="00F35C3B"/>
    <w:rsid w:val="00F36D46"/>
    <w:rsid w:val="00F36F7B"/>
    <w:rsid w:val="00F3751A"/>
    <w:rsid w:val="00F408F9"/>
    <w:rsid w:val="00F447F6"/>
    <w:rsid w:val="00F44BBE"/>
    <w:rsid w:val="00F45A90"/>
    <w:rsid w:val="00F466D4"/>
    <w:rsid w:val="00F50F03"/>
    <w:rsid w:val="00F53019"/>
    <w:rsid w:val="00F54AAF"/>
    <w:rsid w:val="00F55896"/>
    <w:rsid w:val="00F57575"/>
    <w:rsid w:val="00F57641"/>
    <w:rsid w:val="00F60E9E"/>
    <w:rsid w:val="00F61597"/>
    <w:rsid w:val="00F61A45"/>
    <w:rsid w:val="00F66902"/>
    <w:rsid w:val="00F7254A"/>
    <w:rsid w:val="00F73783"/>
    <w:rsid w:val="00F742C3"/>
    <w:rsid w:val="00F74554"/>
    <w:rsid w:val="00F7644B"/>
    <w:rsid w:val="00F81232"/>
    <w:rsid w:val="00F821BE"/>
    <w:rsid w:val="00F82985"/>
    <w:rsid w:val="00F83131"/>
    <w:rsid w:val="00F85423"/>
    <w:rsid w:val="00F85D86"/>
    <w:rsid w:val="00F86A5A"/>
    <w:rsid w:val="00F90322"/>
    <w:rsid w:val="00F92C87"/>
    <w:rsid w:val="00F937B4"/>
    <w:rsid w:val="00FA2A8B"/>
    <w:rsid w:val="00FA3882"/>
    <w:rsid w:val="00FA48D5"/>
    <w:rsid w:val="00FA52B0"/>
    <w:rsid w:val="00FA61E6"/>
    <w:rsid w:val="00FB05FD"/>
    <w:rsid w:val="00FB1B3A"/>
    <w:rsid w:val="00FB512E"/>
    <w:rsid w:val="00FC0532"/>
    <w:rsid w:val="00FC7C4C"/>
    <w:rsid w:val="00FD0200"/>
    <w:rsid w:val="00FD1264"/>
    <w:rsid w:val="00FD1BAB"/>
    <w:rsid w:val="00FD2706"/>
    <w:rsid w:val="00FD737A"/>
    <w:rsid w:val="00FE11BD"/>
    <w:rsid w:val="00FE4336"/>
    <w:rsid w:val="00FF0E8D"/>
    <w:rsid w:val="00FF42F5"/>
    <w:rsid w:val="00FF476F"/>
    <w:rsid w:val="02C12B84"/>
    <w:rsid w:val="03951DD7"/>
    <w:rsid w:val="06FA647D"/>
    <w:rsid w:val="0DB544EC"/>
    <w:rsid w:val="0DFF2E27"/>
    <w:rsid w:val="0F3F8FF8"/>
    <w:rsid w:val="0F7FDC94"/>
    <w:rsid w:val="0FFF0D9B"/>
    <w:rsid w:val="13E76BFA"/>
    <w:rsid w:val="167CFA69"/>
    <w:rsid w:val="17BEF1E2"/>
    <w:rsid w:val="190A4FB7"/>
    <w:rsid w:val="19EFD198"/>
    <w:rsid w:val="19FAFD26"/>
    <w:rsid w:val="1BFBA2DE"/>
    <w:rsid w:val="1EE07417"/>
    <w:rsid w:val="1F7EABC0"/>
    <w:rsid w:val="1FF96C7D"/>
    <w:rsid w:val="1FFD216B"/>
    <w:rsid w:val="225CDAEE"/>
    <w:rsid w:val="24E4065B"/>
    <w:rsid w:val="27EDFA40"/>
    <w:rsid w:val="29D70A8F"/>
    <w:rsid w:val="2BD19891"/>
    <w:rsid w:val="2BFF3F80"/>
    <w:rsid w:val="2BFFC13C"/>
    <w:rsid w:val="2C1A001D"/>
    <w:rsid w:val="2DDBFC14"/>
    <w:rsid w:val="2E7E7261"/>
    <w:rsid w:val="2EFFC791"/>
    <w:rsid w:val="2F2D32D4"/>
    <w:rsid w:val="2F4C37D5"/>
    <w:rsid w:val="2FDD8E3F"/>
    <w:rsid w:val="2FDDD16B"/>
    <w:rsid w:val="2FFE6EA8"/>
    <w:rsid w:val="35A13A86"/>
    <w:rsid w:val="35A5264F"/>
    <w:rsid w:val="36C3263B"/>
    <w:rsid w:val="379A8FFA"/>
    <w:rsid w:val="37C3288B"/>
    <w:rsid w:val="38439501"/>
    <w:rsid w:val="3BF97901"/>
    <w:rsid w:val="3BFBF289"/>
    <w:rsid w:val="3BFF05ED"/>
    <w:rsid w:val="3BFF9BD1"/>
    <w:rsid w:val="3BFFB167"/>
    <w:rsid w:val="3CFFD1BC"/>
    <w:rsid w:val="3D34A23E"/>
    <w:rsid w:val="3DBC3B33"/>
    <w:rsid w:val="3DDDCCD0"/>
    <w:rsid w:val="3DE65C3E"/>
    <w:rsid w:val="3DFDA16D"/>
    <w:rsid w:val="3E59F152"/>
    <w:rsid w:val="3E65E8C8"/>
    <w:rsid w:val="3EDD7E7C"/>
    <w:rsid w:val="3EF6B2B1"/>
    <w:rsid w:val="3F2A2833"/>
    <w:rsid w:val="3F69D9DB"/>
    <w:rsid w:val="3F72AA40"/>
    <w:rsid w:val="3FDF528E"/>
    <w:rsid w:val="3FE15DAD"/>
    <w:rsid w:val="3FEEBDCB"/>
    <w:rsid w:val="3FEFD92C"/>
    <w:rsid w:val="3FFA3254"/>
    <w:rsid w:val="3FFA724D"/>
    <w:rsid w:val="3FFB489E"/>
    <w:rsid w:val="3FFE9D20"/>
    <w:rsid w:val="3FFF42FA"/>
    <w:rsid w:val="3FFF765C"/>
    <w:rsid w:val="3FFFDB8F"/>
    <w:rsid w:val="432BA4E3"/>
    <w:rsid w:val="44F53DEF"/>
    <w:rsid w:val="4AFF1614"/>
    <w:rsid w:val="4B38590B"/>
    <w:rsid w:val="4B8FB164"/>
    <w:rsid w:val="4CBB7A08"/>
    <w:rsid w:val="4DB9BFC5"/>
    <w:rsid w:val="4DEA7AB9"/>
    <w:rsid w:val="4F6B119B"/>
    <w:rsid w:val="4F8A25D5"/>
    <w:rsid w:val="4FFECCB5"/>
    <w:rsid w:val="52F9391A"/>
    <w:rsid w:val="54DE50B5"/>
    <w:rsid w:val="5577C591"/>
    <w:rsid w:val="55DD3769"/>
    <w:rsid w:val="55DF2C5D"/>
    <w:rsid w:val="56EFB2DE"/>
    <w:rsid w:val="56F6CF26"/>
    <w:rsid w:val="577DE312"/>
    <w:rsid w:val="5A7FA3EA"/>
    <w:rsid w:val="5ABFCDB4"/>
    <w:rsid w:val="5AFFFAB8"/>
    <w:rsid w:val="5B13588E"/>
    <w:rsid w:val="5BED5ED4"/>
    <w:rsid w:val="5CCBE7D9"/>
    <w:rsid w:val="5CFEDE49"/>
    <w:rsid w:val="5D6F7CFB"/>
    <w:rsid w:val="5DEF29C8"/>
    <w:rsid w:val="5DFE1C18"/>
    <w:rsid w:val="5EEDCB30"/>
    <w:rsid w:val="5EFBA1CD"/>
    <w:rsid w:val="5EFBF403"/>
    <w:rsid w:val="5EFF818D"/>
    <w:rsid w:val="5F7FFA77"/>
    <w:rsid w:val="5F9FBB88"/>
    <w:rsid w:val="5FA7859B"/>
    <w:rsid w:val="5FD50799"/>
    <w:rsid w:val="5FDF25C5"/>
    <w:rsid w:val="62DFF54A"/>
    <w:rsid w:val="67CF9680"/>
    <w:rsid w:val="67F503D7"/>
    <w:rsid w:val="67F77F88"/>
    <w:rsid w:val="68722624"/>
    <w:rsid w:val="68BFEA5C"/>
    <w:rsid w:val="6B19C655"/>
    <w:rsid w:val="6B3E3CA4"/>
    <w:rsid w:val="6BB00C13"/>
    <w:rsid w:val="6BF74E88"/>
    <w:rsid w:val="6CFA0E67"/>
    <w:rsid w:val="6CFA21A1"/>
    <w:rsid w:val="6DB72C05"/>
    <w:rsid w:val="6DDBB621"/>
    <w:rsid w:val="6DFEE8CD"/>
    <w:rsid w:val="6E752EF0"/>
    <w:rsid w:val="6EE57B34"/>
    <w:rsid w:val="6F4F86C9"/>
    <w:rsid w:val="6F50D532"/>
    <w:rsid w:val="6F7B7981"/>
    <w:rsid w:val="6F7B8CF4"/>
    <w:rsid w:val="6F7DA0EE"/>
    <w:rsid w:val="6F7E2529"/>
    <w:rsid w:val="6FDD2290"/>
    <w:rsid w:val="6FDF30ED"/>
    <w:rsid w:val="6FE523E2"/>
    <w:rsid w:val="6FEC2D57"/>
    <w:rsid w:val="6FEF7BC8"/>
    <w:rsid w:val="6FFCC2A5"/>
    <w:rsid w:val="6FFD8090"/>
    <w:rsid w:val="71AA5D6D"/>
    <w:rsid w:val="7271868A"/>
    <w:rsid w:val="72ED8441"/>
    <w:rsid w:val="73BF695A"/>
    <w:rsid w:val="74DD8874"/>
    <w:rsid w:val="75A0738E"/>
    <w:rsid w:val="75CA9143"/>
    <w:rsid w:val="75F9BA43"/>
    <w:rsid w:val="75FB92F7"/>
    <w:rsid w:val="765FAE48"/>
    <w:rsid w:val="76DF1EF0"/>
    <w:rsid w:val="76EF97CF"/>
    <w:rsid w:val="76FE9B9F"/>
    <w:rsid w:val="776B159C"/>
    <w:rsid w:val="776E9E28"/>
    <w:rsid w:val="7773D2D2"/>
    <w:rsid w:val="77B3E15F"/>
    <w:rsid w:val="77BB973D"/>
    <w:rsid w:val="77DF65FF"/>
    <w:rsid w:val="77EDE426"/>
    <w:rsid w:val="795C7137"/>
    <w:rsid w:val="797C2079"/>
    <w:rsid w:val="797EBC19"/>
    <w:rsid w:val="79FD3B2E"/>
    <w:rsid w:val="7A9F5D14"/>
    <w:rsid w:val="7AE30608"/>
    <w:rsid w:val="7AFF8E49"/>
    <w:rsid w:val="7B483A95"/>
    <w:rsid w:val="7B758157"/>
    <w:rsid w:val="7B9E641F"/>
    <w:rsid w:val="7BAECACB"/>
    <w:rsid w:val="7BDB918A"/>
    <w:rsid w:val="7BEE6235"/>
    <w:rsid w:val="7BEF75AF"/>
    <w:rsid w:val="7BF3F8DA"/>
    <w:rsid w:val="7BFF2A96"/>
    <w:rsid w:val="7BFF9043"/>
    <w:rsid w:val="7BFFDB00"/>
    <w:rsid w:val="7C7FF845"/>
    <w:rsid w:val="7CFFBB7A"/>
    <w:rsid w:val="7D3B0D41"/>
    <w:rsid w:val="7D3FA2F5"/>
    <w:rsid w:val="7D7DBE9F"/>
    <w:rsid w:val="7DABD4B2"/>
    <w:rsid w:val="7DB3F601"/>
    <w:rsid w:val="7DBF0B3D"/>
    <w:rsid w:val="7DBF92B7"/>
    <w:rsid w:val="7DBFAEB4"/>
    <w:rsid w:val="7DD703CB"/>
    <w:rsid w:val="7DD73AF5"/>
    <w:rsid w:val="7DEE0597"/>
    <w:rsid w:val="7DFB5CCB"/>
    <w:rsid w:val="7DFF4C1F"/>
    <w:rsid w:val="7EABC706"/>
    <w:rsid w:val="7EBDEA70"/>
    <w:rsid w:val="7EDF0EB0"/>
    <w:rsid w:val="7EEDADD1"/>
    <w:rsid w:val="7EEF3668"/>
    <w:rsid w:val="7EFE0205"/>
    <w:rsid w:val="7EFF94B9"/>
    <w:rsid w:val="7F2F6EA7"/>
    <w:rsid w:val="7F2FAB31"/>
    <w:rsid w:val="7F56F1E1"/>
    <w:rsid w:val="7F5CF75C"/>
    <w:rsid w:val="7F6F4BF9"/>
    <w:rsid w:val="7F7F9218"/>
    <w:rsid w:val="7FAFC88E"/>
    <w:rsid w:val="7FCBC891"/>
    <w:rsid w:val="7FDB739F"/>
    <w:rsid w:val="7FDFFC6D"/>
    <w:rsid w:val="7FE7C1AF"/>
    <w:rsid w:val="7FEE16FE"/>
    <w:rsid w:val="7FEF89ED"/>
    <w:rsid w:val="7FFA464C"/>
    <w:rsid w:val="7FFAA125"/>
    <w:rsid w:val="7FFAE0BA"/>
    <w:rsid w:val="7FFE476C"/>
    <w:rsid w:val="7FFF34C4"/>
    <w:rsid w:val="7FFF6870"/>
    <w:rsid w:val="7FFFDEE0"/>
    <w:rsid w:val="7FFFF863"/>
    <w:rsid w:val="9787A11A"/>
    <w:rsid w:val="99F626C9"/>
    <w:rsid w:val="9D4B5CFF"/>
    <w:rsid w:val="9F5F270E"/>
    <w:rsid w:val="9FCD7887"/>
    <w:rsid w:val="A2ADF3CA"/>
    <w:rsid w:val="A5CFCDCC"/>
    <w:rsid w:val="A7FB465A"/>
    <w:rsid w:val="A7FFE6F7"/>
    <w:rsid w:val="A9FFB183"/>
    <w:rsid w:val="ADCFD58D"/>
    <w:rsid w:val="AF6E9AA2"/>
    <w:rsid w:val="AFFB766C"/>
    <w:rsid w:val="AFFFE402"/>
    <w:rsid w:val="B1DE9A1E"/>
    <w:rsid w:val="B3AF98F8"/>
    <w:rsid w:val="B3FA156A"/>
    <w:rsid w:val="B5770558"/>
    <w:rsid w:val="B5BDCB40"/>
    <w:rsid w:val="B5FF983B"/>
    <w:rsid w:val="B67F07F9"/>
    <w:rsid w:val="B6BE77D5"/>
    <w:rsid w:val="B72D300A"/>
    <w:rsid w:val="B77A8AE9"/>
    <w:rsid w:val="B79FF7FA"/>
    <w:rsid w:val="B7BD4A68"/>
    <w:rsid w:val="B7BFF7D6"/>
    <w:rsid w:val="B7D50B83"/>
    <w:rsid w:val="B7F5E6A2"/>
    <w:rsid w:val="B9F7F305"/>
    <w:rsid w:val="BA7B23C6"/>
    <w:rsid w:val="BAADE4CD"/>
    <w:rsid w:val="BBF7F8DC"/>
    <w:rsid w:val="BC73E0C7"/>
    <w:rsid w:val="BC7C3D9C"/>
    <w:rsid w:val="BCFF3E56"/>
    <w:rsid w:val="BDEBEB15"/>
    <w:rsid w:val="BDF3A7DC"/>
    <w:rsid w:val="BE643224"/>
    <w:rsid w:val="BE7E5163"/>
    <w:rsid w:val="BE9412FF"/>
    <w:rsid w:val="BEDC9640"/>
    <w:rsid w:val="BEFD5AF4"/>
    <w:rsid w:val="BF7F5BD5"/>
    <w:rsid w:val="BFCD016C"/>
    <w:rsid w:val="BFDD8F01"/>
    <w:rsid w:val="BFDEA7C3"/>
    <w:rsid w:val="BFDF1759"/>
    <w:rsid w:val="BFEE75FE"/>
    <w:rsid w:val="BFFB8EB4"/>
    <w:rsid w:val="BFFD6B44"/>
    <w:rsid w:val="BFFDB911"/>
    <w:rsid w:val="C3FE8764"/>
    <w:rsid w:val="C7EFC53F"/>
    <w:rsid w:val="C7FD561F"/>
    <w:rsid w:val="CF3E9AAF"/>
    <w:rsid w:val="CF6DDEA3"/>
    <w:rsid w:val="CF6F9B47"/>
    <w:rsid w:val="D3FB70FE"/>
    <w:rsid w:val="D3FF22E0"/>
    <w:rsid w:val="D576E981"/>
    <w:rsid w:val="D5F487A8"/>
    <w:rsid w:val="D5FF0884"/>
    <w:rsid w:val="D67F53DB"/>
    <w:rsid w:val="D7D3790D"/>
    <w:rsid w:val="D7E42854"/>
    <w:rsid w:val="D7FF0EB8"/>
    <w:rsid w:val="D9F60007"/>
    <w:rsid w:val="DC7FACA1"/>
    <w:rsid w:val="DC8F4BBE"/>
    <w:rsid w:val="DCBF7805"/>
    <w:rsid w:val="DD95DF9B"/>
    <w:rsid w:val="DD9F0222"/>
    <w:rsid w:val="DDBA9F49"/>
    <w:rsid w:val="DDDFDAA7"/>
    <w:rsid w:val="DEEBAC33"/>
    <w:rsid w:val="DEF34123"/>
    <w:rsid w:val="DEF7003A"/>
    <w:rsid w:val="DF556F77"/>
    <w:rsid w:val="DF5CF914"/>
    <w:rsid w:val="DFAE4D41"/>
    <w:rsid w:val="DFB75187"/>
    <w:rsid w:val="DFBDD488"/>
    <w:rsid w:val="DFEACCEA"/>
    <w:rsid w:val="DFF153AB"/>
    <w:rsid w:val="DFFA3E0C"/>
    <w:rsid w:val="DFFFCF28"/>
    <w:rsid w:val="E53F8AFE"/>
    <w:rsid w:val="E587E140"/>
    <w:rsid w:val="E6CEEADD"/>
    <w:rsid w:val="E72D3526"/>
    <w:rsid w:val="E7F7367E"/>
    <w:rsid w:val="EAF18FC9"/>
    <w:rsid w:val="EBFD0782"/>
    <w:rsid w:val="EBFE8A08"/>
    <w:rsid w:val="EBFF0D4D"/>
    <w:rsid w:val="ED7651D4"/>
    <w:rsid w:val="ED7DFF5E"/>
    <w:rsid w:val="EDF75E6C"/>
    <w:rsid w:val="EEBFB13A"/>
    <w:rsid w:val="EECD0C34"/>
    <w:rsid w:val="EEE708A0"/>
    <w:rsid w:val="EF1EF8B0"/>
    <w:rsid w:val="EF45F37C"/>
    <w:rsid w:val="EF5F06AB"/>
    <w:rsid w:val="EFAD018F"/>
    <w:rsid w:val="EFBFB266"/>
    <w:rsid w:val="EFDF798D"/>
    <w:rsid w:val="EFDFB059"/>
    <w:rsid w:val="EFE94A78"/>
    <w:rsid w:val="EFEDCC24"/>
    <w:rsid w:val="EFF75B2C"/>
    <w:rsid w:val="EFFE2E6C"/>
    <w:rsid w:val="EFFE3F76"/>
    <w:rsid w:val="EFFF1346"/>
    <w:rsid w:val="F2DF94CD"/>
    <w:rsid w:val="F37B1EF8"/>
    <w:rsid w:val="F3B720AA"/>
    <w:rsid w:val="F4DA1C31"/>
    <w:rsid w:val="F57D990C"/>
    <w:rsid w:val="F66B1F61"/>
    <w:rsid w:val="F66FF01B"/>
    <w:rsid w:val="F6FD0FAE"/>
    <w:rsid w:val="F7CF1FD2"/>
    <w:rsid w:val="F7EF73E8"/>
    <w:rsid w:val="F7FDF0B4"/>
    <w:rsid w:val="F8DF32FB"/>
    <w:rsid w:val="F96BF804"/>
    <w:rsid w:val="F9BCEF3E"/>
    <w:rsid w:val="FA9F9AD9"/>
    <w:rsid w:val="FAA746F4"/>
    <w:rsid w:val="FAB79F0A"/>
    <w:rsid w:val="FAFF3AA8"/>
    <w:rsid w:val="FB45882D"/>
    <w:rsid w:val="FB8F5813"/>
    <w:rsid w:val="FB9E4834"/>
    <w:rsid w:val="FB9F643A"/>
    <w:rsid w:val="FBBF69F6"/>
    <w:rsid w:val="FBBFBDF9"/>
    <w:rsid w:val="FBFB2E6B"/>
    <w:rsid w:val="FBFE8332"/>
    <w:rsid w:val="FD6FBBFD"/>
    <w:rsid w:val="FD7BC1A7"/>
    <w:rsid w:val="FD97DC4C"/>
    <w:rsid w:val="FDACB96F"/>
    <w:rsid w:val="FDECBB73"/>
    <w:rsid w:val="FDF7149C"/>
    <w:rsid w:val="FDF93CC4"/>
    <w:rsid w:val="FDFEDD72"/>
    <w:rsid w:val="FDFF566F"/>
    <w:rsid w:val="FDFFEF46"/>
    <w:rsid w:val="FE734873"/>
    <w:rsid w:val="FE7EBE7F"/>
    <w:rsid w:val="FE7F2260"/>
    <w:rsid w:val="FEBBC293"/>
    <w:rsid w:val="FECCED3F"/>
    <w:rsid w:val="FEEFC1E4"/>
    <w:rsid w:val="FEFDB796"/>
    <w:rsid w:val="FF3B1D26"/>
    <w:rsid w:val="FF3F2477"/>
    <w:rsid w:val="FF4FD1AE"/>
    <w:rsid w:val="FF5F9C2B"/>
    <w:rsid w:val="FF6F56F6"/>
    <w:rsid w:val="FF6FBFCA"/>
    <w:rsid w:val="FF7FC78C"/>
    <w:rsid w:val="FF87696B"/>
    <w:rsid w:val="FF931CE9"/>
    <w:rsid w:val="FF9D8F4A"/>
    <w:rsid w:val="FF9FC934"/>
    <w:rsid w:val="FFAD4FD8"/>
    <w:rsid w:val="FFBF9558"/>
    <w:rsid w:val="FFBFB277"/>
    <w:rsid w:val="FFC2A848"/>
    <w:rsid w:val="FFCF5974"/>
    <w:rsid w:val="FFCFD026"/>
    <w:rsid w:val="FFD528C8"/>
    <w:rsid w:val="FFDFF3F9"/>
    <w:rsid w:val="FFE18788"/>
    <w:rsid w:val="FFE7FDDC"/>
    <w:rsid w:val="FFEB1B80"/>
    <w:rsid w:val="FFEF6E77"/>
    <w:rsid w:val="FFF37C2E"/>
    <w:rsid w:val="FFF71E4B"/>
    <w:rsid w:val="FFFDE60B"/>
    <w:rsid w:val="FFFE0486"/>
    <w:rsid w:val="FFFEBFF1"/>
    <w:rsid w:val="FFFF43E9"/>
    <w:rsid w:val="FFFF63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table of authorities"/>
    <w:basedOn w:val="1"/>
    <w:next w:val="1"/>
    <w:qFormat/>
    <w:uiPriority w:val="0"/>
    <w:pPr>
      <w:ind w:left="420" w:leftChars="200"/>
    </w:pPr>
  </w:style>
  <w:style w:type="paragraph" w:styleId="3">
    <w:name w:val="Body Text"/>
    <w:basedOn w:val="1"/>
    <w:next w:val="4"/>
    <w:qFormat/>
    <w:uiPriority w:val="0"/>
    <w:pPr>
      <w:spacing w:after="120"/>
    </w:pPr>
    <w:rPr>
      <w:szCs w:val="20"/>
    </w:rPr>
  </w:style>
  <w:style w:type="paragraph" w:styleId="4">
    <w:name w:val="Quote"/>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5">
    <w:name w:val="Date"/>
    <w:basedOn w:val="1"/>
    <w:next w:val="1"/>
    <w:link w:val="15"/>
    <w:semiHidden/>
    <w:unhideWhenUsed/>
    <w:uiPriority w:val="99"/>
    <w:pPr>
      <w:ind w:left="100" w:leftChars="2500"/>
    </w:pPr>
  </w:style>
  <w:style w:type="paragraph" w:styleId="6">
    <w:name w:val="Balloon Text"/>
    <w:basedOn w:val="1"/>
    <w:link w:val="11"/>
    <w:semiHidden/>
    <w:unhideWhenUsed/>
    <w:qFormat/>
    <w:uiPriority w:val="99"/>
    <w:rPr>
      <w:sz w:val="18"/>
      <w:szCs w:val="18"/>
    </w:r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1">
    <w:name w:val="批注框文本 Char"/>
    <w:basedOn w:val="10"/>
    <w:link w:val="6"/>
    <w:semiHidden/>
    <w:qFormat/>
    <w:uiPriority w:val="99"/>
    <w:rPr>
      <w:kern w:val="2"/>
      <w:sz w:val="18"/>
      <w:szCs w:val="18"/>
    </w:rPr>
  </w:style>
  <w:style w:type="character" w:customStyle="1" w:styleId="12">
    <w:name w:val="页脚 Char"/>
    <w:basedOn w:val="10"/>
    <w:link w:val="7"/>
    <w:qFormat/>
    <w:uiPriority w:val="99"/>
    <w:rPr>
      <w:sz w:val="18"/>
      <w:szCs w:val="18"/>
    </w:rPr>
  </w:style>
  <w:style w:type="character" w:customStyle="1" w:styleId="13">
    <w:name w:val="页眉 Char"/>
    <w:basedOn w:val="10"/>
    <w:link w:val="8"/>
    <w:qFormat/>
    <w:uiPriority w:val="99"/>
    <w:rPr>
      <w:sz w:val="18"/>
      <w:szCs w:val="18"/>
    </w:rPr>
  </w:style>
  <w:style w:type="character" w:customStyle="1" w:styleId="14">
    <w:name w:val="UserStyle_3"/>
    <w:semiHidden/>
    <w:qFormat/>
    <w:uiPriority w:val="0"/>
  </w:style>
  <w:style w:type="character" w:customStyle="1" w:styleId="15">
    <w:name w:val="日期 Char"/>
    <w:basedOn w:val="10"/>
    <w:link w:val="5"/>
    <w:semiHidden/>
    <w:uiPriority w:val="99"/>
    <w:rPr>
      <w:kern w:val="2"/>
      <w:sz w:val="21"/>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58DD5-FB7C-42F5-878C-7F5BB951898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14667</Words>
  <Characters>83608</Characters>
  <Lines>696</Lines>
  <Paragraphs>196</Paragraphs>
  <TotalTime>51</TotalTime>
  <ScaleCrop>false</ScaleCrop>
  <LinksUpToDate>false</LinksUpToDate>
  <CharactersWithSpaces>98079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2023-02-02T15:45:00Z</dcterms:created>
  <dc:creator>张海燕</dc:creator>
  <cp:lastModifiedBy>silence</cp:lastModifiedBy>
  <cp:lastPrinted>2023-02-02T16:04:00Z</cp:lastPrinted>
  <dcterms:modified xsi:type="dcterms:W3CDTF">2024-01-18T03:26:51Z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31FD0F3D94E4D9F23334AC6315F9D61C</vt:lpwstr>
  </property>
</Properties>
</file>