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02" w:rsidRDefault="00B23202" w:rsidP="00B23202">
      <w:pPr>
        <w:rPr>
          <w:rFonts w:ascii="Times New Roman" w:eastAsia="方正仿宋_GBK" w:hAnsi="Times New Roman" w:cs="Times New Roman"/>
          <w:sz w:val="32"/>
          <w:szCs w:val="32"/>
        </w:rPr>
      </w:pPr>
      <w:r w:rsidRPr="00B23202">
        <w:rPr>
          <w:rFonts w:ascii="方正黑体_GBK" w:eastAsia="方正黑体_GBK" w:hAnsi="Times New Roman" w:cs="Times New Roman" w:hint="eastAsia"/>
          <w:sz w:val="32"/>
          <w:szCs w:val="32"/>
        </w:rPr>
        <w:t>附件</w:t>
      </w:r>
      <w:r w:rsidRPr="00B23202">
        <w:rPr>
          <w:rFonts w:ascii="Times New Roman" w:eastAsia="方正仿宋_GBK" w:hAnsi="Times New Roman" w:cs="Times New Roman" w:hint="eastAsia"/>
          <w:sz w:val="32"/>
          <w:szCs w:val="32"/>
        </w:rPr>
        <w:t>1</w:t>
      </w:r>
    </w:p>
    <w:p w:rsidR="00B23202" w:rsidRDefault="00B23202" w:rsidP="00157683">
      <w:pPr>
        <w:spacing w:line="600" w:lineRule="exact"/>
        <w:rPr>
          <w:rFonts w:ascii="Times New Roman" w:eastAsia="方正仿宋_GBK" w:hAnsi="Times New Roman" w:cs="Times New Roman"/>
          <w:sz w:val="32"/>
          <w:szCs w:val="32"/>
        </w:rPr>
      </w:pPr>
    </w:p>
    <w:p w:rsidR="00B23202" w:rsidRPr="00B23202" w:rsidRDefault="00B23202" w:rsidP="00157683">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收入支出决算总表</w:t>
      </w:r>
    </w:p>
    <w:p w:rsidR="00B23202" w:rsidRPr="00B23202" w:rsidRDefault="00B23202" w:rsidP="00157683">
      <w:pPr>
        <w:spacing w:line="600" w:lineRule="exact"/>
        <w:rPr>
          <w:rFonts w:ascii="Times New Roman" w:eastAsia="方正仿宋_GBK" w:hAnsi="Times New Roman" w:cs="Times New Roman"/>
          <w:szCs w:val="21"/>
        </w:rPr>
      </w:pPr>
    </w:p>
    <w:p w:rsidR="00B23202" w:rsidRPr="005E256C" w:rsidRDefault="005E256C" w:rsidP="00157683">
      <w:pPr>
        <w:spacing w:line="600" w:lineRule="exact"/>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01</w:t>
      </w:r>
      <w:r w:rsidRPr="005E256C">
        <w:rPr>
          <w:rFonts w:ascii="Times New Roman" w:eastAsia="方正楷体_GBK" w:hAnsi="Times New Roman" w:cs="Times New Roman"/>
          <w:sz w:val="24"/>
          <w:szCs w:val="24"/>
        </w:rPr>
        <w:t>表</w:t>
      </w:r>
    </w:p>
    <w:p w:rsidR="005E256C" w:rsidRPr="005E256C" w:rsidRDefault="005E256C" w:rsidP="00B23202">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pPr w:leftFromText="180" w:rightFromText="180" w:vertAnchor="text" w:horzAnchor="page" w:tblpXSpec="center" w:tblpY="22"/>
        <w:tblOverlap w:val="never"/>
        <w:tblW w:w="5000" w:type="pct"/>
        <w:tblCellMar>
          <w:left w:w="0" w:type="dxa"/>
          <w:right w:w="0" w:type="dxa"/>
        </w:tblCellMar>
        <w:tblLook w:val="04A0" w:firstRow="1" w:lastRow="0" w:firstColumn="1" w:lastColumn="0" w:noHBand="0" w:noVBand="1"/>
      </w:tblPr>
      <w:tblGrid>
        <w:gridCol w:w="4198"/>
        <w:gridCol w:w="2911"/>
        <w:gridCol w:w="3311"/>
        <w:gridCol w:w="2325"/>
      </w:tblGrid>
      <w:tr w:rsidR="005862A3" w:rsidRPr="00394CF6" w:rsidTr="00591B75">
        <w:trPr>
          <w:trHeight w:hRule="exact" w:val="728"/>
        </w:trPr>
        <w:tc>
          <w:tcPr>
            <w:tcW w:w="278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收入</w:t>
            </w:r>
          </w:p>
        </w:tc>
        <w:tc>
          <w:tcPr>
            <w:tcW w:w="2211"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支出</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决算数</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功能分类科目</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决算数</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一、一般公共预算财政拨款收入</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一、一般公共服务支出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二、政府性基金预算财政拨款收入</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二、外交支出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三、国有资本经营预算财政拨款收入</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三、国防支出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四、上级补助收入</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四、公共安全支出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五、事业收入</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五、教育支出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六、经营收入</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六、科学技术支出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lastRenderedPageBreak/>
              <w:t>七、附属单位上缴收入</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七、文化旅游体育与传媒支出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八、其他收入</w:t>
            </w:r>
          </w:p>
        </w:tc>
        <w:tc>
          <w:tcPr>
            <w:tcW w:w="1142" w:type="pct"/>
            <w:tcBorders>
              <w:top w:val="nil"/>
              <w:left w:val="nil"/>
              <w:bottom w:val="nil"/>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八、社会保障和就业支出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1,005.87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九、卫生健康支出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十、节能环保支出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十一、城乡社区支出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十二、农林水支出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十三、交通运输支出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十四、资源勘探工业信息等支出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十五、商业服务业等支出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十六、金融支出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十七、援助其他地区支出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十八、自然资源海洋气象等支出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591B75">
        <w:trPr>
          <w:trHeight w:hRule="exact" w:val="715"/>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十九、住房保障支出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二十、粮油物资储备支出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二十一、国有资本经营预算支出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二十二、灾害防治及应急管理支出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二十三、其他支出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二十四、债务还本支出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二十五、债务付息支出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rPr>
                <w:rFonts w:ascii="Times New Roman" w:eastAsia="方正仿宋_GBK" w:hAnsi="Times New Roman" w:cs="Times New Roman"/>
                <w:bCs/>
                <w:color w:val="000000"/>
                <w:szCs w:val="21"/>
              </w:rPr>
            </w:pP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二十六、抗</w:t>
            </w:r>
            <w:proofErr w:type="gramStart"/>
            <w:r w:rsidRPr="00394CF6">
              <w:rPr>
                <w:rFonts w:ascii="Times New Roman" w:eastAsia="方正仿宋_GBK" w:hAnsi="Times New Roman" w:cs="Times New Roman"/>
                <w:bCs/>
                <w:color w:val="000000"/>
                <w:szCs w:val="21"/>
              </w:rPr>
              <w:t>疫</w:t>
            </w:r>
            <w:proofErr w:type="gramEnd"/>
            <w:r w:rsidRPr="00394CF6">
              <w:rPr>
                <w:rFonts w:ascii="Times New Roman" w:eastAsia="方正仿宋_GBK" w:hAnsi="Times New Roman" w:cs="Times New Roman"/>
                <w:bCs/>
                <w:color w:val="000000"/>
                <w:szCs w:val="21"/>
              </w:rPr>
              <w:t>特别国债安排的支出</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本年收入合计</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本年支出合计</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使用非财政拨款结余（含专用结余）</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结余分配</w:t>
            </w:r>
          </w:p>
        </w:tc>
        <w:tc>
          <w:tcPr>
            <w:tcW w:w="9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年初结转和结余</w:t>
            </w:r>
          </w:p>
        </w:tc>
        <w:tc>
          <w:tcPr>
            <w:tcW w:w="114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年末结转和结余</w:t>
            </w:r>
          </w:p>
        </w:tc>
        <w:tc>
          <w:tcPr>
            <w:tcW w:w="91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5862A3" w:rsidRPr="00394CF6" w:rsidTr="006936FB">
        <w:trPr>
          <w:trHeight w:hRule="exact" w:val="567"/>
        </w:trPr>
        <w:tc>
          <w:tcPr>
            <w:tcW w:w="16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总计</w:t>
            </w:r>
          </w:p>
        </w:tc>
        <w:tc>
          <w:tcPr>
            <w:tcW w:w="11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1299"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862A3" w:rsidRPr="00394CF6" w:rsidRDefault="005862A3"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总计</w:t>
            </w:r>
          </w:p>
        </w:tc>
        <w:tc>
          <w:tcPr>
            <w:tcW w:w="91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862A3" w:rsidRPr="00394CF6" w:rsidRDefault="005862A3"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r>
    </w:tbl>
    <w:p w:rsidR="00394CF6" w:rsidRPr="00394CF6" w:rsidRDefault="00394CF6" w:rsidP="00394CF6">
      <w:pPr>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lastRenderedPageBreak/>
        <w:t>备注：</w:t>
      </w:r>
      <w:r w:rsidRPr="00394CF6">
        <w:rPr>
          <w:rFonts w:ascii="Times New Roman" w:eastAsia="方正仿宋_GBK" w:hAnsi="Times New Roman" w:cs="Times New Roman" w:hint="eastAsia"/>
          <w:sz w:val="24"/>
          <w:szCs w:val="24"/>
        </w:rPr>
        <w:t>1.</w:t>
      </w:r>
      <w:r w:rsidRPr="00394CF6">
        <w:rPr>
          <w:rFonts w:ascii="Times New Roman" w:eastAsia="方正仿宋_GBK" w:hAnsi="Times New Roman" w:cs="Times New Roman" w:hint="eastAsia"/>
          <w:sz w:val="24"/>
          <w:szCs w:val="24"/>
        </w:rPr>
        <w:t>本表反映单位本年度的总收支和年末结转结余情况。</w:t>
      </w:r>
    </w:p>
    <w:p w:rsidR="005E256C" w:rsidRPr="005E256C" w:rsidRDefault="00394CF6" w:rsidP="00394CF6">
      <w:pPr>
        <w:ind w:firstLineChars="300" w:firstLine="720"/>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2.</w:t>
      </w:r>
      <w:r w:rsidRPr="00394CF6">
        <w:rPr>
          <w:rFonts w:ascii="Times New Roman" w:eastAsia="方正仿宋_GBK" w:hAnsi="Times New Roman" w:cs="Times New Roman" w:hint="eastAsia"/>
          <w:sz w:val="24"/>
          <w:szCs w:val="24"/>
        </w:rPr>
        <w:t>本套报表金额单位转换时可能存在尾数误差。</w:t>
      </w:r>
    </w:p>
    <w:p w:rsidR="005E256C" w:rsidRDefault="005E256C" w:rsidP="00B23202">
      <w:pPr>
        <w:rPr>
          <w:rFonts w:ascii="Times New Roman" w:eastAsia="方正仿宋_GBK" w:hAnsi="Times New Roman" w:cs="Times New Roman"/>
          <w:sz w:val="32"/>
          <w:szCs w:val="32"/>
        </w:rPr>
      </w:pPr>
    </w:p>
    <w:p w:rsidR="005E256C" w:rsidRDefault="005E256C" w:rsidP="00B23202">
      <w:pPr>
        <w:rPr>
          <w:rFonts w:ascii="Times New Roman" w:eastAsia="方正仿宋_GBK" w:hAnsi="Times New Roman" w:cs="Times New Roman"/>
          <w:sz w:val="32"/>
          <w:szCs w:val="32"/>
        </w:rPr>
      </w:pPr>
    </w:p>
    <w:p w:rsidR="00B23202" w:rsidRDefault="00B23202" w:rsidP="00B23202">
      <w:pPr>
        <w:rPr>
          <w:rFonts w:ascii="Times New Roman" w:eastAsia="方正仿宋_GBK" w:hAnsi="Times New Roman" w:cs="Times New Roman"/>
          <w:sz w:val="32"/>
          <w:szCs w:val="32"/>
        </w:rPr>
      </w:pPr>
      <w:bookmarkStart w:id="0" w:name="_GoBack"/>
      <w:bookmarkEnd w:id="0"/>
      <w:r w:rsidRPr="00B23202">
        <w:rPr>
          <w:rFonts w:ascii="方正黑体_GBK" w:eastAsia="方正黑体_GBK" w:hAnsi="Times New Roman" w:cs="Times New Roman" w:hint="eastAsia"/>
          <w:sz w:val="32"/>
          <w:szCs w:val="32"/>
        </w:rPr>
        <w:lastRenderedPageBreak/>
        <w:t>附件</w:t>
      </w:r>
      <w:r>
        <w:rPr>
          <w:rFonts w:ascii="Times New Roman" w:eastAsia="方正仿宋_GBK" w:hAnsi="Times New Roman" w:cs="Times New Roman" w:hint="eastAsia"/>
          <w:sz w:val="32"/>
          <w:szCs w:val="32"/>
        </w:rPr>
        <w:t>2</w:t>
      </w:r>
    </w:p>
    <w:p w:rsidR="00B23202" w:rsidRDefault="00B23202" w:rsidP="00157683">
      <w:pPr>
        <w:spacing w:line="600" w:lineRule="exact"/>
        <w:rPr>
          <w:rFonts w:ascii="Times New Roman" w:eastAsia="方正仿宋_GBK" w:hAnsi="Times New Roman" w:cs="Times New Roman"/>
          <w:sz w:val="32"/>
          <w:szCs w:val="32"/>
        </w:rPr>
      </w:pPr>
    </w:p>
    <w:p w:rsidR="00B23202" w:rsidRPr="00B23202" w:rsidRDefault="00B23202" w:rsidP="00157683">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收入决算表</w:t>
      </w:r>
    </w:p>
    <w:p w:rsidR="00B23202" w:rsidRPr="00B23202" w:rsidRDefault="00B23202" w:rsidP="00157683">
      <w:pPr>
        <w:spacing w:line="600" w:lineRule="exact"/>
        <w:rPr>
          <w:rFonts w:ascii="Times New Roman" w:eastAsia="方正仿宋_GBK" w:hAnsi="Times New Roman" w:cs="Times New Roman"/>
          <w:szCs w:val="21"/>
        </w:rPr>
      </w:pPr>
    </w:p>
    <w:p w:rsidR="005E256C" w:rsidRPr="005E256C" w:rsidRDefault="005E256C" w:rsidP="00157683">
      <w:pPr>
        <w:spacing w:line="600" w:lineRule="exact"/>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w:t>
      </w:r>
      <w:r>
        <w:rPr>
          <w:rFonts w:ascii="Times New Roman" w:eastAsia="方正楷体_GBK" w:hAnsi="Times New Roman" w:cs="Times New Roman" w:hint="eastAsia"/>
          <w:sz w:val="24"/>
          <w:szCs w:val="24"/>
        </w:rPr>
        <w:t>2</w:t>
      </w:r>
      <w:r w:rsidRPr="005E256C">
        <w:rPr>
          <w:rFonts w:ascii="Times New Roman" w:eastAsia="方正楷体_GBK" w:hAnsi="Times New Roman" w:cs="Times New Roman"/>
          <w:sz w:val="24"/>
          <w:szCs w:val="24"/>
        </w:rPr>
        <w:t>表</w:t>
      </w:r>
    </w:p>
    <w:p w:rsidR="005E256C" w:rsidRPr="005E256C" w:rsidRDefault="005E256C" w:rsidP="005E256C">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8"/>
        <w:gridCol w:w="3490"/>
        <w:gridCol w:w="989"/>
        <w:gridCol w:w="995"/>
        <w:gridCol w:w="987"/>
        <w:gridCol w:w="847"/>
        <w:gridCol w:w="1416"/>
        <w:gridCol w:w="1132"/>
        <w:gridCol w:w="1132"/>
        <w:gridCol w:w="982"/>
      </w:tblGrid>
      <w:tr w:rsidR="00157683" w:rsidRPr="00394CF6" w:rsidTr="00157683">
        <w:trPr>
          <w:trHeight w:val="20"/>
        </w:trPr>
        <w:tc>
          <w:tcPr>
            <w:tcW w:w="1778" w:type="pct"/>
            <w:gridSpan w:val="2"/>
            <w:shd w:val="clear" w:color="auto" w:fill="auto"/>
            <w:noWrap/>
            <w:tcMar>
              <w:top w:w="15" w:type="dxa"/>
              <w:left w:w="15" w:type="dxa"/>
              <w:right w:w="15" w:type="dxa"/>
            </w:tcMar>
            <w:vAlign w:val="bottom"/>
          </w:tcPr>
          <w:p w:rsidR="00394CF6" w:rsidRPr="00394CF6" w:rsidRDefault="00394CF6" w:rsidP="00157683">
            <w:pPr>
              <w:spacing w:line="400" w:lineRule="exact"/>
              <w:jc w:val="center"/>
              <w:textAlignment w:val="bottom"/>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p>
        </w:tc>
        <w:tc>
          <w:tcPr>
            <w:tcW w:w="376"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本年收入合计</w:t>
            </w:r>
          </w:p>
        </w:tc>
        <w:tc>
          <w:tcPr>
            <w:tcW w:w="378"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财政拨款收入</w:t>
            </w:r>
          </w:p>
        </w:tc>
        <w:tc>
          <w:tcPr>
            <w:tcW w:w="375"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上级补助收入</w:t>
            </w:r>
          </w:p>
        </w:tc>
        <w:tc>
          <w:tcPr>
            <w:tcW w:w="860" w:type="pct"/>
            <w:gridSpan w:val="2"/>
            <w:shd w:val="clear" w:color="auto" w:fill="auto"/>
            <w:noWrap/>
            <w:tcMar>
              <w:top w:w="15" w:type="dxa"/>
              <w:left w:w="15" w:type="dxa"/>
              <w:right w:w="15" w:type="dxa"/>
            </w:tcMar>
            <w:vAlign w:val="bottom"/>
          </w:tcPr>
          <w:p w:rsidR="00394CF6" w:rsidRPr="00394CF6" w:rsidRDefault="00394CF6" w:rsidP="00157683">
            <w:pPr>
              <w:spacing w:line="400" w:lineRule="exact"/>
              <w:jc w:val="center"/>
              <w:textAlignment w:val="bottom"/>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事业收入</w:t>
            </w:r>
          </w:p>
        </w:tc>
        <w:tc>
          <w:tcPr>
            <w:tcW w:w="430"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经营收入</w:t>
            </w:r>
          </w:p>
        </w:tc>
        <w:tc>
          <w:tcPr>
            <w:tcW w:w="430"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附属单位上缴收入</w:t>
            </w:r>
          </w:p>
        </w:tc>
        <w:tc>
          <w:tcPr>
            <w:tcW w:w="373"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其他收入</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功能分类科目编码</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项目（按</w:t>
            </w:r>
            <w:r w:rsidRPr="00394CF6">
              <w:rPr>
                <w:rFonts w:ascii="方正黑体_GBK" w:eastAsia="方正黑体_GBK" w:hAnsi="Times New Roman" w:cs="Times New Roman" w:hint="eastAsia"/>
                <w:color w:val="000000"/>
                <w:szCs w:val="21"/>
              </w:rPr>
              <w:t>“项”</w:t>
            </w:r>
            <w:proofErr w:type="gramStart"/>
            <w:r w:rsidRPr="00394CF6">
              <w:rPr>
                <w:rFonts w:ascii="Times New Roman" w:eastAsia="方正黑体_GBK" w:hAnsi="Times New Roman" w:cs="Times New Roman"/>
                <w:color w:val="000000"/>
                <w:szCs w:val="21"/>
              </w:rPr>
              <w:t>级功能</w:t>
            </w:r>
            <w:proofErr w:type="gramEnd"/>
            <w:r w:rsidRPr="00394CF6">
              <w:rPr>
                <w:rFonts w:ascii="Times New Roman" w:eastAsia="方正黑体_GBK" w:hAnsi="Times New Roman" w:cs="Times New Roman"/>
                <w:color w:val="000000"/>
                <w:szCs w:val="21"/>
              </w:rPr>
              <w:t>分类科目）</w:t>
            </w:r>
          </w:p>
        </w:tc>
        <w:tc>
          <w:tcPr>
            <w:tcW w:w="376"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黑体_GBK" w:hAnsi="Times New Roman" w:cs="Times New Roman"/>
                <w:color w:val="000000"/>
                <w:szCs w:val="21"/>
              </w:rPr>
            </w:pPr>
          </w:p>
        </w:tc>
        <w:tc>
          <w:tcPr>
            <w:tcW w:w="378"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黑体_GBK" w:hAnsi="Times New Roman" w:cs="Times New Roman"/>
                <w:color w:val="000000"/>
                <w:szCs w:val="21"/>
              </w:rPr>
            </w:pPr>
          </w:p>
        </w:tc>
        <w:tc>
          <w:tcPr>
            <w:tcW w:w="375"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黑体_GBK" w:hAnsi="Times New Roman" w:cs="Times New Roman"/>
                <w:color w:val="000000"/>
                <w:szCs w:val="21"/>
              </w:rPr>
            </w:pPr>
          </w:p>
        </w:tc>
        <w:tc>
          <w:tcPr>
            <w:tcW w:w="322"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小计</w:t>
            </w:r>
          </w:p>
        </w:tc>
        <w:tc>
          <w:tcPr>
            <w:tcW w:w="538"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其中：教育收费</w:t>
            </w:r>
          </w:p>
        </w:tc>
        <w:tc>
          <w:tcPr>
            <w:tcW w:w="430"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430"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373"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r>
      <w:tr w:rsidR="00157683" w:rsidRPr="00394CF6" w:rsidTr="00157683">
        <w:trPr>
          <w:trHeight w:val="20"/>
        </w:trPr>
        <w:tc>
          <w:tcPr>
            <w:tcW w:w="1778" w:type="pct"/>
            <w:gridSpan w:val="2"/>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合计</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1,244.32</w:t>
            </w:r>
            <w:r w:rsidRPr="00394CF6">
              <w:rPr>
                <w:rFonts w:ascii="Times New Roman" w:eastAsia="方正仿宋_GBK" w:hAnsi="Times New Roman" w:cs="Times New Roman"/>
                <w:color w:val="000000"/>
                <w:szCs w:val="21"/>
              </w:rPr>
              <w:t xml:space="preserve">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1,244.32</w:t>
            </w:r>
            <w:r w:rsidRPr="00394CF6">
              <w:rPr>
                <w:rFonts w:ascii="Times New Roman" w:eastAsia="方正仿宋_GBK" w:hAnsi="Times New Roman" w:cs="Times New Roman"/>
                <w:color w:val="000000"/>
                <w:szCs w:val="21"/>
              </w:rPr>
              <w:t xml:space="preserve">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社会保障和就业支出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1,005.87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1,005.87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人力资源和社会保障管理事务</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811.14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811.14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2080101</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行政运行</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733.14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733.14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2080102</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一般行政管理事务</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行政事业单位养老支出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194.73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194.73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2080505</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机关事业单位基本养老保险缴费支出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69.77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69.77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2080506</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机关事业单位职业年金缴费支出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34.89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34.89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lastRenderedPageBreak/>
              <w:t>2080599</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其他行政事业单位养老支出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90.07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90.07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卫生健康支出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行政事业单位医疗</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2101101</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行政单位医疗</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37.07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37.07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2101103</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公务员医疗补助</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2101199</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其他行政事业单位医疗支出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6.54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6.54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农林水支出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21308</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普惠金融发展支出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2130804</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创业担保贷款贴息</w:t>
            </w:r>
            <w:proofErr w:type="gramStart"/>
            <w:r w:rsidRPr="00394CF6">
              <w:rPr>
                <w:rFonts w:ascii="Times New Roman" w:eastAsia="方正仿宋_GBK" w:hAnsi="Times New Roman" w:cs="Times New Roman"/>
                <w:color w:val="000000"/>
                <w:szCs w:val="21"/>
              </w:rPr>
              <w:t>及奖补</w:t>
            </w:r>
            <w:proofErr w:type="gramEnd"/>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住房保障支出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住房改革支出</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2210201</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住房公积金</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60.70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60.70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157683" w:rsidRPr="00394CF6" w:rsidTr="00157683">
        <w:trPr>
          <w:trHeight w:val="20"/>
        </w:trPr>
        <w:tc>
          <w:tcPr>
            <w:tcW w:w="45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2210203</w:t>
            </w:r>
          </w:p>
        </w:tc>
        <w:tc>
          <w:tcPr>
            <w:tcW w:w="13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购房补贴</w:t>
            </w:r>
          </w:p>
        </w:tc>
        <w:tc>
          <w:tcPr>
            <w:tcW w:w="3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7.00 </w:t>
            </w:r>
          </w:p>
        </w:tc>
        <w:tc>
          <w:tcPr>
            <w:tcW w:w="37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7.00 </w:t>
            </w:r>
          </w:p>
        </w:tc>
        <w:tc>
          <w:tcPr>
            <w:tcW w:w="3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2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3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43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37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bl>
    <w:p w:rsidR="00394CF6" w:rsidRDefault="00394CF6" w:rsidP="00394CF6">
      <w:pPr>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备注：</w:t>
      </w:r>
      <w:r w:rsidRPr="00394CF6">
        <w:rPr>
          <w:rFonts w:ascii="Times New Roman" w:eastAsia="方正仿宋_GBK" w:hAnsi="Times New Roman" w:cs="Times New Roman" w:hint="eastAsia"/>
          <w:sz w:val="24"/>
          <w:szCs w:val="24"/>
        </w:rPr>
        <w:t>1.</w:t>
      </w:r>
      <w:r w:rsidRPr="00394CF6">
        <w:rPr>
          <w:rFonts w:ascii="Times New Roman" w:eastAsia="方正仿宋_GBK" w:hAnsi="Times New Roman" w:cs="Times New Roman" w:hint="eastAsia"/>
          <w:sz w:val="24"/>
          <w:szCs w:val="24"/>
        </w:rPr>
        <w:t>本表反映单位本年度取得的各项收入情况。</w:t>
      </w:r>
    </w:p>
    <w:p w:rsidR="00B23202" w:rsidRPr="00394CF6" w:rsidRDefault="00394CF6" w:rsidP="00394CF6">
      <w:pPr>
        <w:ind w:firstLineChars="300" w:firstLine="720"/>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2.</w:t>
      </w:r>
      <w:r w:rsidRPr="00394CF6">
        <w:rPr>
          <w:rFonts w:ascii="Times New Roman" w:eastAsia="方正仿宋_GBK" w:hAnsi="Times New Roman" w:cs="Times New Roman" w:hint="eastAsia"/>
          <w:sz w:val="24"/>
          <w:szCs w:val="24"/>
        </w:rPr>
        <w:t>本套报表金额单位转换时可能存在尾数误差。</w:t>
      </w:r>
    </w:p>
    <w:p w:rsidR="00B23202" w:rsidRDefault="00B23202" w:rsidP="00B23202">
      <w:pPr>
        <w:rPr>
          <w:rFonts w:ascii="Times New Roman" w:eastAsia="方正仿宋_GBK" w:hAnsi="Times New Roman" w:cs="Times New Roman"/>
          <w:sz w:val="32"/>
          <w:szCs w:val="32"/>
        </w:rPr>
      </w:pPr>
    </w:p>
    <w:p w:rsidR="005E256C" w:rsidRDefault="005E256C" w:rsidP="00B23202">
      <w:pPr>
        <w:rPr>
          <w:rFonts w:ascii="Times New Roman" w:eastAsia="方正仿宋_GBK" w:hAnsi="Times New Roman" w:cs="Times New Roman"/>
          <w:sz w:val="32"/>
          <w:szCs w:val="32"/>
        </w:rPr>
      </w:pPr>
    </w:p>
    <w:p w:rsidR="00B23202" w:rsidRDefault="00B23202" w:rsidP="00B23202">
      <w:pPr>
        <w:rPr>
          <w:rFonts w:ascii="Times New Roman" w:eastAsia="方正仿宋_GBK" w:hAnsi="Times New Roman" w:cs="Times New Roman"/>
          <w:sz w:val="32"/>
          <w:szCs w:val="32"/>
        </w:rPr>
      </w:pPr>
      <w:r w:rsidRPr="00B23202">
        <w:rPr>
          <w:rFonts w:ascii="方正黑体_GBK" w:eastAsia="方正黑体_GBK" w:hAnsi="Times New Roman" w:cs="Times New Roman" w:hint="eastAsia"/>
          <w:sz w:val="32"/>
          <w:szCs w:val="32"/>
        </w:rPr>
        <w:lastRenderedPageBreak/>
        <w:t>附件</w:t>
      </w:r>
      <w:r>
        <w:rPr>
          <w:rFonts w:ascii="Times New Roman" w:eastAsia="方正仿宋_GBK" w:hAnsi="Times New Roman" w:cs="Times New Roman" w:hint="eastAsia"/>
          <w:sz w:val="32"/>
          <w:szCs w:val="32"/>
        </w:rPr>
        <w:t>3</w:t>
      </w:r>
    </w:p>
    <w:p w:rsidR="00B23202" w:rsidRDefault="00B23202" w:rsidP="00157683">
      <w:pPr>
        <w:spacing w:line="600" w:lineRule="exact"/>
        <w:rPr>
          <w:rFonts w:ascii="Times New Roman" w:eastAsia="方正仿宋_GBK" w:hAnsi="Times New Roman" w:cs="Times New Roman"/>
          <w:sz w:val="32"/>
          <w:szCs w:val="32"/>
        </w:rPr>
      </w:pPr>
    </w:p>
    <w:p w:rsidR="00B23202" w:rsidRPr="00B23202" w:rsidRDefault="00B23202" w:rsidP="00157683">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支出决算表</w:t>
      </w:r>
    </w:p>
    <w:p w:rsidR="00B23202" w:rsidRPr="00B23202" w:rsidRDefault="00B23202" w:rsidP="00157683">
      <w:pPr>
        <w:spacing w:line="600" w:lineRule="exact"/>
        <w:rPr>
          <w:rFonts w:ascii="Times New Roman" w:eastAsia="方正仿宋_GBK" w:hAnsi="Times New Roman" w:cs="Times New Roman"/>
          <w:szCs w:val="21"/>
        </w:rPr>
      </w:pPr>
    </w:p>
    <w:p w:rsidR="005E256C" w:rsidRPr="005E256C" w:rsidRDefault="005E256C" w:rsidP="005E256C">
      <w:pPr>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w:t>
      </w:r>
      <w:r>
        <w:rPr>
          <w:rFonts w:ascii="Times New Roman" w:eastAsia="方正楷体_GBK" w:hAnsi="Times New Roman" w:cs="Times New Roman" w:hint="eastAsia"/>
          <w:sz w:val="24"/>
          <w:szCs w:val="24"/>
        </w:rPr>
        <w:t>3</w:t>
      </w:r>
      <w:r w:rsidRPr="005E256C">
        <w:rPr>
          <w:rFonts w:ascii="Times New Roman" w:eastAsia="方正楷体_GBK" w:hAnsi="Times New Roman" w:cs="Times New Roman"/>
          <w:sz w:val="24"/>
          <w:szCs w:val="24"/>
        </w:rPr>
        <w:t>表</w:t>
      </w:r>
    </w:p>
    <w:p w:rsidR="005E256C" w:rsidRPr="005E256C" w:rsidRDefault="005E256C" w:rsidP="005E256C">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3"/>
        <w:gridCol w:w="2998"/>
        <w:gridCol w:w="1529"/>
        <w:gridCol w:w="1466"/>
        <w:gridCol w:w="1348"/>
        <w:gridCol w:w="1295"/>
        <w:gridCol w:w="1407"/>
        <w:gridCol w:w="1629"/>
      </w:tblGrid>
      <w:tr w:rsidR="00394CF6" w:rsidRPr="00394CF6" w:rsidTr="00394CF6">
        <w:trPr>
          <w:trHeight w:val="20"/>
        </w:trPr>
        <w:tc>
          <w:tcPr>
            <w:tcW w:w="1597" w:type="pct"/>
            <w:gridSpan w:val="2"/>
            <w:shd w:val="clear" w:color="auto" w:fill="auto"/>
            <w:noWrap/>
            <w:tcMar>
              <w:top w:w="15" w:type="dxa"/>
              <w:left w:w="15" w:type="dxa"/>
              <w:right w:w="15" w:type="dxa"/>
            </w:tcMar>
            <w:vAlign w:val="bottom"/>
          </w:tcPr>
          <w:p w:rsidR="00394CF6" w:rsidRPr="00394CF6" w:rsidRDefault="00394CF6" w:rsidP="00157683">
            <w:pPr>
              <w:spacing w:line="400" w:lineRule="exact"/>
              <w:jc w:val="center"/>
              <w:textAlignment w:val="bottom"/>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p>
        </w:tc>
        <w:tc>
          <w:tcPr>
            <w:tcW w:w="600"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本年支出合计</w:t>
            </w:r>
          </w:p>
        </w:tc>
        <w:tc>
          <w:tcPr>
            <w:tcW w:w="575"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基本支出</w:t>
            </w:r>
          </w:p>
        </w:tc>
        <w:tc>
          <w:tcPr>
            <w:tcW w:w="529"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项目支出</w:t>
            </w:r>
          </w:p>
        </w:tc>
        <w:tc>
          <w:tcPr>
            <w:tcW w:w="508"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上缴上级支出</w:t>
            </w:r>
          </w:p>
        </w:tc>
        <w:tc>
          <w:tcPr>
            <w:tcW w:w="552"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经营支出</w:t>
            </w:r>
          </w:p>
        </w:tc>
        <w:tc>
          <w:tcPr>
            <w:tcW w:w="639" w:type="pct"/>
            <w:vMerge w:val="restar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对附属单位补助支出</w:t>
            </w:r>
          </w:p>
        </w:tc>
      </w:tr>
      <w:tr w:rsidR="00394CF6" w:rsidRPr="00394CF6" w:rsidTr="00394CF6">
        <w:trPr>
          <w:trHeight w:val="312"/>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功能分类科目编码</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r w:rsidRPr="00394CF6">
              <w:rPr>
                <w:rFonts w:ascii="方正黑体_GBK" w:eastAsia="方正黑体_GBK" w:hAnsi="Times New Roman" w:cs="Times New Roman" w:hint="eastAsia"/>
                <w:color w:val="000000"/>
                <w:szCs w:val="21"/>
              </w:rPr>
              <w:t>按“项”</w:t>
            </w:r>
            <w:proofErr w:type="gramStart"/>
            <w:r w:rsidRPr="00394CF6">
              <w:rPr>
                <w:rFonts w:ascii="方正黑体_GBK" w:eastAsia="方正黑体_GBK" w:hAnsi="Times New Roman" w:cs="Times New Roman" w:hint="eastAsia"/>
                <w:color w:val="000000"/>
                <w:szCs w:val="21"/>
              </w:rPr>
              <w:t>级</w:t>
            </w:r>
            <w:r w:rsidRPr="00394CF6">
              <w:rPr>
                <w:rFonts w:ascii="Times New Roman" w:eastAsia="方正黑体_GBK" w:hAnsi="Times New Roman" w:cs="Times New Roman"/>
                <w:color w:val="000000"/>
                <w:szCs w:val="21"/>
              </w:rPr>
              <w:t>功能</w:t>
            </w:r>
            <w:proofErr w:type="gramEnd"/>
            <w:r w:rsidRPr="00394CF6">
              <w:rPr>
                <w:rFonts w:ascii="Times New Roman" w:eastAsia="方正黑体_GBK" w:hAnsi="Times New Roman" w:cs="Times New Roman"/>
                <w:color w:val="000000"/>
                <w:szCs w:val="21"/>
              </w:rPr>
              <w:t>分类科目）</w:t>
            </w:r>
          </w:p>
        </w:tc>
        <w:tc>
          <w:tcPr>
            <w:tcW w:w="600"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575"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529"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508"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552"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639" w:type="pct"/>
            <w:vMerge/>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r>
      <w:tr w:rsidR="00394CF6" w:rsidRPr="00394CF6" w:rsidTr="00394CF6">
        <w:trPr>
          <w:trHeight w:val="20"/>
        </w:trPr>
        <w:tc>
          <w:tcPr>
            <w:tcW w:w="1597" w:type="pct"/>
            <w:gridSpan w:val="2"/>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合计</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1,244.32</w:t>
            </w:r>
            <w:r w:rsidRPr="00394CF6">
              <w:rPr>
                <w:rFonts w:ascii="Times New Roman" w:eastAsia="方正仿宋_GBK" w:hAnsi="Times New Roman" w:cs="Times New Roman"/>
                <w:color w:val="000000"/>
                <w:szCs w:val="21"/>
              </w:rPr>
              <w:t xml:space="preserve">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1,048.18</w:t>
            </w:r>
            <w:r w:rsidRPr="00394CF6">
              <w:rPr>
                <w:rFonts w:ascii="Times New Roman" w:eastAsia="方正仿宋_GBK" w:hAnsi="Times New Roman" w:cs="Times New Roman"/>
                <w:color w:val="000000"/>
                <w:szCs w:val="21"/>
              </w:rPr>
              <w:t xml:space="preserve">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196.14</w:t>
            </w:r>
            <w:r w:rsidRPr="00394CF6">
              <w:rPr>
                <w:rFonts w:ascii="Times New Roman" w:eastAsia="方正仿宋_GBK" w:hAnsi="Times New Roman" w:cs="Times New Roman"/>
                <w:color w:val="000000"/>
                <w:szCs w:val="21"/>
              </w:rPr>
              <w:t xml:space="preserve">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社会保障和就业支出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1,005.87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927.87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人力资源和社会保障管理事务</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811.14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733.14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2080101</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行政运行</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733.14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733.14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2080102</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一般行政管理事务</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行政事业单位养老支出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194.73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194.73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2080505</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机关事业单位基本养老保险缴费支出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69.77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69.77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lastRenderedPageBreak/>
              <w:t>2080506</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机关事业单位职业年金缴费支出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34.89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34.89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2080599</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其他行政事业单位养老支出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90.07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90.07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卫生健康支出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行政事业单位医疗</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2101101</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行政单位医疗</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37.07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37.07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2101103</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公务员医疗补助</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2101199</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其他行政事业单位医疗支出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6.54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6.54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农林水支出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21308</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普惠金融发展支出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2130804</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创业担保贷款贴息</w:t>
            </w:r>
            <w:proofErr w:type="gramStart"/>
            <w:r w:rsidRPr="00394CF6">
              <w:rPr>
                <w:rFonts w:ascii="Times New Roman" w:eastAsia="方正仿宋_GBK" w:hAnsi="Times New Roman" w:cs="Times New Roman"/>
                <w:color w:val="000000"/>
                <w:szCs w:val="21"/>
              </w:rPr>
              <w:t>及奖补</w:t>
            </w:r>
            <w:proofErr w:type="gramEnd"/>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住房保障支出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住房改革支出</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2210201</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住房公积金</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60.70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60.70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1"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2210203</w:t>
            </w:r>
          </w:p>
        </w:tc>
        <w:tc>
          <w:tcPr>
            <w:tcW w:w="117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购房补贴</w:t>
            </w:r>
          </w:p>
        </w:tc>
        <w:tc>
          <w:tcPr>
            <w:tcW w:w="60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7.00 </w:t>
            </w:r>
          </w:p>
        </w:tc>
        <w:tc>
          <w:tcPr>
            <w:tcW w:w="57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7.00 </w:t>
            </w:r>
          </w:p>
        </w:tc>
        <w:tc>
          <w:tcPr>
            <w:tcW w:w="52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08"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2"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3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bl>
    <w:p w:rsidR="00394CF6" w:rsidRPr="00394CF6" w:rsidRDefault="00394CF6" w:rsidP="00394CF6">
      <w:pPr>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备注：</w:t>
      </w:r>
      <w:r w:rsidRPr="00394CF6">
        <w:rPr>
          <w:rFonts w:ascii="Times New Roman" w:eastAsia="方正仿宋_GBK" w:hAnsi="Times New Roman" w:cs="Times New Roman" w:hint="eastAsia"/>
          <w:sz w:val="24"/>
          <w:szCs w:val="24"/>
        </w:rPr>
        <w:t>1.</w:t>
      </w:r>
      <w:r w:rsidRPr="00394CF6">
        <w:rPr>
          <w:rFonts w:ascii="Times New Roman" w:eastAsia="方正仿宋_GBK" w:hAnsi="Times New Roman" w:cs="Times New Roman" w:hint="eastAsia"/>
          <w:sz w:val="24"/>
          <w:szCs w:val="24"/>
        </w:rPr>
        <w:t>本表反映单位本年度各项支出情况。</w:t>
      </w:r>
    </w:p>
    <w:p w:rsidR="00B23202" w:rsidRPr="00394CF6" w:rsidRDefault="00394CF6" w:rsidP="00394CF6">
      <w:pPr>
        <w:ind w:firstLineChars="300" w:firstLine="720"/>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2.</w:t>
      </w:r>
      <w:r w:rsidRPr="00394CF6">
        <w:rPr>
          <w:rFonts w:ascii="Times New Roman" w:eastAsia="方正仿宋_GBK" w:hAnsi="Times New Roman" w:cs="Times New Roman" w:hint="eastAsia"/>
          <w:sz w:val="24"/>
          <w:szCs w:val="24"/>
        </w:rPr>
        <w:t>本套报表金额单位转换时可能存在尾数误差。</w:t>
      </w:r>
    </w:p>
    <w:p w:rsidR="00B23202" w:rsidRDefault="00B23202" w:rsidP="00B23202">
      <w:pPr>
        <w:rPr>
          <w:rFonts w:ascii="Times New Roman" w:eastAsia="方正仿宋_GBK" w:hAnsi="Times New Roman" w:cs="Times New Roman"/>
          <w:sz w:val="32"/>
          <w:szCs w:val="32"/>
        </w:rPr>
      </w:pPr>
    </w:p>
    <w:p w:rsidR="002D65A6" w:rsidRDefault="002D65A6" w:rsidP="00B23202">
      <w:pPr>
        <w:rPr>
          <w:rFonts w:ascii="Times New Roman" w:eastAsia="方正仿宋_GBK" w:hAnsi="Times New Roman" w:cs="Times New Roman"/>
          <w:sz w:val="32"/>
          <w:szCs w:val="32"/>
        </w:rPr>
      </w:pPr>
    </w:p>
    <w:p w:rsidR="00B23202" w:rsidRDefault="00B23202" w:rsidP="00B23202">
      <w:pPr>
        <w:rPr>
          <w:rFonts w:ascii="Times New Roman" w:eastAsia="方正仿宋_GBK" w:hAnsi="Times New Roman" w:cs="Times New Roman"/>
          <w:sz w:val="32"/>
          <w:szCs w:val="32"/>
        </w:rPr>
      </w:pPr>
      <w:r w:rsidRPr="00B23202">
        <w:rPr>
          <w:rFonts w:ascii="方正黑体_GBK" w:eastAsia="方正黑体_GBK" w:hAnsi="Times New Roman" w:cs="Times New Roman" w:hint="eastAsia"/>
          <w:sz w:val="32"/>
          <w:szCs w:val="32"/>
        </w:rPr>
        <w:lastRenderedPageBreak/>
        <w:t>附件</w:t>
      </w:r>
      <w:r>
        <w:rPr>
          <w:rFonts w:ascii="Times New Roman" w:eastAsia="方正仿宋_GBK" w:hAnsi="Times New Roman" w:cs="Times New Roman" w:hint="eastAsia"/>
          <w:sz w:val="32"/>
          <w:szCs w:val="32"/>
        </w:rPr>
        <w:t>4</w:t>
      </w:r>
    </w:p>
    <w:p w:rsidR="00B23202" w:rsidRPr="002D65A6" w:rsidRDefault="00B23202" w:rsidP="00157683">
      <w:pPr>
        <w:spacing w:line="600" w:lineRule="exact"/>
        <w:rPr>
          <w:rFonts w:ascii="Times New Roman" w:eastAsia="方正仿宋_GBK" w:hAnsi="Times New Roman" w:cs="Times New Roman"/>
          <w:szCs w:val="21"/>
        </w:rPr>
      </w:pPr>
    </w:p>
    <w:p w:rsidR="00B23202" w:rsidRPr="00B23202" w:rsidRDefault="00B23202" w:rsidP="00157683">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财政拨款收入支出决算总表</w:t>
      </w:r>
    </w:p>
    <w:p w:rsidR="00B23202" w:rsidRPr="002D65A6" w:rsidRDefault="00B23202" w:rsidP="00157683">
      <w:pPr>
        <w:spacing w:line="600" w:lineRule="exact"/>
        <w:rPr>
          <w:rFonts w:ascii="Times New Roman" w:eastAsia="方正仿宋_GBK" w:hAnsi="Times New Roman" w:cs="Times New Roman"/>
          <w:szCs w:val="21"/>
        </w:rPr>
      </w:pPr>
    </w:p>
    <w:p w:rsidR="005E256C" w:rsidRPr="005E256C" w:rsidRDefault="005E256C" w:rsidP="005E256C">
      <w:pPr>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w:t>
      </w:r>
      <w:r w:rsidR="002D65A6">
        <w:rPr>
          <w:rFonts w:ascii="Times New Roman" w:eastAsia="方正楷体_GBK" w:hAnsi="Times New Roman" w:cs="Times New Roman" w:hint="eastAsia"/>
          <w:sz w:val="24"/>
          <w:szCs w:val="24"/>
        </w:rPr>
        <w:t>4</w:t>
      </w:r>
      <w:r w:rsidRPr="005E256C">
        <w:rPr>
          <w:rFonts w:ascii="Times New Roman" w:eastAsia="方正楷体_GBK" w:hAnsi="Times New Roman" w:cs="Times New Roman"/>
          <w:sz w:val="24"/>
          <w:szCs w:val="24"/>
        </w:rPr>
        <w:t>表</w:t>
      </w:r>
    </w:p>
    <w:p w:rsidR="005E256C" w:rsidRPr="005E256C" w:rsidRDefault="005E256C" w:rsidP="005E256C">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W w:w="5000" w:type="pct"/>
        <w:tblCellMar>
          <w:left w:w="0" w:type="dxa"/>
          <w:right w:w="0" w:type="dxa"/>
        </w:tblCellMar>
        <w:tblLook w:val="04A0" w:firstRow="1" w:lastRow="0" w:firstColumn="1" w:lastColumn="0" w:noHBand="0" w:noVBand="1"/>
      </w:tblPr>
      <w:tblGrid>
        <w:gridCol w:w="2970"/>
        <w:gridCol w:w="1054"/>
        <w:gridCol w:w="3180"/>
        <w:gridCol w:w="1197"/>
        <w:gridCol w:w="1198"/>
        <w:gridCol w:w="1313"/>
        <w:gridCol w:w="1833"/>
      </w:tblGrid>
      <w:tr w:rsidR="00394CF6" w:rsidRPr="00394CF6" w:rsidTr="00394CF6">
        <w:trPr>
          <w:trHeight w:val="20"/>
        </w:trPr>
        <w:tc>
          <w:tcPr>
            <w:tcW w:w="1576"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收</w:t>
            </w:r>
            <w:r w:rsidRPr="00394CF6">
              <w:rPr>
                <w:rFonts w:ascii="Times New Roman" w:eastAsia="方正黑体_GBK" w:hAnsi="Times New Roman" w:cs="Times New Roman"/>
                <w:color w:val="000000"/>
                <w:szCs w:val="21"/>
              </w:rPr>
              <w:t xml:space="preserve">     </w:t>
            </w:r>
            <w:r w:rsidRPr="00394CF6">
              <w:rPr>
                <w:rFonts w:ascii="Times New Roman" w:eastAsia="方正黑体_GBK" w:hAnsi="Times New Roman" w:cs="Times New Roman"/>
                <w:color w:val="000000"/>
                <w:szCs w:val="21"/>
              </w:rPr>
              <w:t>入</w:t>
            </w:r>
          </w:p>
        </w:tc>
        <w:tc>
          <w:tcPr>
            <w:tcW w:w="3424"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支</w:t>
            </w:r>
            <w:r w:rsidRPr="00394CF6">
              <w:rPr>
                <w:rFonts w:ascii="Times New Roman" w:eastAsia="方正黑体_GBK" w:hAnsi="Times New Roman" w:cs="Times New Roman"/>
                <w:color w:val="000000"/>
                <w:szCs w:val="21"/>
              </w:rPr>
              <w:t xml:space="preserve">     </w:t>
            </w:r>
            <w:r w:rsidRPr="00394CF6">
              <w:rPr>
                <w:rFonts w:ascii="Times New Roman" w:eastAsia="方正黑体_GBK" w:hAnsi="Times New Roman" w:cs="Times New Roman"/>
                <w:color w:val="000000"/>
                <w:szCs w:val="21"/>
              </w:rPr>
              <w:t>出</w:t>
            </w:r>
          </w:p>
        </w:tc>
      </w:tr>
      <w:tr w:rsidR="00394CF6" w:rsidRPr="00394CF6" w:rsidTr="00394CF6">
        <w:trPr>
          <w:trHeight w:val="20"/>
        </w:trPr>
        <w:tc>
          <w:tcPr>
            <w:tcW w:w="11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p>
        </w:tc>
        <w:tc>
          <w:tcPr>
            <w:tcW w:w="4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决算数</w:t>
            </w:r>
          </w:p>
        </w:tc>
        <w:tc>
          <w:tcPr>
            <w:tcW w:w="124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功能分类科目</w:t>
            </w:r>
          </w:p>
        </w:tc>
        <w:tc>
          <w:tcPr>
            <w:tcW w:w="2182"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决算数</w:t>
            </w:r>
          </w:p>
        </w:tc>
      </w:tr>
      <w:tr w:rsidR="00394CF6" w:rsidRPr="00394CF6" w:rsidTr="00394CF6">
        <w:trPr>
          <w:trHeight w:val="20"/>
        </w:trPr>
        <w:tc>
          <w:tcPr>
            <w:tcW w:w="11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黑体_GBK" w:hAnsi="Times New Roman" w:cs="Times New Roman"/>
                <w:color w:val="000000"/>
                <w:szCs w:val="21"/>
              </w:rPr>
            </w:pPr>
          </w:p>
        </w:tc>
        <w:tc>
          <w:tcPr>
            <w:tcW w:w="4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黑体_GBK" w:hAnsi="Times New Roman" w:cs="Times New Roman"/>
                <w:color w:val="000000"/>
                <w:szCs w:val="21"/>
              </w:rPr>
            </w:pPr>
          </w:p>
        </w:tc>
        <w:tc>
          <w:tcPr>
            <w:tcW w:w="124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黑体_GBK" w:hAnsi="Times New Roman" w:cs="Times New Roman"/>
                <w:color w:val="000000"/>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小计</w:t>
            </w: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一般公共预算财政拨款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政府性基金预算财政拨款</w:t>
            </w:r>
          </w:p>
        </w:tc>
        <w:tc>
          <w:tcPr>
            <w:tcW w:w="7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国有资本经营预算财政拨款</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一、一般公共预算财政拨款</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一、一般公共服务支出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二、政府性基金预算财政拨款</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二、外交支出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三、国有资本经营预算财政拨款</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三、国防支出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四、公共安全支出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五、教育支出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六、科学技术支出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七、文化旅游体育与传媒支出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八、社会保障和就业支出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1,005.87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1,005.87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九、卫生健康支出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十、节能环保支出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十一、城乡社区支出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十二、农林水支出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十三、交通运输支出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十四、资源勘探工业信息等支出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十五、商业服务业等支出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十六、金融支出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十七、援助其他地区支出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十八、自然资源海洋气象等支出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十九、住房保障支出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二十、粮油物资储备支出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二十一、国有资本经营预算支出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二十二、灾害防治及应急管理支出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二十三、其他支出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二十四、债务还本支出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二十五、债务付息支出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bCs/>
                <w:color w:val="000000"/>
                <w:szCs w:val="21"/>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二十六、抗</w:t>
            </w:r>
            <w:proofErr w:type="gramStart"/>
            <w:r w:rsidRPr="00394CF6">
              <w:rPr>
                <w:rFonts w:ascii="Times New Roman" w:eastAsia="方正仿宋_GBK" w:hAnsi="Times New Roman" w:cs="Times New Roman"/>
                <w:bCs/>
                <w:color w:val="000000"/>
                <w:szCs w:val="21"/>
              </w:rPr>
              <w:t>疫</w:t>
            </w:r>
            <w:proofErr w:type="gramEnd"/>
            <w:r w:rsidRPr="00394CF6">
              <w:rPr>
                <w:rFonts w:ascii="Times New Roman" w:eastAsia="方正仿宋_GBK" w:hAnsi="Times New Roman" w:cs="Times New Roman"/>
                <w:bCs/>
                <w:color w:val="000000"/>
                <w:szCs w:val="21"/>
              </w:rPr>
              <w:t>特别国债安排的支出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lastRenderedPageBreak/>
              <w:t>本年收入合计</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本年支出合计</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年初财政拨款结转和结余</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年末财政拨款结转和结余</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一般公共预算财政拨款</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政府性基金预算财政拨款</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国有资本经营预算财政拨款</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r>
      <w:tr w:rsidR="00394CF6" w:rsidRPr="00394CF6" w:rsidTr="00394CF6">
        <w:trPr>
          <w:trHeight w:val="20"/>
        </w:trPr>
        <w:tc>
          <w:tcPr>
            <w:tcW w:w="11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总计</w:t>
            </w:r>
          </w:p>
        </w:tc>
        <w:tc>
          <w:tcPr>
            <w:tcW w:w="4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总计</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1,244.32 </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7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bl>
    <w:p w:rsidR="00394CF6" w:rsidRPr="00394CF6" w:rsidRDefault="00394CF6" w:rsidP="00394CF6">
      <w:pPr>
        <w:spacing w:line="400" w:lineRule="exact"/>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备注：</w:t>
      </w:r>
      <w:r w:rsidRPr="00394CF6">
        <w:rPr>
          <w:rFonts w:ascii="Times New Roman" w:eastAsia="方正仿宋_GBK" w:hAnsi="Times New Roman" w:cs="Times New Roman" w:hint="eastAsia"/>
          <w:sz w:val="24"/>
          <w:szCs w:val="24"/>
        </w:rPr>
        <w:t>1.</w:t>
      </w:r>
      <w:r w:rsidRPr="00394CF6">
        <w:rPr>
          <w:rFonts w:ascii="Times New Roman" w:eastAsia="方正仿宋_GBK" w:hAnsi="Times New Roman" w:cs="Times New Roman" w:hint="eastAsia"/>
          <w:sz w:val="24"/>
          <w:szCs w:val="24"/>
        </w:rPr>
        <w:t>本表反映单位本年度一般公共预算财政拨款、政府性基金预算财政拨款及国有资本经营预算财政拨款的总收支和年末结转结余情况。</w:t>
      </w:r>
    </w:p>
    <w:p w:rsidR="00B23202" w:rsidRDefault="00394CF6" w:rsidP="00394CF6">
      <w:pPr>
        <w:spacing w:line="400" w:lineRule="exact"/>
        <w:ind w:firstLineChars="250" w:firstLine="600"/>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2.</w:t>
      </w:r>
      <w:r w:rsidRPr="00394CF6">
        <w:rPr>
          <w:rFonts w:ascii="Times New Roman" w:eastAsia="方正仿宋_GBK" w:hAnsi="Times New Roman" w:cs="Times New Roman" w:hint="eastAsia"/>
          <w:sz w:val="24"/>
          <w:szCs w:val="24"/>
        </w:rPr>
        <w:t>本套报表金额单位转换时可能存在尾数误差。</w:t>
      </w: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AB143A" w:rsidRDefault="00AB143A" w:rsidP="00394CF6">
      <w:pPr>
        <w:spacing w:line="400" w:lineRule="exact"/>
        <w:ind w:firstLineChars="250" w:firstLine="600"/>
        <w:rPr>
          <w:rFonts w:ascii="Times New Roman" w:eastAsia="方正仿宋_GBK" w:hAnsi="Times New Roman" w:cs="Times New Roman"/>
          <w:sz w:val="24"/>
          <w:szCs w:val="24"/>
        </w:rPr>
      </w:pPr>
    </w:p>
    <w:p w:rsidR="00B23202" w:rsidRDefault="00B23202" w:rsidP="00B23202">
      <w:pPr>
        <w:rPr>
          <w:rFonts w:ascii="Times New Roman" w:eastAsia="方正仿宋_GBK" w:hAnsi="Times New Roman" w:cs="Times New Roman"/>
          <w:sz w:val="32"/>
          <w:szCs w:val="32"/>
        </w:rPr>
      </w:pPr>
      <w:r w:rsidRPr="00B23202">
        <w:rPr>
          <w:rFonts w:ascii="方正黑体_GBK" w:eastAsia="方正黑体_GBK" w:hAnsi="Times New Roman" w:cs="Times New Roman" w:hint="eastAsia"/>
          <w:sz w:val="32"/>
          <w:szCs w:val="32"/>
        </w:rPr>
        <w:lastRenderedPageBreak/>
        <w:t>附件</w:t>
      </w:r>
      <w:r>
        <w:rPr>
          <w:rFonts w:ascii="Times New Roman" w:eastAsia="方正仿宋_GBK" w:hAnsi="Times New Roman" w:cs="Times New Roman" w:hint="eastAsia"/>
          <w:sz w:val="32"/>
          <w:szCs w:val="32"/>
        </w:rPr>
        <w:t>5</w:t>
      </w:r>
    </w:p>
    <w:p w:rsidR="00B23202" w:rsidRDefault="00B23202" w:rsidP="00157683">
      <w:pPr>
        <w:spacing w:line="600" w:lineRule="exact"/>
        <w:rPr>
          <w:rFonts w:ascii="Times New Roman" w:eastAsia="方正仿宋_GBK" w:hAnsi="Times New Roman" w:cs="Times New Roman"/>
          <w:sz w:val="32"/>
          <w:szCs w:val="32"/>
        </w:rPr>
      </w:pPr>
    </w:p>
    <w:p w:rsidR="00B23202" w:rsidRPr="00B23202" w:rsidRDefault="00B23202" w:rsidP="00157683">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一般公共预算财政拨款收入支出决算表</w:t>
      </w:r>
    </w:p>
    <w:p w:rsidR="00B23202" w:rsidRPr="00B23202" w:rsidRDefault="00B23202" w:rsidP="00157683">
      <w:pPr>
        <w:spacing w:line="600" w:lineRule="exact"/>
        <w:rPr>
          <w:rFonts w:ascii="Times New Roman" w:eastAsia="方正仿宋_GBK" w:hAnsi="Times New Roman" w:cs="Times New Roman"/>
          <w:szCs w:val="21"/>
        </w:rPr>
      </w:pPr>
    </w:p>
    <w:p w:rsidR="005E256C" w:rsidRPr="005E256C" w:rsidRDefault="005E256C" w:rsidP="005E256C">
      <w:pPr>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w:t>
      </w:r>
      <w:r w:rsidR="002D65A6">
        <w:rPr>
          <w:rFonts w:ascii="Times New Roman" w:eastAsia="方正楷体_GBK" w:hAnsi="Times New Roman" w:cs="Times New Roman" w:hint="eastAsia"/>
          <w:sz w:val="24"/>
          <w:szCs w:val="24"/>
        </w:rPr>
        <w:t>5</w:t>
      </w:r>
      <w:r w:rsidRPr="005E256C">
        <w:rPr>
          <w:rFonts w:ascii="Times New Roman" w:eastAsia="方正楷体_GBK" w:hAnsi="Times New Roman" w:cs="Times New Roman"/>
          <w:sz w:val="24"/>
          <w:szCs w:val="24"/>
        </w:rPr>
        <w:t>表</w:t>
      </w:r>
    </w:p>
    <w:p w:rsidR="005E256C" w:rsidRPr="005E256C" w:rsidRDefault="005E256C" w:rsidP="005E256C">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6"/>
        <w:gridCol w:w="3388"/>
        <w:gridCol w:w="2750"/>
        <w:gridCol w:w="2743"/>
        <w:gridCol w:w="2778"/>
      </w:tblGrid>
      <w:tr w:rsidR="00394CF6" w:rsidRPr="00394CF6" w:rsidTr="00394CF6">
        <w:trPr>
          <w:trHeight w:val="20"/>
        </w:trPr>
        <w:tc>
          <w:tcPr>
            <w:tcW w:w="1755" w:type="pct"/>
            <w:gridSpan w:val="2"/>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p>
        </w:tc>
        <w:tc>
          <w:tcPr>
            <w:tcW w:w="3245" w:type="pct"/>
            <w:gridSpan w:val="3"/>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本年支出</w:t>
            </w:r>
          </w:p>
        </w:tc>
      </w:tr>
      <w:tr w:rsidR="00394CF6" w:rsidRPr="00394CF6" w:rsidTr="00394CF6">
        <w:trPr>
          <w:trHeight w:val="312"/>
        </w:trPr>
        <w:tc>
          <w:tcPr>
            <w:tcW w:w="426"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功能分类科目编码</w:t>
            </w:r>
          </w:p>
        </w:tc>
        <w:tc>
          <w:tcPr>
            <w:tcW w:w="1329"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r w:rsidRPr="00394CF6">
              <w:rPr>
                <w:rFonts w:ascii="方正黑体_GBK" w:eastAsia="方正黑体_GBK" w:hAnsi="Times New Roman" w:cs="Times New Roman" w:hint="eastAsia"/>
                <w:color w:val="000000"/>
                <w:szCs w:val="21"/>
              </w:rPr>
              <w:t>按“项”</w:t>
            </w:r>
            <w:proofErr w:type="gramStart"/>
            <w:r w:rsidRPr="00394CF6">
              <w:rPr>
                <w:rFonts w:ascii="方正黑体_GBK" w:eastAsia="方正黑体_GBK" w:hAnsi="Times New Roman" w:cs="Times New Roman" w:hint="eastAsia"/>
                <w:color w:val="000000"/>
                <w:szCs w:val="21"/>
              </w:rPr>
              <w:t>级</w:t>
            </w:r>
            <w:r w:rsidRPr="00394CF6">
              <w:rPr>
                <w:rFonts w:ascii="Times New Roman" w:eastAsia="方正黑体_GBK" w:hAnsi="Times New Roman" w:cs="Times New Roman"/>
                <w:color w:val="000000"/>
                <w:szCs w:val="21"/>
              </w:rPr>
              <w:t>功能</w:t>
            </w:r>
            <w:proofErr w:type="gramEnd"/>
            <w:r w:rsidRPr="00394CF6">
              <w:rPr>
                <w:rFonts w:ascii="Times New Roman" w:eastAsia="方正黑体_GBK" w:hAnsi="Times New Roman" w:cs="Times New Roman"/>
                <w:color w:val="000000"/>
                <w:szCs w:val="21"/>
              </w:rPr>
              <w:t>分类科目）</w:t>
            </w:r>
          </w:p>
        </w:tc>
        <w:tc>
          <w:tcPr>
            <w:tcW w:w="1079"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合计</w:t>
            </w:r>
          </w:p>
        </w:tc>
        <w:tc>
          <w:tcPr>
            <w:tcW w:w="1076"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基本支出</w:t>
            </w:r>
          </w:p>
        </w:tc>
        <w:tc>
          <w:tcPr>
            <w:tcW w:w="1090"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项目支出</w:t>
            </w:r>
          </w:p>
        </w:tc>
      </w:tr>
      <w:tr w:rsidR="00394CF6" w:rsidRPr="00394CF6" w:rsidTr="00394CF6">
        <w:trPr>
          <w:trHeight w:val="20"/>
        </w:trPr>
        <w:tc>
          <w:tcPr>
            <w:tcW w:w="1755" w:type="pct"/>
            <w:gridSpan w:val="2"/>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合计</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1,244.32</w:t>
            </w:r>
            <w:r w:rsidRPr="00394CF6">
              <w:rPr>
                <w:rFonts w:ascii="Times New Roman" w:eastAsia="方正仿宋_GBK" w:hAnsi="Times New Roman" w:cs="Times New Roman"/>
                <w:color w:val="000000"/>
                <w:szCs w:val="21"/>
              </w:rPr>
              <w:t xml:space="preserve">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1,048.18</w:t>
            </w:r>
            <w:r w:rsidRPr="00394CF6">
              <w:rPr>
                <w:rFonts w:ascii="Times New Roman" w:eastAsia="方正仿宋_GBK" w:hAnsi="Times New Roman" w:cs="Times New Roman"/>
                <w:color w:val="000000"/>
                <w:szCs w:val="21"/>
              </w:rPr>
              <w:t xml:space="preserve">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196.14</w:t>
            </w: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社会保障和就业支出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1,005.87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927.87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人力资源和社会保障管理事务</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811.14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733.14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2080101</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行政运行</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733.14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733.14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2080102</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一般行政管理事务</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78.00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行政事业单位养老支出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194.73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194.73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2080505</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机关事业单位基本养老保险缴费支出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69.77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69.77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lastRenderedPageBreak/>
              <w:t>2080506</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机关事业单位职业年金缴费支出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34.89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34.89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2080599</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其他行政事业单位养老支出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90.07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90.07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卫生健康支出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行政事业单位医疗</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52.61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2101101</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行政单位医疗</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37.07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37.07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2101103</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公务员医疗补助</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2101199</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其他行政事业单位医疗支出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6.54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6.54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农林水支出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21308</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普惠金融发展支出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2130804</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创业担保贷款贴息</w:t>
            </w:r>
            <w:proofErr w:type="gramStart"/>
            <w:r w:rsidRPr="00394CF6">
              <w:rPr>
                <w:rFonts w:ascii="Times New Roman" w:eastAsia="方正仿宋_GBK" w:hAnsi="Times New Roman" w:cs="Times New Roman"/>
                <w:color w:val="000000"/>
                <w:szCs w:val="21"/>
              </w:rPr>
              <w:t>及奖补</w:t>
            </w:r>
            <w:proofErr w:type="gramEnd"/>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118.14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住房保障支出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住房改革支出</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67.70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2210201</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住房公积金</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60.70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60.70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r w:rsidR="00394CF6" w:rsidRPr="00394CF6" w:rsidTr="00394CF6">
        <w:trPr>
          <w:trHeight w:val="20"/>
        </w:trPr>
        <w:tc>
          <w:tcPr>
            <w:tcW w:w="426"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2210203</w:t>
            </w:r>
          </w:p>
        </w:tc>
        <w:tc>
          <w:tcPr>
            <w:tcW w:w="132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购房补贴</w:t>
            </w:r>
          </w:p>
        </w:tc>
        <w:tc>
          <w:tcPr>
            <w:tcW w:w="1079"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7.00 </w:t>
            </w:r>
          </w:p>
        </w:tc>
        <w:tc>
          <w:tcPr>
            <w:tcW w:w="1076"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7.00 </w:t>
            </w:r>
          </w:p>
        </w:tc>
        <w:tc>
          <w:tcPr>
            <w:tcW w:w="1090"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bl>
    <w:p w:rsidR="00394CF6" w:rsidRPr="00394CF6" w:rsidRDefault="00394CF6" w:rsidP="00394CF6">
      <w:pPr>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备注：</w:t>
      </w:r>
      <w:r w:rsidRPr="00394CF6">
        <w:rPr>
          <w:rFonts w:ascii="Times New Roman" w:eastAsia="方正仿宋_GBK" w:hAnsi="Times New Roman" w:cs="Times New Roman" w:hint="eastAsia"/>
          <w:sz w:val="24"/>
          <w:szCs w:val="24"/>
        </w:rPr>
        <w:t>1.</w:t>
      </w:r>
      <w:r w:rsidRPr="00394CF6">
        <w:rPr>
          <w:rFonts w:ascii="Times New Roman" w:eastAsia="方正仿宋_GBK" w:hAnsi="Times New Roman" w:cs="Times New Roman" w:hint="eastAsia"/>
          <w:sz w:val="24"/>
          <w:szCs w:val="24"/>
        </w:rPr>
        <w:t>本表反映单位本年度一般公共预算财政拨款支出情况。</w:t>
      </w:r>
    </w:p>
    <w:p w:rsidR="00B23202" w:rsidRPr="002D65A6" w:rsidRDefault="00394CF6" w:rsidP="00394CF6">
      <w:pPr>
        <w:ind w:firstLineChars="300" w:firstLine="720"/>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2.</w:t>
      </w:r>
      <w:r w:rsidRPr="00394CF6">
        <w:rPr>
          <w:rFonts w:ascii="Times New Roman" w:eastAsia="方正仿宋_GBK" w:hAnsi="Times New Roman" w:cs="Times New Roman" w:hint="eastAsia"/>
          <w:sz w:val="24"/>
          <w:szCs w:val="24"/>
        </w:rPr>
        <w:t>本套报表金额单位转换时可能存在尾数误差。</w:t>
      </w:r>
    </w:p>
    <w:p w:rsidR="00B23202" w:rsidRDefault="00B23202" w:rsidP="00B23202">
      <w:pPr>
        <w:rPr>
          <w:rFonts w:ascii="Times New Roman" w:eastAsia="方正仿宋_GBK" w:hAnsi="Times New Roman" w:cs="Times New Roman"/>
          <w:sz w:val="32"/>
          <w:szCs w:val="32"/>
        </w:rPr>
      </w:pPr>
    </w:p>
    <w:p w:rsidR="002D65A6" w:rsidRDefault="002D65A6" w:rsidP="00B23202">
      <w:pPr>
        <w:rPr>
          <w:rFonts w:ascii="Times New Roman" w:eastAsia="方正仿宋_GBK" w:hAnsi="Times New Roman" w:cs="Times New Roman"/>
          <w:sz w:val="32"/>
          <w:szCs w:val="32"/>
        </w:rPr>
      </w:pPr>
    </w:p>
    <w:p w:rsidR="00B23202" w:rsidRDefault="00B23202" w:rsidP="00B23202">
      <w:pPr>
        <w:rPr>
          <w:rFonts w:ascii="Times New Roman" w:eastAsia="方正仿宋_GBK" w:hAnsi="Times New Roman" w:cs="Times New Roman"/>
          <w:sz w:val="32"/>
          <w:szCs w:val="32"/>
        </w:rPr>
      </w:pPr>
      <w:r w:rsidRPr="00B23202">
        <w:rPr>
          <w:rFonts w:ascii="方正黑体_GBK" w:eastAsia="方正黑体_GBK" w:hAnsi="Times New Roman" w:cs="Times New Roman" w:hint="eastAsia"/>
          <w:sz w:val="32"/>
          <w:szCs w:val="32"/>
        </w:rPr>
        <w:lastRenderedPageBreak/>
        <w:t>附件</w:t>
      </w:r>
      <w:r>
        <w:rPr>
          <w:rFonts w:ascii="Times New Roman" w:eastAsia="方正仿宋_GBK" w:hAnsi="Times New Roman" w:cs="Times New Roman" w:hint="eastAsia"/>
          <w:sz w:val="32"/>
          <w:szCs w:val="32"/>
        </w:rPr>
        <w:t>6</w:t>
      </w:r>
    </w:p>
    <w:p w:rsidR="00B23202" w:rsidRPr="002D65A6" w:rsidRDefault="00B23202" w:rsidP="00157683">
      <w:pPr>
        <w:spacing w:line="600" w:lineRule="exact"/>
        <w:rPr>
          <w:rFonts w:ascii="Times New Roman" w:eastAsia="方正仿宋_GBK" w:hAnsi="Times New Roman" w:cs="Times New Roman"/>
          <w:szCs w:val="21"/>
        </w:rPr>
      </w:pPr>
    </w:p>
    <w:p w:rsidR="00B23202" w:rsidRPr="00B23202" w:rsidRDefault="00B23202" w:rsidP="00157683">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一般公共预算财政拨款基本支出决算表</w:t>
      </w:r>
    </w:p>
    <w:p w:rsidR="00B23202" w:rsidRPr="002D65A6" w:rsidRDefault="00B23202" w:rsidP="00157683">
      <w:pPr>
        <w:spacing w:line="600" w:lineRule="exact"/>
        <w:rPr>
          <w:rFonts w:ascii="Times New Roman" w:eastAsia="方正仿宋_GBK" w:hAnsi="Times New Roman" w:cs="Times New Roman"/>
          <w:szCs w:val="21"/>
        </w:rPr>
      </w:pPr>
    </w:p>
    <w:p w:rsidR="005E256C" w:rsidRPr="005E256C" w:rsidRDefault="005E256C" w:rsidP="005E256C">
      <w:pPr>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w:t>
      </w:r>
      <w:r w:rsidR="002D65A6">
        <w:rPr>
          <w:rFonts w:ascii="Times New Roman" w:eastAsia="方正楷体_GBK" w:hAnsi="Times New Roman" w:cs="Times New Roman" w:hint="eastAsia"/>
          <w:sz w:val="24"/>
          <w:szCs w:val="24"/>
        </w:rPr>
        <w:t>6</w:t>
      </w:r>
      <w:r w:rsidRPr="005E256C">
        <w:rPr>
          <w:rFonts w:ascii="Times New Roman" w:eastAsia="方正楷体_GBK" w:hAnsi="Times New Roman" w:cs="Times New Roman"/>
          <w:sz w:val="24"/>
          <w:szCs w:val="24"/>
        </w:rPr>
        <w:t>表</w:t>
      </w:r>
    </w:p>
    <w:p w:rsidR="005E256C" w:rsidRPr="005E256C" w:rsidRDefault="005E256C" w:rsidP="005E256C">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W w:w="5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5"/>
        <w:gridCol w:w="2401"/>
        <w:gridCol w:w="1272"/>
        <w:gridCol w:w="990"/>
        <w:gridCol w:w="2120"/>
        <w:gridCol w:w="965"/>
        <w:gridCol w:w="1012"/>
        <w:gridCol w:w="2596"/>
        <w:gridCol w:w="1244"/>
      </w:tblGrid>
      <w:tr w:rsidR="00394CF6" w:rsidRPr="00394CF6" w:rsidTr="00394CF6">
        <w:trPr>
          <w:trHeight w:val="20"/>
          <w:jc w:val="center"/>
        </w:trPr>
        <w:tc>
          <w:tcPr>
            <w:tcW w:w="1736" w:type="pct"/>
            <w:gridSpan w:val="3"/>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人员经费</w:t>
            </w:r>
          </w:p>
        </w:tc>
        <w:tc>
          <w:tcPr>
            <w:tcW w:w="3264" w:type="pct"/>
            <w:gridSpan w:val="6"/>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公用经费</w:t>
            </w:r>
          </w:p>
        </w:tc>
      </w:tr>
      <w:tr w:rsidR="00394CF6" w:rsidRPr="00394CF6" w:rsidTr="00394CF6">
        <w:trPr>
          <w:trHeight w:val="312"/>
          <w:jc w:val="center"/>
        </w:trPr>
        <w:tc>
          <w:tcPr>
            <w:tcW w:w="393"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经济分类科目编码</w:t>
            </w:r>
          </w:p>
        </w:tc>
        <w:tc>
          <w:tcPr>
            <w:tcW w:w="878"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方正黑体_GBK" w:eastAsia="方正黑体_GBK" w:hAnsi="Times New Roman" w:cs="Times New Roman"/>
                <w:color w:val="000000"/>
                <w:szCs w:val="21"/>
              </w:rPr>
            </w:pPr>
            <w:r w:rsidRPr="00394CF6">
              <w:rPr>
                <w:rFonts w:ascii="方正黑体_GBK" w:eastAsia="方正黑体_GBK" w:hAnsi="Times New Roman" w:cs="Times New Roman" w:hint="eastAsia"/>
                <w:color w:val="000000"/>
                <w:szCs w:val="21"/>
              </w:rPr>
              <w:t>经济分类科目（按“款”</w:t>
            </w:r>
            <w:proofErr w:type="gramStart"/>
            <w:r w:rsidRPr="00394CF6">
              <w:rPr>
                <w:rFonts w:ascii="方正黑体_GBK" w:eastAsia="方正黑体_GBK" w:hAnsi="Times New Roman" w:cs="Times New Roman" w:hint="eastAsia"/>
                <w:color w:val="000000"/>
                <w:szCs w:val="21"/>
              </w:rPr>
              <w:t>级功能</w:t>
            </w:r>
            <w:proofErr w:type="gramEnd"/>
            <w:r w:rsidRPr="00394CF6">
              <w:rPr>
                <w:rFonts w:ascii="方正黑体_GBK" w:eastAsia="方正黑体_GBK" w:hAnsi="Times New Roman" w:cs="Times New Roman" w:hint="eastAsia"/>
                <w:color w:val="000000"/>
                <w:szCs w:val="21"/>
              </w:rPr>
              <w:t>分类科目）</w:t>
            </w:r>
          </w:p>
        </w:tc>
        <w:tc>
          <w:tcPr>
            <w:tcW w:w="465"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方正黑体_GBK" w:eastAsia="方正黑体_GBK" w:hAnsi="Times New Roman" w:cs="Times New Roman"/>
                <w:color w:val="000000"/>
                <w:szCs w:val="21"/>
              </w:rPr>
            </w:pPr>
            <w:r w:rsidRPr="00394CF6">
              <w:rPr>
                <w:rFonts w:ascii="方正黑体_GBK" w:eastAsia="方正黑体_GBK" w:hAnsi="Times New Roman" w:cs="Times New Roman" w:hint="eastAsia"/>
                <w:color w:val="000000"/>
                <w:szCs w:val="21"/>
              </w:rPr>
              <w:t>金额</w:t>
            </w:r>
          </w:p>
        </w:tc>
        <w:tc>
          <w:tcPr>
            <w:tcW w:w="362"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方正黑体_GBK" w:eastAsia="方正黑体_GBK" w:hAnsi="Times New Roman" w:cs="Times New Roman"/>
                <w:color w:val="000000"/>
                <w:szCs w:val="21"/>
              </w:rPr>
            </w:pPr>
            <w:r w:rsidRPr="00394CF6">
              <w:rPr>
                <w:rFonts w:ascii="方正黑体_GBK" w:eastAsia="方正黑体_GBK" w:hAnsi="Times New Roman" w:cs="Times New Roman" w:hint="eastAsia"/>
                <w:color w:val="000000"/>
                <w:szCs w:val="21"/>
              </w:rPr>
              <w:t>经济分类科目编码</w:t>
            </w:r>
          </w:p>
        </w:tc>
        <w:tc>
          <w:tcPr>
            <w:tcW w:w="775"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方正黑体_GBK" w:eastAsia="方正黑体_GBK" w:hAnsi="Times New Roman" w:cs="Times New Roman"/>
                <w:color w:val="000000"/>
                <w:szCs w:val="21"/>
              </w:rPr>
            </w:pPr>
            <w:r w:rsidRPr="00394CF6">
              <w:rPr>
                <w:rFonts w:ascii="方正黑体_GBK" w:eastAsia="方正黑体_GBK" w:hAnsi="Times New Roman" w:cs="Times New Roman" w:hint="eastAsia"/>
                <w:color w:val="000000"/>
                <w:szCs w:val="21"/>
              </w:rPr>
              <w:t>经济分类科目（按“款”</w:t>
            </w:r>
            <w:proofErr w:type="gramStart"/>
            <w:r w:rsidRPr="00394CF6">
              <w:rPr>
                <w:rFonts w:ascii="方正黑体_GBK" w:eastAsia="方正黑体_GBK" w:hAnsi="Times New Roman" w:cs="Times New Roman" w:hint="eastAsia"/>
                <w:color w:val="000000"/>
                <w:szCs w:val="21"/>
              </w:rPr>
              <w:t>级功能</w:t>
            </w:r>
            <w:proofErr w:type="gramEnd"/>
            <w:r w:rsidRPr="00394CF6">
              <w:rPr>
                <w:rFonts w:ascii="方正黑体_GBK" w:eastAsia="方正黑体_GBK" w:hAnsi="Times New Roman" w:cs="Times New Roman" w:hint="eastAsia"/>
                <w:color w:val="000000"/>
                <w:szCs w:val="21"/>
              </w:rPr>
              <w:t>分类科目）</w:t>
            </w:r>
          </w:p>
        </w:tc>
        <w:tc>
          <w:tcPr>
            <w:tcW w:w="353"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方正黑体_GBK" w:eastAsia="方正黑体_GBK" w:hAnsi="Times New Roman" w:cs="Times New Roman"/>
                <w:color w:val="000000"/>
                <w:szCs w:val="21"/>
              </w:rPr>
            </w:pPr>
            <w:r w:rsidRPr="00394CF6">
              <w:rPr>
                <w:rFonts w:ascii="方正黑体_GBK" w:eastAsia="方正黑体_GBK" w:hAnsi="Times New Roman" w:cs="Times New Roman" w:hint="eastAsia"/>
                <w:color w:val="000000"/>
                <w:szCs w:val="21"/>
              </w:rPr>
              <w:t>金额</w:t>
            </w:r>
          </w:p>
        </w:tc>
        <w:tc>
          <w:tcPr>
            <w:tcW w:w="370"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方正黑体_GBK" w:eastAsia="方正黑体_GBK" w:hAnsi="Times New Roman" w:cs="Times New Roman"/>
                <w:color w:val="000000"/>
                <w:szCs w:val="21"/>
              </w:rPr>
            </w:pPr>
            <w:r w:rsidRPr="00394CF6">
              <w:rPr>
                <w:rFonts w:ascii="方正黑体_GBK" w:eastAsia="方正黑体_GBK" w:hAnsi="Times New Roman" w:cs="Times New Roman" w:hint="eastAsia"/>
                <w:color w:val="000000"/>
                <w:szCs w:val="21"/>
              </w:rPr>
              <w:t>经济分类科目编码</w:t>
            </w:r>
          </w:p>
        </w:tc>
        <w:tc>
          <w:tcPr>
            <w:tcW w:w="949"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方正黑体_GBK" w:eastAsia="方正黑体_GBK" w:hAnsi="Times New Roman" w:cs="Times New Roman"/>
                <w:color w:val="000000"/>
                <w:szCs w:val="21"/>
              </w:rPr>
            </w:pPr>
            <w:r w:rsidRPr="00394CF6">
              <w:rPr>
                <w:rFonts w:ascii="方正黑体_GBK" w:eastAsia="方正黑体_GBK" w:hAnsi="Times New Roman" w:cs="Times New Roman" w:hint="eastAsia"/>
                <w:color w:val="000000"/>
                <w:szCs w:val="21"/>
              </w:rPr>
              <w:t>经济分类科目（按“款”</w:t>
            </w:r>
            <w:proofErr w:type="gramStart"/>
            <w:r w:rsidRPr="00394CF6">
              <w:rPr>
                <w:rFonts w:ascii="方正黑体_GBK" w:eastAsia="方正黑体_GBK" w:hAnsi="Times New Roman" w:cs="Times New Roman" w:hint="eastAsia"/>
                <w:color w:val="000000"/>
                <w:szCs w:val="21"/>
              </w:rPr>
              <w:t>级功能</w:t>
            </w:r>
            <w:proofErr w:type="gramEnd"/>
            <w:r w:rsidRPr="00394CF6">
              <w:rPr>
                <w:rFonts w:ascii="方正黑体_GBK" w:eastAsia="方正黑体_GBK" w:hAnsi="Times New Roman" w:cs="Times New Roman" w:hint="eastAsia"/>
                <w:color w:val="000000"/>
                <w:szCs w:val="21"/>
              </w:rPr>
              <w:t>分类科目）</w:t>
            </w:r>
          </w:p>
        </w:tc>
        <w:tc>
          <w:tcPr>
            <w:tcW w:w="455" w:type="pct"/>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金额</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301</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工资福利支出</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810.85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302</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商品和服务支出</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140.92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310</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资本性支出</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1.21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30101</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基本工资</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87.77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30201</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办公费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11.31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31001</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房屋建筑物购建</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30102</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津贴补贴</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121.82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30202</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印刷费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9.33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31002</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办公设备购置</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1.21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30103</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奖金</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234.30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30203</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咨询费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31003</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专用设备购置</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30106</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伙食补助费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52.91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30204</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手续费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0.12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31005</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基础设施建设</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30107</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绩效工资</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30205</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水费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31006</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大型修缮</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30108</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机关事业单位基本养老</w:t>
            </w:r>
            <w:r w:rsidRPr="00394CF6">
              <w:rPr>
                <w:rFonts w:ascii="Times New Roman" w:eastAsia="方正仿宋_GBK" w:hAnsi="Times New Roman" w:cs="Times New Roman"/>
                <w:color w:val="000000"/>
                <w:szCs w:val="21"/>
              </w:rPr>
              <w:lastRenderedPageBreak/>
              <w:t>保险缴费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lastRenderedPageBreak/>
              <w:t xml:space="preserve">103.81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30206</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电费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31007</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信息网络及软件购置更新</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lastRenderedPageBreak/>
              <w:t>30109</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职业年金缴费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48.11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30207</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邮电费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17.78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31008</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物资储备</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30110</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职工基本医疗保险缴费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47.92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30208</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取暖费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31009</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土地补偿</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30111</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公务员医疗补助缴费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5.60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30209</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物业管理费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31010</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安置补助</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30112</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其他社会保障缴费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5.50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30211</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差旅费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0.33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31011</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地上附着物和青苗补偿</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30113</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住房公积金</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92.43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30212</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因公出国（境）费用</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31012</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拆迁补偿</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30114</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医疗费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5.10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30213</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维修（护）费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5.78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31013</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公务用车购置</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30199</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其他工资福利支出</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5.58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30214</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租赁费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3.75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31019</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其他交通工具购置</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303</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对个人和家庭的补助</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95.20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30215</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会议费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1.79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31021</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文物和陈列品购置</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30301</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离休费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30216</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培训费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2.61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31022</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无形资产购置</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30302</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退休费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30217</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公务接待费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0.26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31099</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其他资本性支出</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30303</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退职（役）费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30218</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专用材料费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312</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对企业补助</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30304</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抚恤金</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24.87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30224</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被装购置费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31201</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资本金注入</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30305</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生活补助</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66.28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30225</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专用燃料费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31203</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政府投资基金股权投资</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30306</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救济费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30226</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劳务费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2.55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31204</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费用补贴</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30307</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医疗费补助</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4.04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30227</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委托业务费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14.23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31205</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利息补贴</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30308</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助学金</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30228</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工会经费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24.54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31206</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其他资本性补助</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30309</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奖励金</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30229</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福利费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0.70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31299</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其他对企业补助</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30310</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个人农业生产补贴</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30231</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公务用车运行维护</w:t>
            </w:r>
            <w:r w:rsidRPr="00394CF6">
              <w:rPr>
                <w:rFonts w:ascii="Times New Roman" w:eastAsia="方正仿宋_GBK" w:hAnsi="Times New Roman" w:cs="Times New Roman"/>
                <w:color w:val="000000"/>
                <w:szCs w:val="21"/>
              </w:rPr>
              <w:lastRenderedPageBreak/>
              <w:t>费</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lastRenderedPageBreak/>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399</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其他支出</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lastRenderedPageBreak/>
              <w:t>30311</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代缴社会保险费</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30239</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其他交通费用</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34.80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39907</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国家赔偿费用支出</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30399</w:t>
            </w: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其他对个人和家庭的补助</w:t>
            </w:r>
          </w:p>
        </w:tc>
        <w:tc>
          <w:tcPr>
            <w:tcW w:w="46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30240</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税金及附加费用</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39908</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对民间非营利组织和群众性自治组织补贴</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65" w:type="pct"/>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30299</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其他商品和服务支出</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11.04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39909</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经常性赠与</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65" w:type="pct"/>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307</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债务利息及费用支出</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39910</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资本性赠与</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65" w:type="pct"/>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30701</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国内债务付息</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39999</w:t>
            </w: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其他支出</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65" w:type="pct"/>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30702</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国外债务付息</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65" w:type="pct"/>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30703</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国内债务发行费用</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r>
      <w:tr w:rsidR="00394CF6" w:rsidRPr="00394CF6" w:rsidTr="00394CF6">
        <w:trPr>
          <w:trHeight w:val="20"/>
          <w:jc w:val="center"/>
        </w:trPr>
        <w:tc>
          <w:tcPr>
            <w:tcW w:w="393"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878"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65" w:type="pct"/>
            <w:shd w:val="clear" w:color="auto" w:fill="auto"/>
            <w:noWrap/>
            <w:tcMar>
              <w:top w:w="15" w:type="dxa"/>
              <w:left w:w="15" w:type="dxa"/>
              <w:right w:w="15" w:type="dxa"/>
            </w:tcMar>
            <w:vAlign w:val="bottom"/>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362"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30704</w:t>
            </w:r>
          </w:p>
        </w:tc>
        <w:tc>
          <w:tcPr>
            <w:tcW w:w="775" w:type="pct"/>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r w:rsidRPr="00394CF6">
              <w:rPr>
                <w:rFonts w:ascii="Times New Roman" w:eastAsia="方正仿宋_GBK" w:hAnsi="Times New Roman" w:cs="Times New Roman"/>
                <w:color w:val="000000"/>
                <w:szCs w:val="21"/>
              </w:rPr>
              <w:t>国外债务发行费用</w:t>
            </w:r>
          </w:p>
        </w:tc>
        <w:tc>
          <w:tcPr>
            <w:tcW w:w="353"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370"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949" w:type="pct"/>
            <w:shd w:val="clear" w:color="auto" w:fill="auto"/>
            <w:noWrap/>
            <w:tcMar>
              <w:top w:w="15" w:type="dxa"/>
              <w:left w:w="15" w:type="dxa"/>
              <w:right w:w="15" w:type="dxa"/>
            </w:tcMar>
            <w:vAlign w:val="center"/>
          </w:tcPr>
          <w:p w:rsidR="00394CF6" w:rsidRPr="00394CF6" w:rsidRDefault="00394CF6" w:rsidP="00157683">
            <w:pPr>
              <w:spacing w:line="400" w:lineRule="exact"/>
              <w:rPr>
                <w:rFonts w:ascii="Times New Roman" w:eastAsia="方正仿宋_GBK" w:hAnsi="Times New Roman" w:cs="Times New Roman"/>
                <w:color w:val="000000"/>
                <w:szCs w:val="21"/>
              </w:rPr>
            </w:pP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rPr>
                <w:rFonts w:ascii="Times New Roman" w:eastAsia="方正仿宋_GBK" w:hAnsi="Times New Roman" w:cs="Times New Roman"/>
                <w:color w:val="000000"/>
                <w:szCs w:val="21"/>
              </w:rPr>
            </w:pPr>
          </w:p>
        </w:tc>
      </w:tr>
      <w:tr w:rsidR="00394CF6" w:rsidRPr="00394CF6" w:rsidTr="00394CF6">
        <w:trPr>
          <w:trHeight w:val="20"/>
          <w:jc w:val="center"/>
        </w:trPr>
        <w:tc>
          <w:tcPr>
            <w:tcW w:w="1271" w:type="pct"/>
            <w:gridSpan w:val="2"/>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人员经费合计</w:t>
            </w:r>
          </w:p>
        </w:tc>
        <w:tc>
          <w:tcPr>
            <w:tcW w:w="465" w:type="pct"/>
            <w:shd w:val="clear" w:color="auto" w:fill="auto"/>
            <w:noWrap/>
            <w:tcMar>
              <w:top w:w="15" w:type="dxa"/>
              <w:left w:w="15" w:type="dxa"/>
              <w:right w:w="15" w:type="dxa"/>
            </w:tcMar>
            <w:vAlign w:val="bottom"/>
          </w:tcPr>
          <w:p w:rsidR="00394CF6" w:rsidRPr="00394CF6" w:rsidRDefault="00394CF6" w:rsidP="00157683">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906.05 </w:t>
            </w:r>
          </w:p>
        </w:tc>
        <w:tc>
          <w:tcPr>
            <w:tcW w:w="2809" w:type="pct"/>
            <w:gridSpan w:val="5"/>
            <w:shd w:val="clear" w:color="auto" w:fill="auto"/>
            <w:noWrap/>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公用经费合计</w:t>
            </w:r>
          </w:p>
        </w:tc>
        <w:tc>
          <w:tcPr>
            <w:tcW w:w="455" w:type="pct"/>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142.13 </w:t>
            </w:r>
          </w:p>
        </w:tc>
      </w:tr>
    </w:tbl>
    <w:p w:rsidR="00394CF6" w:rsidRPr="00394CF6" w:rsidRDefault="00394CF6" w:rsidP="00394CF6">
      <w:pPr>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备注：</w:t>
      </w:r>
      <w:r w:rsidRPr="00394CF6">
        <w:rPr>
          <w:rFonts w:ascii="Times New Roman" w:eastAsia="方正仿宋_GBK" w:hAnsi="Times New Roman" w:cs="Times New Roman" w:hint="eastAsia"/>
          <w:sz w:val="24"/>
          <w:szCs w:val="24"/>
        </w:rPr>
        <w:t>1.</w:t>
      </w:r>
      <w:r w:rsidRPr="00394CF6">
        <w:rPr>
          <w:rFonts w:ascii="Times New Roman" w:eastAsia="方正仿宋_GBK" w:hAnsi="Times New Roman" w:cs="Times New Roman" w:hint="eastAsia"/>
          <w:sz w:val="24"/>
          <w:szCs w:val="24"/>
        </w:rPr>
        <w:t>本表反映单位本年度一般公共预算财政拨款基本支出明细情况。</w:t>
      </w:r>
    </w:p>
    <w:p w:rsidR="00B23202" w:rsidRPr="002D65A6" w:rsidRDefault="00394CF6" w:rsidP="00394CF6">
      <w:pPr>
        <w:ind w:firstLineChars="300" w:firstLine="720"/>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2.</w:t>
      </w:r>
      <w:r w:rsidRPr="00394CF6">
        <w:rPr>
          <w:rFonts w:ascii="Times New Roman" w:eastAsia="方正仿宋_GBK" w:hAnsi="Times New Roman" w:cs="Times New Roman" w:hint="eastAsia"/>
          <w:sz w:val="24"/>
          <w:szCs w:val="24"/>
        </w:rPr>
        <w:t>本套报表金额单位转换时可能存在尾数误差。</w:t>
      </w:r>
    </w:p>
    <w:p w:rsidR="00394CF6" w:rsidRDefault="00394CF6" w:rsidP="00394CF6">
      <w:pPr>
        <w:rPr>
          <w:rFonts w:ascii="Times New Roman" w:eastAsia="方正仿宋_GBK" w:hAnsi="Times New Roman" w:cs="Times New Roman"/>
          <w:sz w:val="32"/>
          <w:szCs w:val="32"/>
        </w:rPr>
      </w:pPr>
    </w:p>
    <w:p w:rsidR="00394CF6" w:rsidRDefault="00394CF6" w:rsidP="00394CF6">
      <w:pPr>
        <w:rPr>
          <w:rFonts w:ascii="Times New Roman" w:eastAsia="方正仿宋_GBK" w:hAnsi="Times New Roman" w:cs="Times New Roman"/>
          <w:sz w:val="32"/>
          <w:szCs w:val="32"/>
        </w:rPr>
      </w:pPr>
    </w:p>
    <w:p w:rsidR="00157683" w:rsidRDefault="00157683" w:rsidP="00394CF6">
      <w:pPr>
        <w:rPr>
          <w:rFonts w:ascii="Times New Roman" w:eastAsia="方正仿宋_GBK" w:hAnsi="Times New Roman" w:cs="Times New Roman"/>
          <w:sz w:val="32"/>
          <w:szCs w:val="32"/>
        </w:rPr>
      </w:pPr>
    </w:p>
    <w:p w:rsidR="00B23202" w:rsidRDefault="00B23202" w:rsidP="00B23202">
      <w:pPr>
        <w:rPr>
          <w:rFonts w:ascii="Times New Roman" w:eastAsia="方正仿宋_GBK" w:hAnsi="Times New Roman" w:cs="Times New Roman"/>
          <w:sz w:val="32"/>
          <w:szCs w:val="32"/>
        </w:rPr>
      </w:pPr>
      <w:r w:rsidRPr="00B23202">
        <w:rPr>
          <w:rFonts w:ascii="方正黑体_GBK" w:eastAsia="方正黑体_GBK" w:hAnsi="Times New Roman" w:cs="Times New Roman" w:hint="eastAsia"/>
          <w:sz w:val="32"/>
          <w:szCs w:val="32"/>
        </w:rPr>
        <w:lastRenderedPageBreak/>
        <w:t>附件</w:t>
      </w:r>
      <w:r>
        <w:rPr>
          <w:rFonts w:ascii="Times New Roman" w:eastAsia="方正仿宋_GBK" w:hAnsi="Times New Roman" w:cs="Times New Roman" w:hint="eastAsia"/>
          <w:sz w:val="32"/>
          <w:szCs w:val="32"/>
        </w:rPr>
        <w:t>7</w:t>
      </w:r>
    </w:p>
    <w:p w:rsidR="00B23202" w:rsidRDefault="00B23202" w:rsidP="00157683">
      <w:pPr>
        <w:spacing w:line="600" w:lineRule="exact"/>
        <w:rPr>
          <w:rFonts w:ascii="Times New Roman" w:eastAsia="方正仿宋_GBK" w:hAnsi="Times New Roman" w:cs="Times New Roman"/>
          <w:sz w:val="32"/>
          <w:szCs w:val="32"/>
        </w:rPr>
      </w:pPr>
    </w:p>
    <w:p w:rsidR="00B23202" w:rsidRPr="00B23202" w:rsidRDefault="00B23202" w:rsidP="00157683">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政府性基金预算财政拨款收入支出决算表</w:t>
      </w:r>
    </w:p>
    <w:p w:rsidR="00B23202" w:rsidRPr="00B23202" w:rsidRDefault="00B23202" w:rsidP="00157683">
      <w:pPr>
        <w:spacing w:line="600" w:lineRule="exact"/>
        <w:rPr>
          <w:rFonts w:ascii="Times New Roman" w:eastAsia="方正仿宋_GBK" w:hAnsi="Times New Roman" w:cs="Times New Roman"/>
          <w:szCs w:val="21"/>
        </w:rPr>
      </w:pPr>
    </w:p>
    <w:p w:rsidR="005E256C" w:rsidRPr="005E256C" w:rsidRDefault="005E256C" w:rsidP="005E256C">
      <w:pPr>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w:t>
      </w:r>
      <w:r w:rsidR="002D65A6">
        <w:rPr>
          <w:rFonts w:ascii="Times New Roman" w:eastAsia="方正楷体_GBK" w:hAnsi="Times New Roman" w:cs="Times New Roman" w:hint="eastAsia"/>
          <w:sz w:val="24"/>
          <w:szCs w:val="24"/>
        </w:rPr>
        <w:t>7</w:t>
      </w:r>
      <w:r w:rsidRPr="005E256C">
        <w:rPr>
          <w:rFonts w:ascii="Times New Roman" w:eastAsia="方正楷体_GBK" w:hAnsi="Times New Roman" w:cs="Times New Roman"/>
          <w:sz w:val="24"/>
          <w:szCs w:val="24"/>
        </w:rPr>
        <w:t>表</w:t>
      </w:r>
    </w:p>
    <w:p w:rsidR="005E256C" w:rsidRPr="005E256C" w:rsidRDefault="005E256C" w:rsidP="005E256C">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W w:w="5000" w:type="pct"/>
        <w:tblLayout w:type="fixed"/>
        <w:tblCellMar>
          <w:left w:w="0" w:type="dxa"/>
          <w:right w:w="0" w:type="dxa"/>
        </w:tblCellMar>
        <w:tblLook w:val="04A0" w:firstRow="1" w:lastRow="0" w:firstColumn="1" w:lastColumn="0" w:noHBand="0" w:noVBand="1"/>
      </w:tblPr>
      <w:tblGrid>
        <w:gridCol w:w="1098"/>
        <w:gridCol w:w="2990"/>
        <w:gridCol w:w="1415"/>
        <w:gridCol w:w="1415"/>
        <w:gridCol w:w="1415"/>
        <w:gridCol w:w="1415"/>
        <w:gridCol w:w="1468"/>
        <w:gridCol w:w="1529"/>
      </w:tblGrid>
      <w:tr w:rsidR="00394CF6" w:rsidRPr="00394CF6" w:rsidTr="00394CF6">
        <w:trPr>
          <w:trHeight w:val="20"/>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本年支出</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年末结转和结余</w:t>
            </w:r>
          </w:p>
        </w:tc>
      </w:tr>
      <w:tr w:rsidR="00394CF6" w:rsidRPr="00394CF6" w:rsidTr="00394CF6">
        <w:trPr>
          <w:trHeight w:val="312"/>
        </w:trPr>
        <w:tc>
          <w:tcPr>
            <w:tcW w:w="43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功能分类科目编码</w:t>
            </w:r>
          </w:p>
        </w:tc>
        <w:tc>
          <w:tcPr>
            <w:tcW w:w="117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项目（按</w:t>
            </w:r>
            <w:r w:rsidRPr="00394CF6">
              <w:rPr>
                <w:rFonts w:ascii="方正黑体_GBK" w:eastAsia="方正黑体_GBK" w:hAnsi="Times New Roman" w:cs="Times New Roman" w:hint="eastAsia"/>
                <w:color w:val="000000"/>
                <w:szCs w:val="21"/>
              </w:rPr>
              <w:t>“项”</w:t>
            </w:r>
            <w:proofErr w:type="gramStart"/>
            <w:r w:rsidRPr="00394CF6">
              <w:rPr>
                <w:rFonts w:ascii="方正黑体_GBK" w:eastAsia="方正黑体_GBK" w:hAnsi="Times New Roman" w:cs="Times New Roman" w:hint="eastAsia"/>
                <w:color w:val="000000"/>
                <w:szCs w:val="21"/>
              </w:rPr>
              <w:t>级</w:t>
            </w:r>
            <w:r w:rsidRPr="00394CF6">
              <w:rPr>
                <w:rFonts w:ascii="Times New Roman" w:eastAsia="方正黑体_GBK" w:hAnsi="Times New Roman" w:cs="Times New Roman"/>
                <w:color w:val="000000"/>
                <w:szCs w:val="21"/>
              </w:rPr>
              <w:t>功能</w:t>
            </w:r>
            <w:proofErr w:type="gramEnd"/>
            <w:r w:rsidRPr="00394CF6">
              <w:rPr>
                <w:rFonts w:ascii="Times New Roman" w:eastAsia="方正黑体_GBK" w:hAnsi="Times New Roman" w:cs="Times New Roman"/>
                <w:color w:val="000000"/>
                <w:szCs w:val="21"/>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黑体_GBK" w:hAnsi="Times New Roman" w:cs="Times New Roman"/>
                <w:color w:val="000000"/>
                <w:szCs w:val="21"/>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黑体_GBK" w:hAnsi="Times New Roman" w:cs="Times New Roman"/>
                <w:color w:val="000000"/>
                <w:szCs w:val="21"/>
              </w:rPr>
            </w:pPr>
          </w:p>
        </w:tc>
        <w:tc>
          <w:tcPr>
            <w:tcW w:w="555"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合计</w:t>
            </w:r>
          </w:p>
        </w:tc>
        <w:tc>
          <w:tcPr>
            <w:tcW w:w="555"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基本支出</w:t>
            </w:r>
          </w:p>
        </w:tc>
        <w:tc>
          <w:tcPr>
            <w:tcW w:w="57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项目支出</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rPr>
                <w:rFonts w:ascii="Times New Roman" w:eastAsia="方正仿宋_GBK" w:hAnsi="Times New Roman" w:cs="Times New Roman"/>
                <w:color w:val="000000"/>
                <w:szCs w:val="21"/>
              </w:rPr>
            </w:pPr>
          </w:p>
        </w:tc>
      </w:tr>
      <w:tr w:rsidR="00394CF6" w:rsidRPr="00394CF6" w:rsidTr="00884656">
        <w:trPr>
          <w:trHeight w:val="600"/>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157683">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r>
      <w:tr w:rsidR="00394CF6" w:rsidRPr="00394CF6" w:rsidTr="00884656">
        <w:trPr>
          <w:trHeight w:val="550"/>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textAlignment w:val="center"/>
              <w:rPr>
                <w:rFonts w:ascii="Times New Roman" w:eastAsia="方正仿宋_GBK" w:hAnsi="Times New Roman" w:cs="Times New Roman"/>
                <w:color w:val="000000"/>
                <w:szCs w:val="21"/>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157683">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bl>
    <w:p w:rsidR="00B23202" w:rsidRPr="002D65A6" w:rsidRDefault="00394CF6" w:rsidP="00B23202">
      <w:pPr>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备注：本表反映单位本年度政府性基金预算财政拨款收入支出及结转和结余情况。本单位无政府性基金收支，故本表无数据。</w:t>
      </w:r>
    </w:p>
    <w:p w:rsidR="00B23202" w:rsidRDefault="00B23202" w:rsidP="00B23202">
      <w:pPr>
        <w:rPr>
          <w:rFonts w:ascii="Times New Roman" w:eastAsia="方正仿宋_GBK" w:hAnsi="Times New Roman" w:cs="Times New Roman"/>
          <w:sz w:val="32"/>
          <w:szCs w:val="32"/>
        </w:rPr>
      </w:pPr>
    </w:p>
    <w:p w:rsidR="00B23202" w:rsidRDefault="00B23202" w:rsidP="00B23202">
      <w:pPr>
        <w:rPr>
          <w:rFonts w:ascii="Times New Roman" w:eastAsia="方正仿宋_GBK" w:hAnsi="Times New Roman" w:cs="Times New Roman"/>
          <w:sz w:val="32"/>
          <w:szCs w:val="32"/>
        </w:rPr>
      </w:pPr>
      <w:r w:rsidRPr="00B23202">
        <w:rPr>
          <w:rFonts w:ascii="方正黑体_GBK" w:eastAsia="方正黑体_GBK" w:hAnsi="Times New Roman" w:cs="Times New Roman" w:hint="eastAsia"/>
          <w:sz w:val="32"/>
          <w:szCs w:val="32"/>
        </w:rPr>
        <w:lastRenderedPageBreak/>
        <w:t>附件</w:t>
      </w:r>
      <w:r>
        <w:rPr>
          <w:rFonts w:ascii="Times New Roman" w:eastAsia="方正仿宋_GBK" w:hAnsi="Times New Roman" w:cs="Times New Roman" w:hint="eastAsia"/>
          <w:sz w:val="32"/>
          <w:szCs w:val="32"/>
        </w:rPr>
        <w:t>8</w:t>
      </w:r>
    </w:p>
    <w:p w:rsidR="00B23202" w:rsidRDefault="00B23202" w:rsidP="00F4577B">
      <w:pPr>
        <w:spacing w:line="600" w:lineRule="exact"/>
        <w:rPr>
          <w:rFonts w:ascii="Times New Roman" w:eastAsia="方正仿宋_GBK" w:hAnsi="Times New Roman" w:cs="Times New Roman"/>
          <w:sz w:val="32"/>
          <w:szCs w:val="32"/>
        </w:rPr>
      </w:pPr>
    </w:p>
    <w:p w:rsidR="00B23202" w:rsidRPr="00B23202" w:rsidRDefault="00B23202" w:rsidP="00F4577B">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国有资本经营预算财政拨款支出决算表</w:t>
      </w:r>
    </w:p>
    <w:p w:rsidR="00B23202" w:rsidRPr="00B23202" w:rsidRDefault="00B23202" w:rsidP="00F4577B">
      <w:pPr>
        <w:spacing w:line="600" w:lineRule="exact"/>
        <w:rPr>
          <w:rFonts w:ascii="Times New Roman" w:eastAsia="方正仿宋_GBK" w:hAnsi="Times New Roman" w:cs="Times New Roman"/>
          <w:szCs w:val="21"/>
        </w:rPr>
      </w:pPr>
    </w:p>
    <w:p w:rsidR="005E256C" w:rsidRPr="005E256C" w:rsidRDefault="005E256C" w:rsidP="005E256C">
      <w:pPr>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w:t>
      </w:r>
      <w:r w:rsidR="002D65A6">
        <w:rPr>
          <w:rFonts w:ascii="Times New Roman" w:eastAsia="方正楷体_GBK" w:hAnsi="Times New Roman" w:cs="Times New Roman" w:hint="eastAsia"/>
          <w:sz w:val="24"/>
          <w:szCs w:val="24"/>
        </w:rPr>
        <w:t>8</w:t>
      </w:r>
      <w:r w:rsidRPr="005E256C">
        <w:rPr>
          <w:rFonts w:ascii="Times New Roman" w:eastAsia="方正楷体_GBK" w:hAnsi="Times New Roman" w:cs="Times New Roman"/>
          <w:sz w:val="24"/>
          <w:szCs w:val="24"/>
        </w:rPr>
        <w:t>表</w:t>
      </w:r>
    </w:p>
    <w:p w:rsidR="005E256C" w:rsidRPr="005E256C" w:rsidRDefault="005E256C" w:rsidP="005E256C">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W w:w="5000" w:type="pct"/>
        <w:tblLayout w:type="fixed"/>
        <w:tblCellMar>
          <w:left w:w="0" w:type="dxa"/>
          <w:right w:w="0" w:type="dxa"/>
        </w:tblCellMar>
        <w:tblLook w:val="04A0" w:firstRow="1" w:lastRow="0" w:firstColumn="1" w:lastColumn="0" w:noHBand="0" w:noVBand="1"/>
      </w:tblPr>
      <w:tblGrid>
        <w:gridCol w:w="1076"/>
        <w:gridCol w:w="3008"/>
        <w:gridCol w:w="2880"/>
        <w:gridCol w:w="2880"/>
        <w:gridCol w:w="2901"/>
      </w:tblGrid>
      <w:tr w:rsidR="00394CF6" w:rsidRPr="00394CF6" w:rsidTr="00394CF6">
        <w:trPr>
          <w:trHeight w:val="20"/>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F4577B">
            <w:pPr>
              <w:spacing w:line="400" w:lineRule="exact"/>
              <w:jc w:val="center"/>
              <w:textAlignment w:val="bottom"/>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w:t>
            </w:r>
          </w:p>
        </w:tc>
        <w:tc>
          <w:tcPr>
            <w:tcW w:w="3398"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94CF6" w:rsidRPr="00394CF6" w:rsidRDefault="00394CF6" w:rsidP="00F4577B">
            <w:pPr>
              <w:spacing w:line="400" w:lineRule="exact"/>
              <w:jc w:val="center"/>
              <w:textAlignment w:val="bottom"/>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本年支出</w:t>
            </w:r>
          </w:p>
        </w:tc>
      </w:tr>
      <w:tr w:rsidR="00394CF6" w:rsidRPr="00394CF6" w:rsidTr="00394CF6">
        <w:trPr>
          <w:trHeight w:val="312"/>
        </w:trPr>
        <w:tc>
          <w:tcPr>
            <w:tcW w:w="422"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功能分类科目编码</w:t>
            </w:r>
          </w:p>
        </w:tc>
        <w:tc>
          <w:tcPr>
            <w:tcW w:w="1180"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科目名称</w:t>
            </w:r>
          </w:p>
        </w:tc>
        <w:tc>
          <w:tcPr>
            <w:tcW w:w="1130"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合计</w:t>
            </w:r>
          </w:p>
        </w:tc>
        <w:tc>
          <w:tcPr>
            <w:tcW w:w="1130"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基本支出</w:t>
            </w:r>
          </w:p>
        </w:tc>
        <w:tc>
          <w:tcPr>
            <w:tcW w:w="1138"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项目支出</w:t>
            </w:r>
          </w:p>
        </w:tc>
      </w:tr>
      <w:tr w:rsidR="00394CF6" w:rsidRPr="00394CF6" w:rsidTr="00884656">
        <w:trPr>
          <w:trHeight w:val="590"/>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合计</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F4577B">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F4577B">
            <w:pPr>
              <w:spacing w:line="400" w:lineRule="exact"/>
              <w:jc w:val="right"/>
              <w:rPr>
                <w:rFonts w:ascii="Times New Roman" w:eastAsia="方正仿宋_GBK" w:hAnsi="Times New Roman" w:cs="Times New Roman"/>
                <w:color w:val="000000"/>
                <w:szCs w:val="21"/>
              </w:rPr>
            </w:pPr>
          </w:p>
        </w:tc>
        <w:tc>
          <w:tcPr>
            <w:tcW w:w="11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F4577B">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bCs/>
                <w:color w:val="000000"/>
                <w:szCs w:val="21"/>
              </w:rPr>
              <w:t>0.00</w:t>
            </w:r>
            <w:r w:rsidRPr="00394CF6">
              <w:rPr>
                <w:rFonts w:ascii="Times New Roman" w:eastAsia="方正仿宋_GBK" w:hAnsi="Times New Roman" w:cs="Times New Roman"/>
                <w:color w:val="000000"/>
                <w:szCs w:val="21"/>
              </w:rPr>
              <w:t xml:space="preserve"> </w:t>
            </w:r>
          </w:p>
        </w:tc>
      </w:tr>
      <w:tr w:rsidR="00394CF6" w:rsidRPr="00394CF6" w:rsidTr="00884656">
        <w:trPr>
          <w:trHeight w:val="567"/>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color w:val="000000"/>
                <w:szCs w:val="21"/>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color w:val="000000"/>
                <w:szCs w:val="21"/>
              </w:rPr>
            </w:pP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F4577B">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F4577B">
            <w:pPr>
              <w:spacing w:line="400" w:lineRule="exact"/>
              <w:jc w:val="right"/>
              <w:rPr>
                <w:rFonts w:ascii="Times New Roman" w:eastAsia="方正仿宋_GBK" w:hAnsi="Times New Roman" w:cs="Times New Roman"/>
                <w:color w:val="000000"/>
                <w:szCs w:val="21"/>
              </w:rPr>
            </w:pPr>
          </w:p>
        </w:tc>
        <w:tc>
          <w:tcPr>
            <w:tcW w:w="11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94CF6" w:rsidRPr="00394CF6" w:rsidRDefault="00394CF6" w:rsidP="00F4577B">
            <w:pPr>
              <w:spacing w:line="400" w:lineRule="exact"/>
              <w:jc w:val="righ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0.00 </w:t>
            </w:r>
          </w:p>
        </w:tc>
      </w:tr>
    </w:tbl>
    <w:p w:rsidR="00B23202" w:rsidRPr="002D65A6" w:rsidRDefault="00394CF6" w:rsidP="00B23202">
      <w:pPr>
        <w:rPr>
          <w:rFonts w:ascii="Times New Roman" w:eastAsia="方正仿宋_GBK" w:hAnsi="Times New Roman" w:cs="Times New Roman"/>
          <w:sz w:val="24"/>
          <w:szCs w:val="24"/>
        </w:rPr>
      </w:pPr>
      <w:r w:rsidRPr="00394CF6">
        <w:rPr>
          <w:rFonts w:ascii="Times New Roman" w:eastAsia="方正仿宋_GBK" w:hAnsi="Times New Roman" w:cs="Times New Roman" w:hint="eastAsia"/>
          <w:sz w:val="24"/>
          <w:szCs w:val="24"/>
        </w:rPr>
        <w:t>备注：本表反映单位本年度国有资本经营预算财政拨款支出情况。本单位无国有资本经营收支，故本表无数据。</w:t>
      </w:r>
    </w:p>
    <w:p w:rsidR="00F4577B" w:rsidRDefault="00F4577B" w:rsidP="00B23202">
      <w:pPr>
        <w:rPr>
          <w:rFonts w:ascii="方正黑体_GBK" w:eastAsia="方正黑体_GBK" w:hAnsi="Times New Roman" w:cs="Times New Roman"/>
          <w:sz w:val="32"/>
          <w:szCs w:val="32"/>
        </w:rPr>
      </w:pPr>
    </w:p>
    <w:p w:rsidR="00F4577B" w:rsidRDefault="00F4577B" w:rsidP="00B23202">
      <w:pPr>
        <w:rPr>
          <w:rFonts w:ascii="方正黑体_GBK" w:eastAsia="方正黑体_GBK" w:hAnsi="Times New Roman" w:cs="Times New Roman"/>
          <w:sz w:val="32"/>
          <w:szCs w:val="32"/>
        </w:rPr>
      </w:pPr>
    </w:p>
    <w:p w:rsidR="00B23202" w:rsidRDefault="00B23202" w:rsidP="00B23202">
      <w:pPr>
        <w:rPr>
          <w:rFonts w:ascii="Times New Roman" w:eastAsia="方正仿宋_GBK" w:hAnsi="Times New Roman" w:cs="Times New Roman"/>
          <w:sz w:val="32"/>
          <w:szCs w:val="32"/>
        </w:rPr>
      </w:pPr>
      <w:r w:rsidRPr="00B23202">
        <w:rPr>
          <w:rFonts w:ascii="方正黑体_GBK" w:eastAsia="方正黑体_GBK" w:hAnsi="Times New Roman" w:cs="Times New Roman" w:hint="eastAsia"/>
          <w:sz w:val="32"/>
          <w:szCs w:val="32"/>
        </w:rPr>
        <w:lastRenderedPageBreak/>
        <w:t>附件</w:t>
      </w:r>
      <w:r>
        <w:rPr>
          <w:rFonts w:ascii="Times New Roman" w:eastAsia="方正仿宋_GBK" w:hAnsi="Times New Roman" w:cs="Times New Roman" w:hint="eastAsia"/>
          <w:sz w:val="32"/>
          <w:szCs w:val="32"/>
        </w:rPr>
        <w:t>9</w:t>
      </w:r>
    </w:p>
    <w:p w:rsidR="00B23202" w:rsidRDefault="00B23202" w:rsidP="00F4577B">
      <w:pPr>
        <w:spacing w:line="600" w:lineRule="exact"/>
        <w:rPr>
          <w:rFonts w:ascii="Times New Roman" w:eastAsia="方正仿宋_GBK" w:hAnsi="Times New Roman" w:cs="Times New Roman"/>
          <w:sz w:val="32"/>
          <w:szCs w:val="32"/>
        </w:rPr>
      </w:pPr>
    </w:p>
    <w:p w:rsidR="00B23202" w:rsidRPr="00B23202" w:rsidRDefault="00B23202" w:rsidP="00F4577B">
      <w:pPr>
        <w:spacing w:line="600" w:lineRule="exact"/>
        <w:jc w:val="center"/>
        <w:rPr>
          <w:rFonts w:ascii="方正小标宋_GBK" w:eastAsia="方正小标宋_GBK" w:hAnsi="Times New Roman" w:cs="Times New Roman"/>
          <w:sz w:val="44"/>
          <w:szCs w:val="44"/>
        </w:rPr>
      </w:pPr>
      <w:r w:rsidRPr="00B23202">
        <w:rPr>
          <w:rFonts w:ascii="方正小标宋_GBK" w:eastAsia="方正小标宋_GBK" w:hAnsi="Times New Roman" w:cs="Times New Roman" w:hint="eastAsia"/>
          <w:sz w:val="44"/>
          <w:szCs w:val="44"/>
        </w:rPr>
        <w:t>机构运行信息表</w:t>
      </w:r>
    </w:p>
    <w:p w:rsidR="00B23202" w:rsidRPr="00B23202" w:rsidRDefault="00B23202" w:rsidP="00F4577B">
      <w:pPr>
        <w:spacing w:line="600" w:lineRule="exact"/>
        <w:rPr>
          <w:rFonts w:ascii="Times New Roman" w:eastAsia="方正仿宋_GBK" w:hAnsi="Times New Roman" w:cs="Times New Roman"/>
          <w:szCs w:val="21"/>
        </w:rPr>
      </w:pPr>
    </w:p>
    <w:p w:rsidR="005E256C" w:rsidRPr="005E256C" w:rsidRDefault="005E256C" w:rsidP="005E256C">
      <w:pPr>
        <w:jc w:val="right"/>
        <w:rPr>
          <w:rFonts w:ascii="Times New Roman" w:eastAsia="方正楷体_GBK" w:hAnsi="Times New Roman" w:cs="Times New Roman"/>
          <w:sz w:val="24"/>
          <w:szCs w:val="24"/>
        </w:rPr>
      </w:pPr>
      <w:r w:rsidRPr="005E256C">
        <w:rPr>
          <w:rFonts w:ascii="Times New Roman" w:eastAsia="方正楷体_GBK" w:hAnsi="Times New Roman" w:cs="Times New Roman"/>
          <w:sz w:val="24"/>
          <w:szCs w:val="24"/>
        </w:rPr>
        <w:t>公开</w:t>
      </w:r>
      <w:r w:rsidRPr="005E256C">
        <w:rPr>
          <w:rFonts w:ascii="Times New Roman" w:eastAsia="方正楷体_GBK" w:hAnsi="Times New Roman" w:cs="Times New Roman"/>
          <w:sz w:val="24"/>
          <w:szCs w:val="24"/>
        </w:rPr>
        <w:t>0</w:t>
      </w:r>
      <w:r w:rsidR="002D65A6">
        <w:rPr>
          <w:rFonts w:ascii="Times New Roman" w:eastAsia="方正楷体_GBK" w:hAnsi="Times New Roman" w:cs="Times New Roman" w:hint="eastAsia"/>
          <w:sz w:val="24"/>
          <w:szCs w:val="24"/>
        </w:rPr>
        <w:t>9</w:t>
      </w:r>
      <w:r w:rsidRPr="005E256C">
        <w:rPr>
          <w:rFonts w:ascii="Times New Roman" w:eastAsia="方正楷体_GBK" w:hAnsi="Times New Roman" w:cs="Times New Roman"/>
          <w:sz w:val="24"/>
          <w:szCs w:val="24"/>
        </w:rPr>
        <w:t>表</w:t>
      </w:r>
    </w:p>
    <w:p w:rsidR="005E256C" w:rsidRDefault="005E256C" w:rsidP="005E256C">
      <w:pPr>
        <w:rPr>
          <w:rFonts w:ascii="Times New Roman" w:eastAsia="方正仿宋_GBK" w:hAnsi="Times New Roman" w:cs="Times New Roman"/>
          <w:sz w:val="24"/>
          <w:szCs w:val="24"/>
        </w:rPr>
      </w:pPr>
      <w:r w:rsidRPr="005E256C">
        <w:rPr>
          <w:rFonts w:ascii="Times New Roman" w:eastAsia="方正仿宋_GBK" w:hAnsi="Times New Roman" w:cs="Times New Roman" w:hint="eastAsia"/>
          <w:sz w:val="24"/>
          <w:szCs w:val="24"/>
        </w:rPr>
        <w:t>单位：</w:t>
      </w:r>
      <w:r w:rsidR="005C4B14">
        <w:rPr>
          <w:rFonts w:ascii="Times New Roman" w:eastAsia="方正仿宋_GBK" w:hAnsi="Times New Roman" w:cs="Times New Roman" w:hint="eastAsia"/>
          <w:sz w:val="24"/>
          <w:szCs w:val="24"/>
        </w:rPr>
        <w:t>重庆市九龙坡区就业和人才中心</w:t>
      </w:r>
      <w:r>
        <w:rPr>
          <w:rFonts w:ascii="Times New Roman" w:eastAsia="方正仿宋_GBK" w:hAnsi="Times New Roman" w:cs="Times New Roman" w:hint="eastAsia"/>
          <w:sz w:val="24"/>
          <w:szCs w:val="24"/>
        </w:rPr>
        <w:t xml:space="preserve">                                                      </w:t>
      </w:r>
      <w:r w:rsidR="005C4B14">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sidRPr="005E256C">
        <w:rPr>
          <w:rFonts w:ascii="Times New Roman" w:eastAsia="方正仿宋_GBK" w:hAnsi="Times New Roman" w:cs="Times New Roman" w:hint="eastAsia"/>
          <w:sz w:val="24"/>
          <w:szCs w:val="24"/>
        </w:rPr>
        <w:t>单位：万元</w:t>
      </w:r>
    </w:p>
    <w:tbl>
      <w:tblPr>
        <w:tblW w:w="5000" w:type="pct"/>
        <w:tblLayout w:type="fixed"/>
        <w:tblCellMar>
          <w:left w:w="170" w:type="dxa"/>
          <w:right w:w="170" w:type="dxa"/>
        </w:tblCellMar>
        <w:tblLook w:val="04A0" w:firstRow="1" w:lastRow="0" w:firstColumn="1" w:lastColumn="0" w:noHBand="0" w:noVBand="1"/>
      </w:tblPr>
      <w:tblGrid>
        <w:gridCol w:w="3971"/>
        <w:gridCol w:w="1838"/>
        <w:gridCol w:w="1555"/>
        <w:gridCol w:w="3816"/>
        <w:gridCol w:w="1565"/>
      </w:tblGrid>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w:t>
            </w:r>
            <w:r w:rsidRPr="00394CF6">
              <w:rPr>
                <w:rFonts w:ascii="Times New Roman" w:eastAsia="方正黑体_GBK" w:hAnsi="Times New Roman" w:cs="Times New Roman"/>
                <w:color w:val="000000"/>
                <w:szCs w:val="21"/>
              </w:rPr>
              <w:t xml:space="preserve">  </w:t>
            </w:r>
            <w:r w:rsidRPr="00394CF6">
              <w:rPr>
                <w:rFonts w:ascii="Times New Roman" w:eastAsia="方正黑体_GBK" w:hAnsi="Times New Roman" w:cs="Times New Roman"/>
                <w:color w:val="000000"/>
                <w:szCs w:val="21"/>
              </w:rPr>
              <w:t>目</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预算数</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决算数</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项</w:t>
            </w:r>
            <w:r w:rsidRPr="00394CF6">
              <w:rPr>
                <w:rFonts w:ascii="Times New Roman" w:eastAsia="方正黑体_GBK" w:hAnsi="Times New Roman" w:cs="Times New Roman"/>
                <w:color w:val="000000"/>
                <w:szCs w:val="21"/>
              </w:rPr>
              <w:t xml:space="preserve">  </w:t>
            </w:r>
            <w:r w:rsidRPr="00394CF6">
              <w:rPr>
                <w:rFonts w:ascii="Times New Roman" w:eastAsia="方正黑体_GBK" w:hAnsi="Times New Roman" w:cs="Times New Roman"/>
                <w:color w:val="000000"/>
                <w:szCs w:val="21"/>
              </w:rPr>
              <w:t>目</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黑体_GBK" w:hAnsi="Times New Roman" w:cs="Times New Roman"/>
                <w:color w:val="000000"/>
                <w:szCs w:val="21"/>
              </w:rPr>
            </w:pPr>
            <w:r w:rsidRPr="00394CF6">
              <w:rPr>
                <w:rFonts w:ascii="Times New Roman" w:eastAsia="方正黑体_GBK" w:hAnsi="Times New Roman" w:cs="Times New Roman"/>
                <w:color w:val="000000"/>
                <w:szCs w:val="21"/>
              </w:rPr>
              <w:t>决算数</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一、</w:t>
            </w:r>
            <w:r w:rsidRPr="00394CF6">
              <w:rPr>
                <w:rFonts w:ascii="方正仿宋_GBK" w:eastAsia="方正仿宋_GBK" w:hAnsi="Times New Roman" w:cs="Times New Roman" w:hint="eastAsia"/>
                <w:color w:val="000000"/>
                <w:szCs w:val="21"/>
              </w:rPr>
              <w:t>“三公”经</w:t>
            </w:r>
            <w:r w:rsidRPr="00394CF6">
              <w:rPr>
                <w:rFonts w:ascii="Times New Roman" w:eastAsia="方正仿宋_GBK" w:hAnsi="Times New Roman" w:cs="Times New Roman"/>
                <w:color w:val="000000"/>
                <w:szCs w:val="21"/>
              </w:rPr>
              <w:t>费支出</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五、机关运行经费</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142.13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（一）支出合计</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0.26 </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0.26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（一）行政单位</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1</w:t>
            </w:r>
            <w:r w:rsidRPr="00394CF6">
              <w:rPr>
                <w:rFonts w:ascii="Times New Roman" w:eastAsia="方正仿宋_GBK" w:hAnsi="Times New Roman" w:cs="Times New Roman"/>
                <w:bCs/>
                <w:color w:val="000000"/>
                <w:szCs w:val="21"/>
              </w:rPr>
              <w:t>．因公出国（境）费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（二）参照公务员法管理事业单位</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142.13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2</w:t>
            </w:r>
            <w:r w:rsidRPr="00394CF6">
              <w:rPr>
                <w:rFonts w:ascii="Times New Roman" w:eastAsia="方正仿宋_GBK" w:hAnsi="Times New Roman" w:cs="Times New Roman"/>
                <w:bCs/>
                <w:color w:val="000000"/>
                <w:szCs w:val="21"/>
              </w:rPr>
              <w:t>．公务用车购置及运行维护费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六、资产信息</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w:t>
            </w:r>
            <w:r w:rsidRPr="00394CF6">
              <w:rPr>
                <w:rFonts w:ascii="Times New Roman" w:eastAsia="方正仿宋_GBK" w:hAnsi="Times New Roman" w:cs="Times New Roman"/>
                <w:bCs/>
                <w:color w:val="000000"/>
                <w:szCs w:val="21"/>
              </w:rPr>
              <w:t>1</w:t>
            </w:r>
            <w:r w:rsidRPr="00394CF6">
              <w:rPr>
                <w:rFonts w:ascii="Times New Roman" w:eastAsia="方正仿宋_GBK" w:hAnsi="Times New Roman" w:cs="Times New Roman"/>
                <w:bCs/>
                <w:color w:val="000000"/>
                <w:szCs w:val="21"/>
              </w:rPr>
              <w:t>）公务用车购置费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（一）车辆数合计（辆）</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w:t>
            </w:r>
            <w:r w:rsidRPr="00394CF6">
              <w:rPr>
                <w:rFonts w:ascii="Times New Roman" w:eastAsia="方正仿宋_GBK" w:hAnsi="Times New Roman" w:cs="Times New Roman"/>
                <w:bCs/>
                <w:color w:val="000000"/>
                <w:szCs w:val="21"/>
              </w:rPr>
              <w:t>2</w:t>
            </w:r>
            <w:r w:rsidRPr="00394CF6">
              <w:rPr>
                <w:rFonts w:ascii="Times New Roman" w:eastAsia="方正仿宋_GBK" w:hAnsi="Times New Roman" w:cs="Times New Roman"/>
                <w:bCs/>
                <w:color w:val="000000"/>
                <w:szCs w:val="21"/>
              </w:rPr>
              <w:t>）公务用车运行维护费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1</w:t>
            </w:r>
            <w:r w:rsidRPr="00394CF6">
              <w:rPr>
                <w:rFonts w:ascii="Times New Roman" w:eastAsia="方正仿宋_GBK" w:hAnsi="Times New Roman" w:cs="Times New Roman"/>
                <w:bCs/>
                <w:color w:val="000000"/>
                <w:szCs w:val="21"/>
              </w:rPr>
              <w:t>．副部（省）级及以上领导用车</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3</w:t>
            </w:r>
            <w:r w:rsidRPr="00394CF6">
              <w:rPr>
                <w:rFonts w:ascii="Times New Roman" w:eastAsia="方正仿宋_GBK" w:hAnsi="Times New Roman" w:cs="Times New Roman"/>
                <w:bCs/>
                <w:color w:val="000000"/>
                <w:szCs w:val="21"/>
              </w:rPr>
              <w:t>．公务接待费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0.26 </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0.26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2</w:t>
            </w:r>
            <w:r w:rsidRPr="00394CF6">
              <w:rPr>
                <w:rFonts w:ascii="Times New Roman" w:eastAsia="方正仿宋_GBK" w:hAnsi="Times New Roman" w:cs="Times New Roman"/>
                <w:bCs/>
                <w:color w:val="000000"/>
                <w:szCs w:val="21"/>
              </w:rPr>
              <w:t>．主要领导干部用车</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w:t>
            </w:r>
            <w:r w:rsidRPr="00394CF6">
              <w:rPr>
                <w:rFonts w:ascii="Times New Roman" w:eastAsia="方正仿宋_GBK" w:hAnsi="Times New Roman" w:cs="Times New Roman"/>
                <w:bCs/>
                <w:color w:val="000000"/>
                <w:szCs w:val="21"/>
              </w:rPr>
              <w:t>1</w:t>
            </w:r>
            <w:r w:rsidRPr="00394CF6">
              <w:rPr>
                <w:rFonts w:ascii="Times New Roman" w:eastAsia="方正仿宋_GBK" w:hAnsi="Times New Roman" w:cs="Times New Roman"/>
                <w:bCs/>
                <w:color w:val="000000"/>
                <w:szCs w:val="21"/>
              </w:rPr>
              <w:t>）国内接待费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0.26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3</w:t>
            </w:r>
            <w:r w:rsidRPr="00394CF6">
              <w:rPr>
                <w:rFonts w:ascii="Times New Roman" w:eastAsia="方正仿宋_GBK" w:hAnsi="Times New Roman" w:cs="Times New Roman"/>
                <w:bCs/>
                <w:color w:val="000000"/>
                <w:szCs w:val="21"/>
              </w:rPr>
              <w:t>．机要通信用车</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其中：外事接待费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4</w:t>
            </w:r>
            <w:r w:rsidRPr="00394CF6">
              <w:rPr>
                <w:rFonts w:ascii="Times New Roman" w:eastAsia="方正仿宋_GBK" w:hAnsi="Times New Roman" w:cs="Times New Roman"/>
                <w:bCs/>
                <w:color w:val="000000"/>
                <w:szCs w:val="21"/>
              </w:rPr>
              <w:t>．应急保障用车</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w:t>
            </w:r>
            <w:r w:rsidRPr="00394CF6">
              <w:rPr>
                <w:rFonts w:ascii="Times New Roman" w:eastAsia="方正仿宋_GBK" w:hAnsi="Times New Roman" w:cs="Times New Roman"/>
                <w:bCs/>
                <w:color w:val="000000"/>
                <w:szCs w:val="21"/>
              </w:rPr>
              <w:t>2</w:t>
            </w:r>
            <w:r w:rsidRPr="00394CF6">
              <w:rPr>
                <w:rFonts w:ascii="Times New Roman" w:eastAsia="方正仿宋_GBK" w:hAnsi="Times New Roman" w:cs="Times New Roman"/>
                <w:bCs/>
                <w:color w:val="000000"/>
                <w:szCs w:val="21"/>
              </w:rPr>
              <w:t>）国（境）外接待费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5</w:t>
            </w:r>
            <w:r w:rsidRPr="00394CF6">
              <w:rPr>
                <w:rFonts w:ascii="Times New Roman" w:eastAsia="方正仿宋_GBK" w:hAnsi="Times New Roman" w:cs="Times New Roman"/>
                <w:bCs/>
                <w:color w:val="000000"/>
                <w:szCs w:val="21"/>
              </w:rPr>
              <w:t>．执法执勤用车</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lastRenderedPageBreak/>
              <w:t xml:space="preserve">  </w:t>
            </w:r>
            <w:r w:rsidRPr="00394CF6">
              <w:rPr>
                <w:rFonts w:ascii="Times New Roman" w:eastAsia="方正仿宋_GBK" w:hAnsi="Times New Roman" w:cs="Times New Roman"/>
                <w:bCs/>
                <w:color w:val="000000"/>
                <w:szCs w:val="21"/>
              </w:rPr>
              <w:t>（二）相关统计数</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6</w:t>
            </w:r>
            <w:r w:rsidRPr="00394CF6">
              <w:rPr>
                <w:rFonts w:ascii="Times New Roman" w:eastAsia="方正仿宋_GBK" w:hAnsi="Times New Roman" w:cs="Times New Roman"/>
                <w:bCs/>
                <w:color w:val="000000"/>
                <w:szCs w:val="21"/>
              </w:rPr>
              <w:t>．特种专业技术用车</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1</w:t>
            </w:r>
            <w:r w:rsidRPr="00394CF6">
              <w:rPr>
                <w:rFonts w:ascii="Times New Roman" w:eastAsia="方正仿宋_GBK" w:hAnsi="Times New Roman" w:cs="Times New Roman"/>
                <w:bCs/>
                <w:color w:val="000000"/>
                <w:szCs w:val="21"/>
              </w:rPr>
              <w:t>．因公出国（境）团组数（</w:t>
            </w:r>
            <w:proofErr w:type="gramStart"/>
            <w:r w:rsidRPr="00394CF6">
              <w:rPr>
                <w:rFonts w:ascii="Times New Roman" w:eastAsia="方正仿宋_GBK" w:hAnsi="Times New Roman" w:cs="Times New Roman"/>
                <w:bCs/>
                <w:color w:val="000000"/>
                <w:szCs w:val="21"/>
              </w:rPr>
              <w:t>个</w:t>
            </w:r>
            <w:proofErr w:type="gramEnd"/>
            <w:r w:rsidRPr="00394CF6">
              <w:rPr>
                <w:rFonts w:ascii="Times New Roman" w:eastAsia="方正仿宋_GBK" w:hAnsi="Times New Roman" w:cs="Times New Roman"/>
                <w:bCs/>
                <w:color w:val="000000"/>
                <w:szCs w:val="21"/>
              </w:rPr>
              <w:t>）</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7</w:t>
            </w:r>
            <w:r w:rsidRPr="00394CF6">
              <w:rPr>
                <w:rFonts w:ascii="Times New Roman" w:eastAsia="方正仿宋_GBK" w:hAnsi="Times New Roman" w:cs="Times New Roman"/>
                <w:bCs/>
                <w:color w:val="000000"/>
                <w:szCs w:val="21"/>
              </w:rPr>
              <w:t>．离退休干部用车</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2</w:t>
            </w:r>
            <w:r w:rsidRPr="00394CF6">
              <w:rPr>
                <w:rFonts w:ascii="Times New Roman" w:eastAsia="方正仿宋_GBK" w:hAnsi="Times New Roman" w:cs="Times New Roman"/>
                <w:bCs/>
                <w:color w:val="000000"/>
                <w:szCs w:val="21"/>
              </w:rPr>
              <w:t>．因公出国（境）人次数（人）</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8</w:t>
            </w:r>
            <w:r w:rsidRPr="00394CF6">
              <w:rPr>
                <w:rFonts w:ascii="Times New Roman" w:eastAsia="方正仿宋_GBK" w:hAnsi="Times New Roman" w:cs="Times New Roman"/>
                <w:bCs/>
                <w:color w:val="000000"/>
                <w:szCs w:val="21"/>
              </w:rPr>
              <w:t>．其他用车</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3</w:t>
            </w:r>
            <w:r w:rsidRPr="00394CF6">
              <w:rPr>
                <w:rFonts w:ascii="Times New Roman" w:eastAsia="方正仿宋_GBK" w:hAnsi="Times New Roman" w:cs="Times New Roman"/>
                <w:bCs/>
                <w:color w:val="000000"/>
                <w:szCs w:val="21"/>
              </w:rPr>
              <w:t>．公务用车购置数（辆）</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（二）单价</w:t>
            </w:r>
            <w:r w:rsidRPr="00394CF6">
              <w:rPr>
                <w:rFonts w:ascii="Times New Roman" w:eastAsia="方正仿宋_GBK" w:hAnsi="Times New Roman" w:cs="Times New Roman"/>
                <w:bCs/>
                <w:color w:val="000000"/>
                <w:szCs w:val="21"/>
              </w:rPr>
              <w:t>100</w:t>
            </w:r>
            <w:r w:rsidRPr="00394CF6">
              <w:rPr>
                <w:rFonts w:ascii="Times New Roman" w:eastAsia="方正仿宋_GBK" w:hAnsi="Times New Roman" w:cs="Times New Roman"/>
                <w:bCs/>
                <w:color w:val="000000"/>
                <w:szCs w:val="21"/>
              </w:rPr>
              <w:t>万元（含）以上设备（不含车辆）</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4</w:t>
            </w:r>
            <w:r w:rsidRPr="00394CF6">
              <w:rPr>
                <w:rFonts w:ascii="Times New Roman" w:eastAsia="方正仿宋_GBK" w:hAnsi="Times New Roman" w:cs="Times New Roman"/>
                <w:bCs/>
                <w:color w:val="000000"/>
                <w:szCs w:val="21"/>
              </w:rPr>
              <w:t>．公务用车保有量（辆）</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七、政府采购支出信息</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5</w:t>
            </w:r>
            <w:r w:rsidRPr="00394CF6">
              <w:rPr>
                <w:rFonts w:ascii="Times New Roman" w:eastAsia="方正仿宋_GBK" w:hAnsi="Times New Roman" w:cs="Times New Roman"/>
                <w:bCs/>
                <w:color w:val="000000"/>
                <w:szCs w:val="21"/>
              </w:rPr>
              <w:t>．国内公务接待批次（</w:t>
            </w:r>
            <w:proofErr w:type="gramStart"/>
            <w:r w:rsidRPr="00394CF6">
              <w:rPr>
                <w:rFonts w:ascii="Times New Roman" w:eastAsia="方正仿宋_GBK" w:hAnsi="Times New Roman" w:cs="Times New Roman"/>
                <w:bCs/>
                <w:color w:val="000000"/>
                <w:szCs w:val="21"/>
              </w:rPr>
              <w:t>个</w:t>
            </w:r>
            <w:proofErr w:type="gramEnd"/>
            <w:r w:rsidRPr="00394CF6">
              <w:rPr>
                <w:rFonts w:ascii="Times New Roman" w:eastAsia="方正仿宋_GBK" w:hAnsi="Times New Roman" w:cs="Times New Roman"/>
                <w:bCs/>
                <w:color w:val="000000"/>
                <w:szCs w:val="21"/>
              </w:rPr>
              <w:t>）</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3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（一）政府采购支出合计</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68.97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其中：外事接待批次（</w:t>
            </w:r>
            <w:proofErr w:type="gramStart"/>
            <w:r w:rsidRPr="00394CF6">
              <w:rPr>
                <w:rFonts w:ascii="Times New Roman" w:eastAsia="方正仿宋_GBK" w:hAnsi="Times New Roman" w:cs="Times New Roman"/>
                <w:bCs/>
                <w:color w:val="000000"/>
                <w:szCs w:val="21"/>
              </w:rPr>
              <w:t>个</w:t>
            </w:r>
            <w:proofErr w:type="gramEnd"/>
            <w:r w:rsidRPr="00394CF6">
              <w:rPr>
                <w:rFonts w:ascii="Times New Roman" w:eastAsia="方正仿宋_GBK" w:hAnsi="Times New Roman" w:cs="Times New Roman"/>
                <w:bCs/>
                <w:color w:val="000000"/>
                <w:szCs w:val="21"/>
              </w:rPr>
              <w:t>）</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1</w:t>
            </w:r>
            <w:r w:rsidRPr="00394CF6">
              <w:rPr>
                <w:rFonts w:ascii="Times New Roman" w:eastAsia="方正仿宋_GBK" w:hAnsi="Times New Roman" w:cs="Times New Roman"/>
                <w:bCs/>
                <w:color w:val="000000"/>
                <w:szCs w:val="21"/>
              </w:rPr>
              <w:t>．政府采购货物支出</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0.41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6</w:t>
            </w:r>
            <w:r w:rsidRPr="00394CF6">
              <w:rPr>
                <w:rFonts w:ascii="Times New Roman" w:eastAsia="方正仿宋_GBK" w:hAnsi="Times New Roman" w:cs="Times New Roman"/>
                <w:bCs/>
                <w:color w:val="000000"/>
                <w:szCs w:val="21"/>
              </w:rPr>
              <w:t>．国内公务接待人次（人）</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26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2</w:t>
            </w:r>
            <w:r w:rsidRPr="00394CF6">
              <w:rPr>
                <w:rFonts w:ascii="Times New Roman" w:eastAsia="方正仿宋_GBK" w:hAnsi="Times New Roman" w:cs="Times New Roman"/>
                <w:bCs/>
                <w:color w:val="000000"/>
                <w:szCs w:val="21"/>
              </w:rPr>
              <w:t>．政府采购工程支出</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其中：外事接待人次（人）</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3</w:t>
            </w:r>
            <w:r w:rsidRPr="00394CF6">
              <w:rPr>
                <w:rFonts w:ascii="Times New Roman" w:eastAsia="方正仿宋_GBK" w:hAnsi="Times New Roman" w:cs="Times New Roman"/>
                <w:bCs/>
                <w:color w:val="000000"/>
                <w:szCs w:val="21"/>
              </w:rPr>
              <w:t>．政府采购服务支出</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68.56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7</w:t>
            </w:r>
            <w:r w:rsidRPr="00394CF6">
              <w:rPr>
                <w:rFonts w:ascii="Times New Roman" w:eastAsia="方正仿宋_GBK" w:hAnsi="Times New Roman" w:cs="Times New Roman"/>
                <w:bCs/>
                <w:color w:val="000000"/>
                <w:szCs w:val="21"/>
              </w:rPr>
              <w:t>．国（境）外公务接待批次（</w:t>
            </w:r>
            <w:proofErr w:type="gramStart"/>
            <w:r w:rsidRPr="00394CF6">
              <w:rPr>
                <w:rFonts w:ascii="Times New Roman" w:eastAsia="方正仿宋_GBK" w:hAnsi="Times New Roman" w:cs="Times New Roman"/>
                <w:bCs/>
                <w:color w:val="000000"/>
                <w:szCs w:val="21"/>
              </w:rPr>
              <w:t>个</w:t>
            </w:r>
            <w:proofErr w:type="gramEnd"/>
            <w:r w:rsidRPr="00394CF6">
              <w:rPr>
                <w:rFonts w:ascii="Times New Roman" w:eastAsia="方正仿宋_GBK" w:hAnsi="Times New Roman" w:cs="Times New Roman"/>
                <w:bCs/>
                <w:color w:val="000000"/>
                <w:szCs w:val="21"/>
              </w:rPr>
              <w:t>）</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（二）政府采购授予中小企业合同金额</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68.97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8</w:t>
            </w:r>
            <w:r w:rsidRPr="00394CF6">
              <w:rPr>
                <w:rFonts w:ascii="Times New Roman" w:eastAsia="方正仿宋_GBK" w:hAnsi="Times New Roman" w:cs="Times New Roman"/>
                <w:bCs/>
                <w:color w:val="000000"/>
                <w:szCs w:val="21"/>
              </w:rPr>
              <w:t>．国（境）外公务接待人次（人）</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 xml:space="preserve">        </w:t>
            </w:r>
            <w:r w:rsidRPr="00394CF6">
              <w:rPr>
                <w:rFonts w:ascii="Times New Roman" w:eastAsia="方正仿宋_GBK" w:hAnsi="Times New Roman" w:cs="Times New Roman"/>
                <w:bCs/>
                <w:color w:val="000000"/>
                <w:szCs w:val="21"/>
              </w:rPr>
              <w:t>其中：授予小</w:t>
            </w:r>
            <w:proofErr w:type="gramStart"/>
            <w:r w:rsidRPr="00394CF6">
              <w:rPr>
                <w:rFonts w:ascii="Times New Roman" w:eastAsia="方正仿宋_GBK" w:hAnsi="Times New Roman" w:cs="Times New Roman"/>
                <w:bCs/>
                <w:color w:val="000000"/>
                <w:szCs w:val="21"/>
              </w:rPr>
              <w:t>微企业</w:t>
            </w:r>
            <w:proofErr w:type="gramEnd"/>
            <w:r w:rsidRPr="00394CF6">
              <w:rPr>
                <w:rFonts w:ascii="Times New Roman" w:eastAsia="方正仿宋_GBK" w:hAnsi="Times New Roman" w:cs="Times New Roman"/>
                <w:bCs/>
                <w:color w:val="000000"/>
                <w:szCs w:val="21"/>
              </w:rPr>
              <w:t>合同金额</w:t>
            </w: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0.41 </w:t>
            </w: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二、会议费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1.79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rPr>
                <w:rFonts w:ascii="Times New Roman" w:eastAsia="方正仿宋_GBK" w:hAnsi="Times New Roman" w:cs="Times New Roman"/>
                <w:color w:val="000000"/>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rPr>
                <w:rFonts w:ascii="Times New Roman" w:eastAsia="方正仿宋_GBK" w:hAnsi="Times New Roman" w:cs="Times New Roman"/>
                <w:color w:val="000000"/>
                <w:szCs w:val="21"/>
              </w:rPr>
            </w:pP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三、培训费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2.61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rPr>
                <w:rFonts w:ascii="Times New Roman" w:eastAsia="方正仿宋_GBK" w:hAnsi="Times New Roman" w:cs="Times New Roman"/>
                <w:color w:val="000000"/>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rPr>
                <w:rFonts w:ascii="Times New Roman" w:eastAsia="方正仿宋_GBK" w:hAnsi="Times New Roman" w:cs="Times New Roman"/>
                <w:color w:val="000000"/>
                <w:szCs w:val="21"/>
              </w:rPr>
            </w:pPr>
          </w:p>
        </w:tc>
      </w:tr>
      <w:tr w:rsidR="00394CF6" w:rsidRPr="00394CF6" w:rsidTr="00394CF6">
        <w:trPr>
          <w:trHeight w:val="20"/>
        </w:trPr>
        <w:tc>
          <w:tcPr>
            <w:tcW w:w="15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textAlignment w:val="center"/>
              <w:rPr>
                <w:rFonts w:ascii="Times New Roman" w:eastAsia="方正仿宋_GBK" w:hAnsi="Times New Roman" w:cs="Times New Roman"/>
                <w:bCs/>
                <w:color w:val="000000"/>
                <w:szCs w:val="21"/>
              </w:rPr>
            </w:pPr>
            <w:r w:rsidRPr="00394CF6">
              <w:rPr>
                <w:rFonts w:ascii="Times New Roman" w:eastAsia="方正仿宋_GBK" w:hAnsi="Times New Roman" w:cs="Times New Roman"/>
                <w:bCs/>
                <w:color w:val="000000"/>
                <w:szCs w:val="21"/>
              </w:rPr>
              <w:t>四、差旅费</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jc w:val="center"/>
              <w:textAlignment w:val="center"/>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textAlignment w:val="bottom"/>
              <w:rPr>
                <w:rFonts w:ascii="Times New Roman" w:eastAsia="方正仿宋_GBK" w:hAnsi="Times New Roman" w:cs="Times New Roman"/>
                <w:color w:val="000000"/>
                <w:szCs w:val="21"/>
              </w:rPr>
            </w:pPr>
            <w:r w:rsidRPr="00394CF6">
              <w:rPr>
                <w:rFonts w:ascii="Times New Roman" w:eastAsia="方正仿宋_GBK" w:hAnsi="Times New Roman" w:cs="Times New Roman"/>
                <w:color w:val="000000"/>
                <w:szCs w:val="21"/>
              </w:rPr>
              <w:t xml:space="preserve">0.33 </w:t>
            </w:r>
          </w:p>
        </w:tc>
        <w:tc>
          <w:tcPr>
            <w:tcW w:w="14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4CF6" w:rsidRPr="00394CF6" w:rsidRDefault="00394CF6" w:rsidP="00F4577B">
            <w:pPr>
              <w:spacing w:line="400" w:lineRule="exact"/>
              <w:rPr>
                <w:rFonts w:ascii="Times New Roman" w:eastAsia="方正仿宋_GBK" w:hAnsi="Times New Roman" w:cs="Times New Roman"/>
                <w:color w:val="000000"/>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94CF6" w:rsidRPr="00394CF6" w:rsidRDefault="00394CF6" w:rsidP="00F4577B">
            <w:pPr>
              <w:spacing w:line="400" w:lineRule="exact"/>
              <w:jc w:val="right"/>
              <w:rPr>
                <w:rFonts w:ascii="Times New Roman" w:eastAsia="方正仿宋_GBK" w:hAnsi="Times New Roman" w:cs="Times New Roman"/>
                <w:color w:val="000000"/>
                <w:szCs w:val="21"/>
              </w:rPr>
            </w:pPr>
          </w:p>
        </w:tc>
      </w:tr>
    </w:tbl>
    <w:p w:rsidR="00CD4342" w:rsidRPr="00CD4342" w:rsidRDefault="00CD4342" w:rsidP="00CD4342">
      <w:pPr>
        <w:rPr>
          <w:rFonts w:ascii="Times New Roman" w:eastAsia="方正仿宋_GBK" w:hAnsi="Times New Roman" w:cs="Times New Roman"/>
          <w:sz w:val="24"/>
          <w:szCs w:val="24"/>
        </w:rPr>
      </w:pPr>
      <w:r w:rsidRPr="00CD4342">
        <w:rPr>
          <w:rFonts w:ascii="Times New Roman" w:eastAsia="方正仿宋_GBK" w:hAnsi="Times New Roman" w:cs="Times New Roman" w:hint="eastAsia"/>
          <w:sz w:val="24"/>
          <w:szCs w:val="24"/>
        </w:rPr>
        <w:t>备注：</w:t>
      </w:r>
      <w:r w:rsidRPr="00CD4342">
        <w:rPr>
          <w:rFonts w:ascii="Times New Roman" w:eastAsia="方正仿宋_GBK" w:hAnsi="Times New Roman" w:cs="Times New Roman" w:hint="eastAsia"/>
          <w:sz w:val="24"/>
          <w:szCs w:val="24"/>
        </w:rPr>
        <w:t>1.</w:t>
      </w:r>
      <w:r w:rsidRPr="00CD4342">
        <w:rPr>
          <w:rFonts w:ascii="Times New Roman" w:eastAsia="方正仿宋_GBK" w:hAnsi="Times New Roman" w:cs="Times New Roman" w:hint="eastAsia"/>
          <w:sz w:val="24"/>
          <w:szCs w:val="24"/>
        </w:rPr>
        <w:t>本表反映单位本年度财政拨款“三公”经费支出预决算情况。其中，预算数为“三公”经费全年预算数，反映按规定程序调整后的预算数；决算数为包括本年度财政拨款和以前年度结转资金安排的实际支出。</w:t>
      </w:r>
    </w:p>
    <w:p w:rsidR="006936FB" w:rsidRPr="005E256C" w:rsidRDefault="00CD4342" w:rsidP="00F4577B">
      <w:pPr>
        <w:ind w:firstLineChars="300" w:firstLine="720"/>
        <w:rPr>
          <w:rFonts w:ascii="Times New Roman" w:eastAsia="方正仿宋_GBK" w:hAnsi="Times New Roman" w:cs="Times New Roman"/>
          <w:sz w:val="24"/>
          <w:szCs w:val="24"/>
        </w:rPr>
      </w:pPr>
      <w:r w:rsidRPr="00CD4342">
        <w:rPr>
          <w:rFonts w:ascii="Times New Roman" w:eastAsia="方正仿宋_GBK" w:hAnsi="Times New Roman" w:cs="Times New Roman" w:hint="eastAsia"/>
          <w:sz w:val="24"/>
          <w:szCs w:val="24"/>
        </w:rPr>
        <w:t>2.</w:t>
      </w:r>
      <w:r w:rsidRPr="00CD4342">
        <w:rPr>
          <w:rFonts w:ascii="Times New Roman" w:eastAsia="方正仿宋_GBK" w:hAnsi="Times New Roman" w:cs="Times New Roman" w:hint="eastAsia"/>
          <w:sz w:val="24"/>
          <w:szCs w:val="24"/>
        </w:rPr>
        <w:t>本套报表金额单位转换时可能存在尾数误差。</w:t>
      </w:r>
    </w:p>
    <w:sectPr w:rsidR="006936FB" w:rsidRPr="005E256C" w:rsidSect="00B23202">
      <w:footerReference w:type="even" r:id="rId6"/>
      <w:footerReference w:type="default" r:id="rId7"/>
      <w:pgSz w:w="16838" w:h="11906" w:orient="landscape" w:code="9"/>
      <w:pgMar w:top="1531" w:right="2098" w:bottom="1531" w:left="1985" w:header="851" w:footer="153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E61" w:rsidRDefault="006E6E61" w:rsidP="00B23202">
      <w:r>
        <w:separator/>
      </w:r>
    </w:p>
  </w:endnote>
  <w:endnote w:type="continuationSeparator" w:id="0">
    <w:p w:rsidR="006E6E61" w:rsidRDefault="006E6E61" w:rsidP="00B2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523" w:rsidRPr="00B23202" w:rsidRDefault="005F7523" w:rsidP="00B23202">
    <w:pPr>
      <w:pStyle w:val="a4"/>
      <w:ind w:firstLineChars="100" w:firstLine="280"/>
      <w:rPr>
        <w:rFonts w:asciiTheme="minorEastAsia" w:hAnsiTheme="minorEastAsia"/>
        <w:sz w:val="28"/>
        <w:szCs w:val="28"/>
      </w:rPr>
    </w:pPr>
    <w:r w:rsidRPr="00B23202">
      <w:rPr>
        <w:rFonts w:asciiTheme="minorEastAsia" w:hAnsiTheme="minorEastAsia" w:hint="eastAsia"/>
        <w:sz w:val="28"/>
        <w:szCs w:val="28"/>
      </w:rPr>
      <w:t xml:space="preserve">— </w:t>
    </w:r>
    <w:sdt>
      <w:sdtPr>
        <w:rPr>
          <w:rFonts w:asciiTheme="minorEastAsia" w:hAnsiTheme="minorEastAsia"/>
          <w:sz w:val="28"/>
          <w:szCs w:val="28"/>
        </w:rPr>
        <w:id w:val="972403237"/>
        <w:docPartObj>
          <w:docPartGallery w:val="Page Numbers (Bottom of Page)"/>
          <w:docPartUnique/>
        </w:docPartObj>
      </w:sdtPr>
      <w:sdtEndPr/>
      <w:sdtContent>
        <w:r w:rsidRPr="00B23202">
          <w:rPr>
            <w:rFonts w:asciiTheme="minorEastAsia" w:hAnsiTheme="minorEastAsia"/>
            <w:sz w:val="28"/>
            <w:szCs w:val="28"/>
          </w:rPr>
          <w:fldChar w:fldCharType="begin"/>
        </w:r>
        <w:r w:rsidRPr="00B23202">
          <w:rPr>
            <w:rFonts w:asciiTheme="minorEastAsia" w:hAnsiTheme="minorEastAsia"/>
            <w:sz w:val="28"/>
            <w:szCs w:val="28"/>
          </w:rPr>
          <w:instrText>PAGE   \* MERGEFORMAT</w:instrText>
        </w:r>
        <w:r w:rsidRPr="00B23202">
          <w:rPr>
            <w:rFonts w:asciiTheme="minorEastAsia" w:hAnsiTheme="minorEastAsia"/>
            <w:sz w:val="28"/>
            <w:szCs w:val="28"/>
          </w:rPr>
          <w:fldChar w:fldCharType="separate"/>
        </w:r>
        <w:r w:rsidR="00591B75" w:rsidRPr="00591B75">
          <w:rPr>
            <w:rFonts w:asciiTheme="minorEastAsia" w:hAnsiTheme="minorEastAsia"/>
            <w:noProof/>
            <w:sz w:val="28"/>
            <w:szCs w:val="28"/>
            <w:lang w:val="zh-CN"/>
          </w:rPr>
          <w:t>18</w:t>
        </w:r>
        <w:r w:rsidRPr="00B23202">
          <w:rPr>
            <w:rFonts w:asciiTheme="minorEastAsia" w:hAnsiTheme="minorEastAsia"/>
            <w:sz w:val="28"/>
            <w:szCs w:val="28"/>
          </w:rPr>
          <w:fldChar w:fldCharType="end"/>
        </w:r>
        <w:r w:rsidRPr="00B23202">
          <w:rPr>
            <w:rFonts w:ascii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43497879"/>
      <w:docPartObj>
        <w:docPartGallery w:val="Page Numbers (Bottom of Page)"/>
        <w:docPartUnique/>
      </w:docPartObj>
    </w:sdtPr>
    <w:sdtEndPr/>
    <w:sdtContent>
      <w:p w:rsidR="005F7523" w:rsidRPr="00B23202" w:rsidRDefault="005F7523" w:rsidP="00B23202">
        <w:pPr>
          <w:pStyle w:val="a4"/>
          <w:wordWrap w:val="0"/>
          <w:jc w:val="right"/>
          <w:rPr>
            <w:rFonts w:asciiTheme="minorEastAsia" w:hAnsiTheme="minorEastAsia"/>
            <w:sz w:val="28"/>
            <w:szCs w:val="28"/>
          </w:rPr>
        </w:pPr>
        <w:r w:rsidRPr="00B23202">
          <w:rPr>
            <w:rFonts w:asciiTheme="minorEastAsia" w:hAnsiTheme="minorEastAsia" w:hint="eastAsia"/>
            <w:sz w:val="28"/>
            <w:szCs w:val="28"/>
          </w:rPr>
          <w:t xml:space="preserve">— </w:t>
        </w:r>
        <w:r w:rsidRPr="00B23202">
          <w:rPr>
            <w:rFonts w:asciiTheme="minorEastAsia" w:hAnsiTheme="minorEastAsia"/>
            <w:sz w:val="28"/>
            <w:szCs w:val="28"/>
          </w:rPr>
          <w:fldChar w:fldCharType="begin"/>
        </w:r>
        <w:r w:rsidRPr="00B23202">
          <w:rPr>
            <w:rFonts w:asciiTheme="minorEastAsia" w:hAnsiTheme="minorEastAsia"/>
            <w:sz w:val="28"/>
            <w:szCs w:val="28"/>
          </w:rPr>
          <w:instrText>PAGE   \* MERGEFORMAT</w:instrText>
        </w:r>
        <w:r w:rsidRPr="00B23202">
          <w:rPr>
            <w:rFonts w:asciiTheme="minorEastAsia" w:hAnsiTheme="minorEastAsia"/>
            <w:sz w:val="28"/>
            <w:szCs w:val="28"/>
          </w:rPr>
          <w:fldChar w:fldCharType="separate"/>
        </w:r>
        <w:r w:rsidR="00591B75" w:rsidRPr="00591B75">
          <w:rPr>
            <w:rFonts w:asciiTheme="minorEastAsia" w:hAnsiTheme="minorEastAsia"/>
            <w:noProof/>
            <w:sz w:val="28"/>
            <w:szCs w:val="28"/>
            <w:lang w:val="zh-CN"/>
          </w:rPr>
          <w:t>19</w:t>
        </w:r>
        <w:r w:rsidRPr="00B23202">
          <w:rPr>
            <w:rFonts w:asciiTheme="minorEastAsia" w:hAnsiTheme="minorEastAsia"/>
            <w:sz w:val="28"/>
            <w:szCs w:val="28"/>
          </w:rPr>
          <w:fldChar w:fldCharType="end"/>
        </w:r>
        <w:r w:rsidRPr="00B23202">
          <w:rPr>
            <w:rFonts w:asciiTheme="minorEastAsia" w:hAnsiTheme="minorEastAsia" w:hint="eastAsia"/>
            <w:sz w:val="28"/>
            <w:szCs w:val="28"/>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E61" w:rsidRDefault="006E6E61" w:rsidP="00B23202">
      <w:r>
        <w:separator/>
      </w:r>
    </w:p>
  </w:footnote>
  <w:footnote w:type="continuationSeparator" w:id="0">
    <w:p w:rsidR="006E6E61" w:rsidRDefault="006E6E61" w:rsidP="00B23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02"/>
    <w:rsid w:val="00046855"/>
    <w:rsid w:val="000559A5"/>
    <w:rsid w:val="000975A8"/>
    <w:rsid w:val="00157683"/>
    <w:rsid w:val="001C2A68"/>
    <w:rsid w:val="001E39F9"/>
    <w:rsid w:val="00230485"/>
    <w:rsid w:val="002D65A6"/>
    <w:rsid w:val="00394CF6"/>
    <w:rsid w:val="003A3AD9"/>
    <w:rsid w:val="00416A53"/>
    <w:rsid w:val="00582B71"/>
    <w:rsid w:val="005862A3"/>
    <w:rsid w:val="00591B75"/>
    <w:rsid w:val="005C4B14"/>
    <w:rsid w:val="005E256C"/>
    <w:rsid w:val="005F7523"/>
    <w:rsid w:val="006936FB"/>
    <w:rsid w:val="006E6E61"/>
    <w:rsid w:val="007F35C7"/>
    <w:rsid w:val="00884656"/>
    <w:rsid w:val="008A66EF"/>
    <w:rsid w:val="00907562"/>
    <w:rsid w:val="00A54175"/>
    <w:rsid w:val="00AB143A"/>
    <w:rsid w:val="00B23202"/>
    <w:rsid w:val="00B32F64"/>
    <w:rsid w:val="00CD4342"/>
    <w:rsid w:val="00CF0E9A"/>
    <w:rsid w:val="00D772EB"/>
    <w:rsid w:val="00E21506"/>
    <w:rsid w:val="00F25AF0"/>
    <w:rsid w:val="00F4577B"/>
    <w:rsid w:val="00F52EAD"/>
    <w:rsid w:val="00F70B2A"/>
    <w:rsid w:val="00FD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AD7CFC-93D4-4019-88CD-E5FE12E7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202"/>
    <w:rPr>
      <w:sz w:val="18"/>
      <w:szCs w:val="18"/>
    </w:rPr>
  </w:style>
  <w:style w:type="paragraph" w:styleId="a4">
    <w:name w:val="footer"/>
    <w:basedOn w:val="a"/>
    <w:link w:val="Char0"/>
    <w:uiPriority w:val="99"/>
    <w:unhideWhenUsed/>
    <w:rsid w:val="00B23202"/>
    <w:pPr>
      <w:tabs>
        <w:tab w:val="center" w:pos="4153"/>
        <w:tab w:val="right" w:pos="8306"/>
      </w:tabs>
      <w:snapToGrid w:val="0"/>
      <w:jc w:val="left"/>
    </w:pPr>
    <w:rPr>
      <w:sz w:val="18"/>
      <w:szCs w:val="18"/>
    </w:rPr>
  </w:style>
  <w:style w:type="character" w:customStyle="1" w:styleId="Char0">
    <w:name w:val="页脚 Char"/>
    <w:basedOn w:val="a0"/>
    <w:link w:val="a4"/>
    <w:uiPriority w:val="99"/>
    <w:rsid w:val="00B23202"/>
    <w:rPr>
      <w:sz w:val="18"/>
      <w:szCs w:val="18"/>
    </w:rPr>
  </w:style>
  <w:style w:type="paragraph" w:styleId="a5">
    <w:name w:val="List Paragraph"/>
    <w:basedOn w:val="a"/>
    <w:uiPriority w:val="34"/>
    <w:qFormat/>
    <w:rsid w:val="001576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5148">
      <w:bodyDiv w:val="1"/>
      <w:marLeft w:val="0"/>
      <w:marRight w:val="0"/>
      <w:marTop w:val="0"/>
      <w:marBottom w:val="0"/>
      <w:divBdr>
        <w:top w:val="none" w:sz="0" w:space="0" w:color="auto"/>
        <w:left w:val="none" w:sz="0" w:space="0" w:color="auto"/>
        <w:bottom w:val="none" w:sz="0" w:space="0" w:color="auto"/>
        <w:right w:val="none" w:sz="0" w:space="0" w:color="auto"/>
      </w:divBdr>
    </w:div>
    <w:div w:id="520778203">
      <w:bodyDiv w:val="1"/>
      <w:marLeft w:val="0"/>
      <w:marRight w:val="0"/>
      <w:marTop w:val="0"/>
      <w:marBottom w:val="0"/>
      <w:divBdr>
        <w:top w:val="none" w:sz="0" w:space="0" w:color="auto"/>
        <w:left w:val="none" w:sz="0" w:space="0" w:color="auto"/>
        <w:bottom w:val="none" w:sz="0" w:space="0" w:color="auto"/>
        <w:right w:val="none" w:sz="0" w:space="0" w:color="auto"/>
      </w:divBdr>
    </w:div>
    <w:div w:id="576524394">
      <w:bodyDiv w:val="1"/>
      <w:marLeft w:val="0"/>
      <w:marRight w:val="0"/>
      <w:marTop w:val="0"/>
      <w:marBottom w:val="0"/>
      <w:divBdr>
        <w:top w:val="none" w:sz="0" w:space="0" w:color="auto"/>
        <w:left w:val="none" w:sz="0" w:space="0" w:color="auto"/>
        <w:bottom w:val="none" w:sz="0" w:space="0" w:color="auto"/>
        <w:right w:val="none" w:sz="0" w:space="0" w:color="auto"/>
      </w:divBdr>
    </w:div>
    <w:div w:id="779761084">
      <w:bodyDiv w:val="1"/>
      <w:marLeft w:val="0"/>
      <w:marRight w:val="0"/>
      <w:marTop w:val="0"/>
      <w:marBottom w:val="0"/>
      <w:divBdr>
        <w:top w:val="none" w:sz="0" w:space="0" w:color="auto"/>
        <w:left w:val="none" w:sz="0" w:space="0" w:color="auto"/>
        <w:bottom w:val="none" w:sz="0" w:space="0" w:color="auto"/>
        <w:right w:val="none" w:sz="0" w:space="0" w:color="auto"/>
      </w:divBdr>
    </w:div>
    <w:div w:id="1185167874">
      <w:bodyDiv w:val="1"/>
      <w:marLeft w:val="0"/>
      <w:marRight w:val="0"/>
      <w:marTop w:val="0"/>
      <w:marBottom w:val="0"/>
      <w:divBdr>
        <w:top w:val="none" w:sz="0" w:space="0" w:color="auto"/>
        <w:left w:val="none" w:sz="0" w:space="0" w:color="auto"/>
        <w:bottom w:val="none" w:sz="0" w:space="0" w:color="auto"/>
        <w:right w:val="none" w:sz="0" w:space="0" w:color="auto"/>
      </w:divBdr>
    </w:div>
    <w:div w:id="1506818256">
      <w:bodyDiv w:val="1"/>
      <w:marLeft w:val="0"/>
      <w:marRight w:val="0"/>
      <w:marTop w:val="0"/>
      <w:marBottom w:val="0"/>
      <w:divBdr>
        <w:top w:val="none" w:sz="0" w:space="0" w:color="auto"/>
        <w:left w:val="none" w:sz="0" w:space="0" w:color="auto"/>
        <w:bottom w:val="none" w:sz="0" w:space="0" w:color="auto"/>
        <w:right w:val="none" w:sz="0" w:space="0" w:color="auto"/>
      </w:divBdr>
    </w:div>
    <w:div w:id="1598754768">
      <w:bodyDiv w:val="1"/>
      <w:marLeft w:val="0"/>
      <w:marRight w:val="0"/>
      <w:marTop w:val="0"/>
      <w:marBottom w:val="0"/>
      <w:divBdr>
        <w:top w:val="none" w:sz="0" w:space="0" w:color="auto"/>
        <w:left w:val="none" w:sz="0" w:space="0" w:color="auto"/>
        <w:bottom w:val="none" w:sz="0" w:space="0" w:color="auto"/>
        <w:right w:val="none" w:sz="0" w:space="0" w:color="auto"/>
      </w:divBdr>
    </w:div>
    <w:div w:id="1625306457">
      <w:bodyDiv w:val="1"/>
      <w:marLeft w:val="0"/>
      <w:marRight w:val="0"/>
      <w:marTop w:val="0"/>
      <w:marBottom w:val="0"/>
      <w:divBdr>
        <w:top w:val="none" w:sz="0" w:space="0" w:color="auto"/>
        <w:left w:val="none" w:sz="0" w:space="0" w:color="auto"/>
        <w:bottom w:val="none" w:sz="0" w:space="0" w:color="auto"/>
        <w:right w:val="none" w:sz="0" w:space="0" w:color="auto"/>
      </w:divBdr>
    </w:div>
    <w:div w:id="2081706211">
      <w:bodyDiv w:val="1"/>
      <w:marLeft w:val="0"/>
      <w:marRight w:val="0"/>
      <w:marTop w:val="0"/>
      <w:marBottom w:val="0"/>
      <w:divBdr>
        <w:top w:val="none" w:sz="0" w:space="0" w:color="auto"/>
        <w:left w:val="none" w:sz="0" w:space="0" w:color="auto"/>
        <w:bottom w:val="none" w:sz="0" w:space="0" w:color="auto"/>
        <w:right w:val="none" w:sz="0" w:space="0" w:color="auto"/>
      </w:divBdr>
    </w:div>
    <w:div w:id="20817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xb21cn</dc:creator>
  <cp:lastModifiedBy>Windows 用户</cp:lastModifiedBy>
  <cp:revision>3</cp:revision>
  <dcterms:created xsi:type="dcterms:W3CDTF">2025-10-27T08:38:00Z</dcterms:created>
  <dcterms:modified xsi:type="dcterms:W3CDTF">2025-10-27T08:41:00Z</dcterms:modified>
</cp:coreProperties>
</file>