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5DD8">
      <w:pPr>
        <w:spacing w:line="600" w:lineRule="exact"/>
        <w:rPr>
          <w:rFonts w:ascii="Times New Roman" w:hAnsi="Times New Roman" w:cs="Times New Roman"/>
          <w:szCs w:val="32"/>
        </w:rPr>
      </w:pPr>
    </w:p>
    <w:p w14:paraId="430E0A6B">
      <w:pPr>
        <w:spacing w:line="600" w:lineRule="exact"/>
        <w:jc w:val="center"/>
        <w:rPr>
          <w:rFonts w:hint="eastAsia" w:ascii="Times New Roman" w:hAnsi="Times New Roman" w:eastAsia="方正小标宋_GBK" w:cs="Times New Roman"/>
          <w:sz w:val="44"/>
          <w:szCs w:val="54"/>
        </w:rPr>
      </w:pPr>
      <w:r>
        <w:rPr>
          <w:rFonts w:hint="eastAsia" w:ascii="Times New Roman" w:hAnsi="Times New Roman" w:eastAsia="方正小标宋_GBK" w:cs="Times New Roman"/>
          <w:sz w:val="44"/>
          <w:szCs w:val="54"/>
        </w:rPr>
        <w:t>重庆市九龙坡</w:t>
      </w:r>
      <w:r>
        <w:rPr>
          <w:rFonts w:hint="eastAsia" w:eastAsia="方正小标宋_GBK" w:cs="Times New Roman"/>
          <w:sz w:val="44"/>
          <w:szCs w:val="54"/>
          <w:lang w:val="en-US" w:eastAsia="zh-CN"/>
        </w:rPr>
        <w:t>公证处</w:t>
      </w:r>
      <w:r>
        <w:rPr>
          <w:rFonts w:hint="eastAsia" w:ascii="Times New Roman" w:hAnsi="Times New Roman" w:eastAsia="方正小标宋_GBK" w:cs="Times New Roman"/>
          <w:sz w:val="44"/>
          <w:szCs w:val="54"/>
        </w:rPr>
        <w:t>2024年度单</w:t>
      </w:r>
      <w:r>
        <w:rPr>
          <w:rFonts w:hint="eastAsia" w:eastAsia="方正小标宋_GBK" w:cs="Times New Roman"/>
          <w:sz w:val="44"/>
          <w:szCs w:val="54"/>
          <w:lang w:val="en-US" w:eastAsia="zh-CN"/>
        </w:rPr>
        <w:t>位</w:t>
      </w:r>
      <w:r>
        <w:rPr>
          <w:rFonts w:hint="eastAsia" w:ascii="Times New Roman" w:hAnsi="Times New Roman" w:eastAsia="方正小标宋_GBK" w:cs="Times New Roman"/>
          <w:sz w:val="44"/>
          <w:szCs w:val="54"/>
        </w:rPr>
        <w:t>决算情况说明</w:t>
      </w:r>
    </w:p>
    <w:p w14:paraId="1B790AF2">
      <w:pPr>
        <w:adjustRightInd w:val="0"/>
        <w:snapToGrid w:val="0"/>
        <w:spacing w:line="600" w:lineRule="exact"/>
        <w:rPr>
          <w:rFonts w:ascii="Times New Roman" w:hAnsi="Times New Roman" w:eastAsia="方正小标宋_GBK" w:cs="Times New Roman"/>
          <w:sz w:val="20"/>
        </w:rPr>
      </w:pPr>
    </w:p>
    <w:p w14:paraId="1C3C1F00">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一、部门基本情况</w:t>
      </w:r>
    </w:p>
    <w:p w14:paraId="0BA2EDE3">
      <w:pPr>
        <w:adjustRightInd w:val="0"/>
        <w:snapToGrid w:val="0"/>
        <w:spacing w:line="600" w:lineRule="exact"/>
        <w:ind w:left="1280" w:leftChars="200" w:hanging="640" w:hangingChars="200"/>
        <w:rPr>
          <w:rFonts w:ascii="Times New Roman" w:hAnsi="Times New Roman" w:eastAsia="方正楷体_GBK" w:cs="宋体"/>
          <w:b/>
          <w:kern w:val="0"/>
          <w:szCs w:val="32"/>
        </w:rPr>
      </w:pPr>
      <w:r>
        <w:rPr>
          <w:rFonts w:hint="eastAsia" w:ascii="Times New Roman" w:hAnsi="Times New Roman" w:eastAsia="方正楷体_GBK" w:cs="宋体"/>
          <w:bCs/>
          <w:kern w:val="0"/>
        </w:rPr>
        <w:t>（一）职能职责</w:t>
      </w:r>
    </w:p>
    <w:p w14:paraId="36A47175">
      <w:pPr>
        <w:spacing w:line="600" w:lineRule="exact"/>
        <w:ind w:firstLine="640" w:firstLineChars="200"/>
        <w:rPr>
          <w:rFonts w:hint="eastAsia" w:ascii="Times New Roman" w:hAnsi="Times New Roman" w:cs="宋体"/>
          <w:kern w:val="0"/>
          <w:szCs w:val="32"/>
          <w:lang w:val="en-US" w:eastAsia="zh-CN"/>
        </w:rPr>
      </w:pPr>
      <w:r>
        <w:rPr>
          <w:rFonts w:hint="eastAsia" w:ascii="Times New Roman" w:hAnsi="Times New Roman" w:cs="宋体"/>
          <w:kern w:val="0"/>
          <w:szCs w:val="32"/>
        </w:rPr>
        <w:t>九龙坡公证处职能职责主要包括依法开展公证工作；对社会性活动实施法律监督，维护正常的经济秩序；宣传贯彻有关公证的法律法规，引导公民、法人和其他组织遵守法律，维护社会主义法制秩序；对符合法律援助条件的对象提供公证法律援助。</w:t>
      </w:r>
      <w:r>
        <w:rPr>
          <w:rFonts w:hint="eastAsia" w:ascii="Times New Roman" w:hAnsi="Times New Roman" w:cs="宋体"/>
          <w:kern w:val="0"/>
          <w:szCs w:val="32"/>
          <w:lang w:val="en-US" w:eastAsia="zh-CN"/>
        </w:rPr>
        <w:t xml:space="preserve">  </w:t>
      </w:r>
    </w:p>
    <w:p w14:paraId="17FE2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宋体"/>
          <w:bCs/>
          <w:kern w:val="0"/>
        </w:rPr>
      </w:pPr>
      <w:r>
        <w:rPr>
          <w:rFonts w:hint="eastAsia" w:ascii="Times New Roman" w:hAnsi="Times New Roman" w:eastAsia="方正楷体_GBK" w:cs="宋体"/>
          <w:bCs/>
          <w:kern w:val="0"/>
        </w:rPr>
        <w:t>（二）机构设置</w:t>
      </w:r>
    </w:p>
    <w:p w14:paraId="1B2E11C1">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重庆市九龙坡公证处是九龙坡区司法局下属自收自支事业单位。</w:t>
      </w:r>
    </w:p>
    <w:p w14:paraId="298877F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二、部门决算情况说明</w:t>
      </w:r>
    </w:p>
    <w:p w14:paraId="12B2C35C">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（一）收入支出决算总体情况说明</w:t>
      </w:r>
    </w:p>
    <w:p w14:paraId="2C5F5FB2">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1.总体情况</w:t>
      </w:r>
      <w:r>
        <w:rPr>
          <w:rFonts w:hint="eastAsia" w:ascii="Times New Roman" w:hAnsi="Times New Roman" w:cs="宋体"/>
          <w:kern w:val="0"/>
          <w:szCs w:val="32"/>
        </w:rPr>
        <w:t>。2024年度收入总计</w:t>
      </w:r>
      <w:r>
        <w:rPr>
          <w:rFonts w:hint="eastAsia" w:cs="宋体"/>
          <w:kern w:val="0"/>
          <w:szCs w:val="32"/>
          <w:lang w:val="en-US" w:eastAsia="zh-CN"/>
        </w:rPr>
        <w:t>571.19</w:t>
      </w:r>
      <w:r>
        <w:rPr>
          <w:rFonts w:hint="eastAsia" w:ascii="Times New Roman" w:hAnsi="Times New Roman" w:cs="宋体"/>
          <w:kern w:val="0"/>
          <w:szCs w:val="32"/>
        </w:rPr>
        <w:t>万元，支出总计</w:t>
      </w:r>
      <w:r>
        <w:rPr>
          <w:rFonts w:hint="eastAsia" w:cs="宋体"/>
          <w:kern w:val="0"/>
          <w:szCs w:val="32"/>
          <w:lang w:val="en-US" w:eastAsia="zh-CN"/>
        </w:rPr>
        <w:t>571.19</w:t>
      </w:r>
      <w:r>
        <w:rPr>
          <w:rFonts w:hint="eastAsia" w:ascii="Times New Roman" w:hAnsi="Times New Roman" w:cs="宋体"/>
          <w:kern w:val="0"/>
          <w:szCs w:val="32"/>
        </w:rPr>
        <w:t>万元。收支较上年决算数增加</w:t>
      </w:r>
      <w:r>
        <w:rPr>
          <w:rFonts w:hint="eastAsia" w:cs="宋体"/>
          <w:kern w:val="0"/>
          <w:szCs w:val="32"/>
          <w:lang w:val="en-US" w:eastAsia="zh-CN"/>
        </w:rPr>
        <w:t>41.19</w:t>
      </w:r>
      <w:r>
        <w:rPr>
          <w:rFonts w:hint="eastAsia" w:ascii="Times New Roman" w:hAnsi="Times New Roman" w:cs="宋体"/>
          <w:kern w:val="0"/>
          <w:szCs w:val="32"/>
        </w:rPr>
        <w:t>万元</w:t>
      </w:r>
      <w:r>
        <w:rPr>
          <w:rFonts w:hint="eastAsia" w:cs="宋体"/>
          <w:kern w:val="0"/>
          <w:szCs w:val="32"/>
          <w:lang w:eastAsia="zh-CN"/>
        </w:rPr>
        <w:t>，</w:t>
      </w:r>
      <w:r>
        <w:rPr>
          <w:rFonts w:hint="eastAsia" w:ascii="Times New Roman" w:hAnsi="Times New Roman" w:cs="宋体"/>
          <w:kern w:val="0"/>
          <w:szCs w:val="32"/>
        </w:rPr>
        <w:t>增长</w:t>
      </w:r>
      <w:r>
        <w:rPr>
          <w:rFonts w:hint="eastAsia" w:cs="宋体"/>
          <w:kern w:val="0"/>
          <w:szCs w:val="32"/>
          <w:lang w:val="en-US" w:eastAsia="zh-CN"/>
        </w:rPr>
        <w:t>7.8</w:t>
      </w:r>
      <w:r>
        <w:rPr>
          <w:rFonts w:hint="eastAsia" w:ascii="Times New Roman" w:hAnsi="Times New Roman" w:cs="宋体"/>
          <w:kern w:val="0"/>
          <w:szCs w:val="32"/>
        </w:rPr>
        <w:t>%，主要原因是</w:t>
      </w:r>
      <w:r>
        <w:rPr>
          <w:rFonts w:hint="eastAsia" w:cs="宋体"/>
          <w:kern w:val="0"/>
          <w:szCs w:val="32"/>
          <w:lang w:val="en-US" w:eastAsia="zh-CN"/>
        </w:rPr>
        <w:t>单位人员社保基数的增加和追加拖欠中小企业账款费用</w:t>
      </w:r>
      <w:r>
        <w:rPr>
          <w:rFonts w:hint="eastAsia" w:ascii="Times New Roman" w:hAnsi="Times New Roman" w:cs="宋体"/>
          <w:kern w:val="0"/>
          <w:szCs w:val="32"/>
        </w:rPr>
        <w:t>。</w:t>
      </w:r>
    </w:p>
    <w:p w14:paraId="757BB5DD">
      <w:pPr>
        <w:spacing w:line="600" w:lineRule="exact"/>
        <w:ind w:firstLine="630" w:firstLineChars="196"/>
        <w:rPr>
          <w:rFonts w:hint="eastAsia" w:eastAsia="方正仿宋_GBK" w:cs="宋体"/>
          <w:kern w:val="0"/>
          <w:szCs w:val="32"/>
          <w:lang w:val="en-US" w:eastAsia="zh-CN"/>
        </w:rPr>
      </w:pPr>
      <w:r>
        <w:rPr>
          <w:rFonts w:hint="eastAsia" w:ascii="Times New Roman" w:hAnsi="Times New Roman" w:cs="宋体"/>
          <w:b/>
          <w:bCs/>
          <w:kern w:val="0"/>
        </w:rPr>
        <w:t>2.收入情况。</w:t>
      </w:r>
      <w:r>
        <w:rPr>
          <w:rFonts w:hint="eastAsia" w:ascii="Times New Roman" w:hAnsi="Times New Roman" w:cs="宋体"/>
          <w:kern w:val="0"/>
          <w:szCs w:val="32"/>
        </w:rPr>
        <w:t>2024年度收入合计</w:t>
      </w:r>
      <w:r>
        <w:rPr>
          <w:rFonts w:hint="eastAsia" w:cs="宋体"/>
          <w:kern w:val="0"/>
          <w:szCs w:val="32"/>
          <w:lang w:val="en-US" w:eastAsia="zh-CN"/>
        </w:rPr>
        <w:t>571.19</w:t>
      </w:r>
      <w:r>
        <w:rPr>
          <w:rFonts w:hint="eastAsia" w:ascii="Times New Roman" w:hAnsi="Times New Roman" w:cs="宋体"/>
          <w:kern w:val="0"/>
          <w:szCs w:val="32"/>
        </w:rPr>
        <w:t>万元，较上年决算数增加</w:t>
      </w:r>
      <w:r>
        <w:rPr>
          <w:rFonts w:hint="eastAsia" w:cs="宋体"/>
          <w:kern w:val="0"/>
          <w:szCs w:val="32"/>
          <w:lang w:val="en-US" w:eastAsia="zh-CN"/>
        </w:rPr>
        <w:t>41.19</w:t>
      </w:r>
      <w:r>
        <w:rPr>
          <w:rFonts w:hint="eastAsia" w:ascii="Times New Roman" w:hAnsi="Times New Roman" w:cs="宋体"/>
          <w:kern w:val="0"/>
          <w:szCs w:val="32"/>
        </w:rPr>
        <w:t>万元，增长</w:t>
      </w:r>
      <w:r>
        <w:rPr>
          <w:rFonts w:hint="eastAsia" w:cs="宋体"/>
          <w:kern w:val="0"/>
          <w:szCs w:val="32"/>
          <w:lang w:val="en-US" w:eastAsia="zh-CN"/>
        </w:rPr>
        <w:t>7.8</w:t>
      </w:r>
      <w:r>
        <w:rPr>
          <w:rFonts w:hint="eastAsia" w:ascii="Times New Roman" w:hAnsi="Times New Roman" w:cs="宋体"/>
          <w:kern w:val="0"/>
          <w:szCs w:val="32"/>
        </w:rPr>
        <w:t>%，主要原因是</w:t>
      </w:r>
      <w:r>
        <w:rPr>
          <w:rFonts w:hint="eastAsia" w:cs="宋体"/>
          <w:kern w:val="0"/>
          <w:szCs w:val="32"/>
          <w:lang w:val="en-US" w:eastAsia="zh-CN"/>
        </w:rPr>
        <w:t>单位人员社保基数的增加和追加拖欠中小企业账款费用</w:t>
      </w:r>
      <w:r>
        <w:rPr>
          <w:rFonts w:hint="eastAsia" w:ascii="Times New Roman" w:hAnsi="Times New Roman" w:cs="宋体"/>
          <w:kern w:val="0"/>
          <w:szCs w:val="32"/>
        </w:rPr>
        <w:t>。其中：财政拨款收入</w:t>
      </w:r>
      <w:r>
        <w:rPr>
          <w:rFonts w:hint="eastAsia" w:cs="宋体"/>
          <w:kern w:val="0"/>
          <w:szCs w:val="32"/>
          <w:lang w:val="en-US" w:eastAsia="zh-CN"/>
        </w:rPr>
        <w:t>571.19</w:t>
      </w:r>
      <w:r>
        <w:rPr>
          <w:rFonts w:hint="eastAsia" w:ascii="Times New Roman" w:hAnsi="Times New Roman" w:cs="宋体"/>
          <w:kern w:val="0"/>
          <w:szCs w:val="32"/>
        </w:rPr>
        <w:t>万元，占</w:t>
      </w:r>
      <w:r>
        <w:rPr>
          <w:rFonts w:hint="eastAsia" w:cs="宋体"/>
          <w:kern w:val="0"/>
          <w:szCs w:val="32"/>
          <w:lang w:val="en-US" w:eastAsia="zh-CN"/>
        </w:rPr>
        <w:t>100</w:t>
      </w:r>
      <w:r>
        <w:rPr>
          <w:rFonts w:hint="eastAsia" w:ascii="Times New Roman" w:hAnsi="Times New Roman" w:cs="宋体"/>
          <w:kern w:val="0"/>
          <w:szCs w:val="32"/>
        </w:rPr>
        <w:t>%</w:t>
      </w:r>
      <w:r>
        <w:rPr>
          <w:rFonts w:hint="eastAsia" w:cs="宋体"/>
          <w:kern w:val="0"/>
          <w:szCs w:val="32"/>
          <w:lang w:eastAsia="zh-CN"/>
        </w:rPr>
        <w:t>。</w:t>
      </w:r>
    </w:p>
    <w:p w14:paraId="7AF80923">
      <w:pPr>
        <w:spacing w:line="600" w:lineRule="exact"/>
        <w:ind w:firstLine="630" w:firstLineChars="196"/>
        <w:rPr>
          <w:rFonts w:hint="eastAsia" w:cs="宋体"/>
          <w:kern w:val="0"/>
          <w:szCs w:val="32"/>
          <w:lang w:val="en-US" w:eastAsia="zh-CN"/>
        </w:rPr>
      </w:pPr>
      <w:r>
        <w:rPr>
          <w:rFonts w:hint="eastAsia" w:ascii="Times New Roman" w:hAnsi="Times New Roman" w:cs="宋体"/>
          <w:b/>
          <w:bCs/>
          <w:kern w:val="0"/>
        </w:rPr>
        <w:t>3.支出情况。</w:t>
      </w:r>
      <w:r>
        <w:rPr>
          <w:rFonts w:hint="eastAsia" w:ascii="Times New Roman" w:hAnsi="Times New Roman" w:cs="宋体"/>
          <w:kern w:val="0"/>
          <w:szCs w:val="32"/>
        </w:rPr>
        <w:t>2024年度支出合计</w:t>
      </w:r>
      <w:r>
        <w:rPr>
          <w:rFonts w:hint="eastAsia" w:cs="宋体"/>
          <w:kern w:val="0"/>
          <w:szCs w:val="32"/>
          <w:lang w:val="en-US" w:eastAsia="zh-CN"/>
        </w:rPr>
        <w:t>571.19</w:t>
      </w:r>
      <w:r>
        <w:rPr>
          <w:rFonts w:hint="eastAsia" w:ascii="Times New Roman" w:hAnsi="Times New Roman" w:cs="宋体"/>
          <w:kern w:val="0"/>
          <w:szCs w:val="32"/>
        </w:rPr>
        <w:t>万元，较上年决算数增加</w:t>
      </w:r>
      <w:r>
        <w:rPr>
          <w:rFonts w:hint="eastAsia" w:cs="宋体"/>
          <w:kern w:val="0"/>
          <w:szCs w:val="32"/>
          <w:lang w:val="en-US" w:eastAsia="zh-CN"/>
        </w:rPr>
        <w:t>41.19</w:t>
      </w:r>
      <w:r>
        <w:rPr>
          <w:rFonts w:hint="eastAsia" w:ascii="Times New Roman" w:hAnsi="Times New Roman" w:cs="宋体"/>
          <w:kern w:val="0"/>
          <w:szCs w:val="32"/>
        </w:rPr>
        <w:t>万元，增长</w:t>
      </w:r>
      <w:r>
        <w:rPr>
          <w:rFonts w:hint="eastAsia" w:cs="宋体"/>
          <w:kern w:val="0"/>
          <w:szCs w:val="32"/>
          <w:lang w:val="en-US" w:eastAsia="zh-CN"/>
        </w:rPr>
        <w:t>7.8</w:t>
      </w:r>
      <w:r>
        <w:rPr>
          <w:rFonts w:hint="eastAsia" w:ascii="Times New Roman" w:hAnsi="Times New Roman" w:cs="宋体"/>
          <w:kern w:val="0"/>
          <w:szCs w:val="32"/>
        </w:rPr>
        <w:t>%，主要原因是</w:t>
      </w:r>
      <w:r>
        <w:rPr>
          <w:rFonts w:hint="eastAsia" w:cs="宋体"/>
          <w:kern w:val="0"/>
          <w:szCs w:val="32"/>
          <w:lang w:val="en-US" w:eastAsia="zh-CN"/>
        </w:rPr>
        <w:t>单位人员社保基数的增加和追加拖欠中小企业账款费用。</w:t>
      </w:r>
    </w:p>
    <w:p w14:paraId="1A1823B8">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4.结转结余情况。</w:t>
      </w:r>
      <w:r>
        <w:rPr>
          <w:rFonts w:hint="eastAsia" w:ascii="Times New Roman" w:hAnsi="Times New Roman" w:cs="宋体"/>
          <w:kern w:val="0"/>
          <w:szCs w:val="32"/>
        </w:rPr>
        <w:t>2024年度年末结转和结余0.00万元，较上年决算数无增减，主要原因是我单位</w:t>
      </w:r>
      <w:r>
        <w:rPr>
          <w:rFonts w:hint="eastAsia" w:cs="宋体"/>
          <w:kern w:val="0"/>
          <w:szCs w:val="32"/>
          <w:lang w:val="en-US" w:eastAsia="zh-CN"/>
        </w:rPr>
        <w:t>财政收入和支出相等</w:t>
      </w:r>
      <w:r>
        <w:rPr>
          <w:rFonts w:hint="eastAsia" w:ascii="Times New Roman" w:hAnsi="Times New Roman" w:cs="宋体"/>
          <w:kern w:val="0"/>
          <w:szCs w:val="32"/>
        </w:rPr>
        <w:t>，收支平衡。</w:t>
      </w:r>
    </w:p>
    <w:p w14:paraId="69BB1E12">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（二）财政拨款收入支出决算总体情况说明</w:t>
      </w:r>
    </w:p>
    <w:p w14:paraId="46D7D43A">
      <w:pPr>
        <w:spacing w:line="600" w:lineRule="exact"/>
        <w:ind w:firstLine="627" w:firstLineChars="196"/>
        <w:rPr>
          <w:rFonts w:hint="eastAsia" w:cs="宋体"/>
          <w:kern w:val="0"/>
          <w:szCs w:val="32"/>
          <w:lang w:val="en-US" w:eastAsia="zh-CN"/>
        </w:rPr>
      </w:pPr>
      <w:r>
        <w:rPr>
          <w:rFonts w:hint="eastAsia" w:ascii="Times New Roman" w:hAnsi="Times New Roman" w:cs="宋体"/>
          <w:kern w:val="0"/>
          <w:szCs w:val="32"/>
        </w:rPr>
        <w:t>2024年度财政拨款收、支总计</w:t>
      </w:r>
      <w:r>
        <w:rPr>
          <w:rFonts w:hint="eastAsia" w:cs="宋体"/>
          <w:kern w:val="0"/>
          <w:szCs w:val="32"/>
          <w:lang w:val="en-US" w:eastAsia="zh-CN"/>
        </w:rPr>
        <w:t>571.19</w:t>
      </w:r>
      <w:r>
        <w:rPr>
          <w:rFonts w:hint="eastAsia" w:ascii="Times New Roman" w:hAnsi="Times New Roman" w:cs="宋体"/>
          <w:kern w:val="0"/>
          <w:szCs w:val="32"/>
        </w:rPr>
        <w:t>万元。与2023年相比，财政拨款收、支总计各增加</w:t>
      </w:r>
      <w:r>
        <w:rPr>
          <w:rFonts w:hint="eastAsia" w:cs="宋体"/>
          <w:kern w:val="0"/>
          <w:szCs w:val="32"/>
          <w:lang w:val="en-US" w:eastAsia="zh-CN"/>
        </w:rPr>
        <w:t>41.19</w:t>
      </w:r>
      <w:r>
        <w:rPr>
          <w:rFonts w:hint="eastAsia" w:ascii="Times New Roman" w:hAnsi="Times New Roman" w:cs="宋体"/>
          <w:kern w:val="0"/>
          <w:szCs w:val="32"/>
        </w:rPr>
        <w:t>万元，增长</w:t>
      </w:r>
      <w:r>
        <w:rPr>
          <w:rFonts w:hint="eastAsia" w:cs="宋体"/>
          <w:kern w:val="0"/>
          <w:szCs w:val="32"/>
          <w:lang w:val="en-US" w:eastAsia="zh-CN"/>
        </w:rPr>
        <w:t>7.8</w:t>
      </w:r>
      <w:r>
        <w:rPr>
          <w:rFonts w:hint="eastAsia" w:ascii="Times New Roman" w:hAnsi="Times New Roman" w:cs="宋体"/>
          <w:kern w:val="0"/>
          <w:szCs w:val="32"/>
        </w:rPr>
        <w:t>%。主要原因是</w:t>
      </w:r>
      <w:r>
        <w:rPr>
          <w:rFonts w:hint="eastAsia" w:cs="宋体"/>
          <w:kern w:val="0"/>
          <w:szCs w:val="32"/>
          <w:lang w:val="en-US" w:eastAsia="zh-CN"/>
        </w:rPr>
        <w:t>单位人员社保基数的增加和追加拖欠中小企业账款费用。</w:t>
      </w:r>
    </w:p>
    <w:p w14:paraId="2928FC54">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（三）一般公共预算财政拨款支出决算情况说明</w:t>
      </w:r>
    </w:p>
    <w:p w14:paraId="6F0240ED">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1.收入情况。</w:t>
      </w:r>
      <w:r>
        <w:rPr>
          <w:rFonts w:hint="eastAsia" w:ascii="Times New Roman" w:hAnsi="Times New Roman" w:cs="宋体"/>
          <w:kern w:val="0"/>
          <w:szCs w:val="32"/>
        </w:rPr>
        <w:t>2024年度一般公共预算财政拨款收入</w:t>
      </w:r>
      <w:r>
        <w:rPr>
          <w:rFonts w:hint="eastAsia" w:cs="宋体"/>
          <w:kern w:val="0"/>
          <w:szCs w:val="32"/>
          <w:lang w:val="en-US" w:eastAsia="zh-CN"/>
        </w:rPr>
        <w:t>571.19</w:t>
      </w:r>
      <w:r>
        <w:rPr>
          <w:rFonts w:hint="eastAsia" w:ascii="Times New Roman" w:hAnsi="Times New Roman" w:cs="宋体"/>
          <w:kern w:val="0"/>
          <w:szCs w:val="32"/>
        </w:rPr>
        <w:t>万元，较上年决算数增加</w:t>
      </w:r>
      <w:r>
        <w:rPr>
          <w:rFonts w:hint="eastAsia" w:cs="宋体"/>
          <w:kern w:val="0"/>
          <w:szCs w:val="32"/>
          <w:lang w:val="en-US" w:eastAsia="zh-CN"/>
        </w:rPr>
        <w:t>41.19</w:t>
      </w:r>
      <w:r>
        <w:rPr>
          <w:rFonts w:hint="eastAsia" w:ascii="Times New Roman" w:hAnsi="Times New Roman" w:cs="宋体"/>
          <w:kern w:val="0"/>
          <w:szCs w:val="32"/>
        </w:rPr>
        <w:t>万元，增长</w:t>
      </w:r>
      <w:r>
        <w:rPr>
          <w:rFonts w:hint="eastAsia" w:cs="宋体"/>
          <w:kern w:val="0"/>
          <w:szCs w:val="32"/>
          <w:lang w:val="en-US" w:eastAsia="zh-CN"/>
        </w:rPr>
        <w:t>7.8</w:t>
      </w:r>
      <w:r>
        <w:rPr>
          <w:rFonts w:hint="eastAsia" w:ascii="Times New Roman" w:hAnsi="Times New Roman" w:cs="宋体"/>
          <w:kern w:val="0"/>
          <w:szCs w:val="32"/>
        </w:rPr>
        <w:t>%。主要原因是</w:t>
      </w:r>
      <w:r>
        <w:rPr>
          <w:rFonts w:hint="eastAsia" w:cs="宋体"/>
          <w:kern w:val="0"/>
          <w:szCs w:val="32"/>
          <w:lang w:val="en-US" w:eastAsia="zh-CN"/>
        </w:rPr>
        <w:t>单位人员社保基数的增加和追加拖欠中小企业账款费用</w:t>
      </w:r>
      <w:r>
        <w:rPr>
          <w:rFonts w:hint="eastAsia" w:ascii="Times New Roman" w:hAnsi="Times New Roman" w:cs="宋体"/>
          <w:kern w:val="0"/>
          <w:szCs w:val="32"/>
        </w:rPr>
        <w:t>。较年初预算数</w:t>
      </w:r>
      <w:r>
        <w:rPr>
          <w:rFonts w:hint="eastAsia" w:cs="宋体"/>
          <w:kern w:val="0"/>
          <w:szCs w:val="32"/>
          <w:lang w:val="en-US" w:eastAsia="zh-CN"/>
        </w:rPr>
        <w:t>增加41.19</w:t>
      </w:r>
      <w:r>
        <w:rPr>
          <w:rFonts w:hint="eastAsia" w:ascii="Times New Roman" w:hAnsi="Times New Roman" w:cs="宋体"/>
          <w:kern w:val="0"/>
          <w:szCs w:val="32"/>
        </w:rPr>
        <w:t>万元，</w:t>
      </w:r>
      <w:r>
        <w:rPr>
          <w:rFonts w:hint="eastAsia" w:cs="宋体"/>
          <w:kern w:val="0"/>
          <w:szCs w:val="32"/>
          <w:lang w:val="en-US" w:eastAsia="zh-CN"/>
        </w:rPr>
        <w:t>增长7.8</w:t>
      </w:r>
      <w:r>
        <w:rPr>
          <w:rFonts w:hint="eastAsia" w:ascii="Times New Roman" w:hAnsi="Times New Roman" w:cs="宋体"/>
          <w:kern w:val="0"/>
          <w:szCs w:val="32"/>
        </w:rPr>
        <w:t>%。主要原因是</w:t>
      </w:r>
      <w:r>
        <w:rPr>
          <w:rFonts w:hint="eastAsia" w:cs="宋体"/>
          <w:kern w:val="0"/>
          <w:szCs w:val="32"/>
          <w:lang w:val="en-US" w:eastAsia="zh-CN"/>
        </w:rPr>
        <w:t>人员社保基数的增加和追加拖欠中小企业账款费用</w:t>
      </w:r>
      <w:r>
        <w:rPr>
          <w:rFonts w:hint="eastAsia" w:ascii="Times New Roman" w:hAnsi="Times New Roman" w:cs="宋体"/>
          <w:kern w:val="0"/>
          <w:szCs w:val="32"/>
        </w:rPr>
        <w:t>。此外，年初财政拨款结转和结余</w:t>
      </w:r>
      <w:r>
        <w:rPr>
          <w:rFonts w:hint="eastAsia" w:cs="宋体"/>
          <w:kern w:val="0"/>
          <w:szCs w:val="32"/>
          <w:lang w:val="en-US" w:eastAsia="zh-CN"/>
        </w:rPr>
        <w:t>0</w:t>
      </w:r>
      <w:r>
        <w:rPr>
          <w:rFonts w:hint="eastAsia" w:ascii="Times New Roman" w:hAnsi="Times New Roman" w:cs="宋体"/>
          <w:kern w:val="0"/>
          <w:szCs w:val="32"/>
        </w:rPr>
        <w:t>万元。</w:t>
      </w:r>
    </w:p>
    <w:p w14:paraId="69584F61">
      <w:pPr>
        <w:spacing w:line="600" w:lineRule="exact"/>
        <w:ind w:firstLine="630" w:firstLineChars="196"/>
        <w:rPr>
          <w:rFonts w:hint="eastAsia" w:cs="宋体"/>
          <w:kern w:val="0"/>
          <w:szCs w:val="32"/>
          <w:lang w:val="en-US" w:eastAsia="zh-CN"/>
        </w:rPr>
      </w:pPr>
      <w:r>
        <w:rPr>
          <w:rFonts w:hint="eastAsia" w:ascii="Times New Roman" w:hAnsi="Times New Roman" w:cs="宋体"/>
          <w:b/>
          <w:bCs/>
          <w:kern w:val="0"/>
        </w:rPr>
        <w:t>2.支出情况。</w:t>
      </w:r>
      <w:r>
        <w:rPr>
          <w:rFonts w:hint="eastAsia" w:ascii="Times New Roman" w:hAnsi="Times New Roman" w:cs="宋体"/>
          <w:kern w:val="0"/>
          <w:szCs w:val="32"/>
        </w:rPr>
        <w:t>2024年度一般公共预算财政拨款支出</w:t>
      </w:r>
      <w:r>
        <w:rPr>
          <w:rFonts w:hint="eastAsia" w:cs="宋体"/>
          <w:kern w:val="0"/>
          <w:szCs w:val="32"/>
          <w:lang w:val="en-US" w:eastAsia="zh-CN"/>
        </w:rPr>
        <w:t>571.19</w:t>
      </w:r>
      <w:r>
        <w:rPr>
          <w:rFonts w:hint="eastAsia" w:ascii="Times New Roman" w:hAnsi="Times New Roman" w:cs="宋体"/>
          <w:kern w:val="0"/>
          <w:szCs w:val="32"/>
        </w:rPr>
        <w:t>万元，较上年决算数增加</w:t>
      </w:r>
      <w:r>
        <w:rPr>
          <w:rFonts w:hint="eastAsia" w:cs="宋体"/>
          <w:kern w:val="0"/>
          <w:szCs w:val="32"/>
          <w:lang w:val="en-US" w:eastAsia="zh-CN"/>
        </w:rPr>
        <w:t>41.19</w:t>
      </w:r>
      <w:r>
        <w:rPr>
          <w:rFonts w:hint="eastAsia" w:ascii="Times New Roman" w:hAnsi="Times New Roman" w:cs="宋体"/>
          <w:kern w:val="0"/>
          <w:szCs w:val="32"/>
        </w:rPr>
        <w:t>万元，增长</w:t>
      </w:r>
      <w:r>
        <w:rPr>
          <w:rFonts w:hint="eastAsia" w:cs="宋体"/>
          <w:kern w:val="0"/>
          <w:szCs w:val="32"/>
          <w:lang w:val="en-US" w:eastAsia="zh-CN"/>
        </w:rPr>
        <w:t>7.8</w:t>
      </w:r>
      <w:r>
        <w:rPr>
          <w:rFonts w:hint="eastAsia" w:ascii="Times New Roman" w:hAnsi="Times New Roman" w:cs="宋体"/>
          <w:kern w:val="0"/>
          <w:szCs w:val="32"/>
        </w:rPr>
        <w:t>%。主要原因是</w:t>
      </w:r>
      <w:r>
        <w:rPr>
          <w:rFonts w:hint="eastAsia" w:cs="宋体"/>
          <w:kern w:val="0"/>
          <w:szCs w:val="32"/>
          <w:lang w:val="en-US" w:eastAsia="zh-CN"/>
        </w:rPr>
        <w:t>人员社保基数的增加和追加拖欠中小企业账款费用</w:t>
      </w:r>
      <w:r>
        <w:rPr>
          <w:rFonts w:hint="eastAsia" w:ascii="Times New Roman" w:hAnsi="Times New Roman" w:cs="宋体"/>
          <w:kern w:val="0"/>
          <w:szCs w:val="32"/>
        </w:rPr>
        <w:t>。较年初预算数</w:t>
      </w:r>
      <w:r>
        <w:rPr>
          <w:rFonts w:hint="eastAsia" w:cs="宋体"/>
          <w:kern w:val="0"/>
          <w:szCs w:val="32"/>
          <w:lang w:val="en-US" w:eastAsia="zh-CN"/>
        </w:rPr>
        <w:t>增加41.19</w:t>
      </w:r>
      <w:r>
        <w:rPr>
          <w:rFonts w:hint="eastAsia" w:ascii="Times New Roman" w:hAnsi="Times New Roman" w:cs="宋体"/>
          <w:kern w:val="0"/>
          <w:szCs w:val="32"/>
        </w:rPr>
        <w:t>万元，</w:t>
      </w:r>
      <w:r>
        <w:rPr>
          <w:rFonts w:hint="eastAsia" w:cs="宋体"/>
          <w:kern w:val="0"/>
          <w:szCs w:val="32"/>
          <w:lang w:val="en-US" w:eastAsia="zh-CN"/>
        </w:rPr>
        <w:t>增长7.8</w:t>
      </w:r>
      <w:r>
        <w:rPr>
          <w:rFonts w:hint="eastAsia" w:ascii="Times New Roman" w:hAnsi="Times New Roman" w:cs="宋体"/>
          <w:kern w:val="0"/>
          <w:szCs w:val="32"/>
        </w:rPr>
        <w:t>%。主要原因是</w:t>
      </w:r>
      <w:r>
        <w:rPr>
          <w:rFonts w:hint="eastAsia" w:cs="宋体"/>
          <w:kern w:val="0"/>
          <w:szCs w:val="32"/>
          <w:lang w:val="en-US" w:eastAsia="zh-CN"/>
        </w:rPr>
        <w:t>人员社保基数的增加和追加拖欠中小企业账款费用。</w:t>
      </w:r>
    </w:p>
    <w:p w14:paraId="6FB14685">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3.结转结余情况。</w:t>
      </w:r>
      <w:r>
        <w:rPr>
          <w:rFonts w:hint="eastAsia" w:ascii="Times New Roman" w:hAnsi="Times New Roman" w:cs="宋体"/>
          <w:kern w:val="0"/>
          <w:szCs w:val="32"/>
        </w:rPr>
        <w:t>2024年度年末一般公共预算财政拨款结转和结余0.00万元，较上年决算数无增减，主要原因是我单位是财政</w:t>
      </w:r>
      <w:r>
        <w:rPr>
          <w:rFonts w:hint="eastAsia" w:cs="宋体"/>
          <w:kern w:val="0"/>
          <w:szCs w:val="32"/>
          <w:lang w:val="en-US" w:eastAsia="zh-CN"/>
        </w:rPr>
        <w:t>收入和支出相等</w:t>
      </w:r>
      <w:r>
        <w:rPr>
          <w:rFonts w:hint="eastAsia" w:ascii="Times New Roman" w:hAnsi="Times New Roman" w:cs="宋体"/>
          <w:kern w:val="0"/>
          <w:szCs w:val="32"/>
        </w:rPr>
        <w:t>，收支平衡。</w:t>
      </w:r>
    </w:p>
    <w:p w14:paraId="4AF90D11">
      <w:pPr>
        <w:spacing w:line="600" w:lineRule="exact"/>
        <w:ind w:firstLine="643" w:firstLineChars="200"/>
        <w:rPr>
          <w:rFonts w:hint="eastAsia" w:ascii="Times New Roman" w:hAnsi="Times New Roman" w:cs="宋体"/>
          <w:kern w:val="0"/>
          <w:szCs w:val="32"/>
        </w:rPr>
      </w:pPr>
      <w:r>
        <w:rPr>
          <w:rFonts w:hint="eastAsia" w:ascii="Times New Roman" w:hAnsi="Times New Roman" w:cs="宋体"/>
          <w:b/>
          <w:bCs/>
          <w:kern w:val="0"/>
        </w:rPr>
        <w:t>4.比较情况</w:t>
      </w:r>
      <w:r>
        <w:rPr>
          <w:rFonts w:hint="eastAsia" w:ascii="Times New Roman" w:hAnsi="Times New Roman" w:cs="宋体"/>
          <w:kern w:val="0"/>
          <w:szCs w:val="32"/>
        </w:rPr>
        <w:t>。本单位202</w:t>
      </w:r>
      <w:r>
        <w:rPr>
          <w:rFonts w:hint="eastAsia" w:cs="宋体"/>
          <w:kern w:val="0"/>
          <w:szCs w:val="32"/>
          <w:lang w:val="en-US" w:eastAsia="zh-CN"/>
        </w:rPr>
        <w:t>4</w:t>
      </w:r>
      <w:r>
        <w:rPr>
          <w:rFonts w:hint="eastAsia" w:ascii="Times New Roman" w:hAnsi="Times New Roman" w:cs="宋体"/>
          <w:kern w:val="0"/>
          <w:szCs w:val="32"/>
        </w:rPr>
        <w:t>年度一般公共预算财政拨款支出主要用于公共安全支出，公共安全全年支出</w:t>
      </w:r>
      <w:r>
        <w:rPr>
          <w:rFonts w:hint="eastAsia" w:cs="宋体"/>
          <w:kern w:val="0"/>
          <w:szCs w:val="32"/>
          <w:lang w:val="en-US" w:eastAsia="zh-CN"/>
        </w:rPr>
        <w:t>571.19</w:t>
      </w:r>
      <w:r>
        <w:rPr>
          <w:rFonts w:hint="eastAsia" w:ascii="Times New Roman" w:hAnsi="Times New Roman" w:cs="宋体"/>
          <w:kern w:val="0"/>
          <w:szCs w:val="32"/>
        </w:rPr>
        <w:t>万元，占100.00%，较年初预算</w:t>
      </w:r>
      <w:r>
        <w:rPr>
          <w:rFonts w:hint="eastAsia" w:cs="宋体"/>
          <w:kern w:val="0"/>
          <w:szCs w:val="32"/>
          <w:lang w:val="en-US" w:eastAsia="zh-CN"/>
        </w:rPr>
        <w:t>数增加41.19万元</w:t>
      </w:r>
      <w:r>
        <w:rPr>
          <w:rFonts w:hint="eastAsia" w:ascii="Times New Roman" w:hAnsi="Times New Roman" w:cs="宋体"/>
          <w:kern w:val="0"/>
          <w:szCs w:val="32"/>
        </w:rPr>
        <w:t>，主要原因是</w:t>
      </w:r>
      <w:r>
        <w:rPr>
          <w:rFonts w:hint="eastAsia" w:cs="宋体"/>
          <w:kern w:val="0"/>
          <w:szCs w:val="32"/>
          <w:lang w:val="en-US" w:eastAsia="zh-CN"/>
        </w:rPr>
        <w:t>人员社保基数的增加和追加拖欠中小企业账款费用。</w:t>
      </w:r>
    </w:p>
    <w:p w14:paraId="7F04EB7F">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（四）一般公共预算财政拨款基本支出决算情况说明</w:t>
      </w:r>
    </w:p>
    <w:p w14:paraId="7EABF0FC">
      <w:pPr>
        <w:pStyle w:val="2"/>
        <w:snapToGrid w:val="0"/>
        <w:spacing w:before="0" w:beforeAutospacing="0" w:after="0" w:afterAutospacing="0" w:line="600" w:lineRule="exact"/>
        <w:ind w:firstLine="640" w:firstLineChars="200"/>
        <w:jc w:val="both"/>
        <w:rPr>
          <w:rFonts w:hint="default" w:ascii="方正仿宋_GBK" w:eastAsia="方正仿宋_GBK" w:cs="宋体"/>
          <w:sz w:val="32"/>
          <w:szCs w:val="32"/>
          <w:lang w:val="en-US" w:eastAsia="zh-CN"/>
        </w:rPr>
      </w:pPr>
      <w:r>
        <w:rPr>
          <w:rFonts w:hint="eastAsia" w:ascii="Times New Roman" w:hAnsi="Times New Roman" w:cs="宋体"/>
          <w:kern w:val="0"/>
          <w:szCs w:val="32"/>
        </w:rPr>
        <w:t>2024年度一般公共财政拨款基本支出</w:t>
      </w:r>
      <w:r>
        <w:rPr>
          <w:rFonts w:hint="eastAsia" w:cs="宋体"/>
          <w:kern w:val="0"/>
          <w:szCs w:val="32"/>
          <w:lang w:val="en-US" w:eastAsia="zh-CN"/>
        </w:rPr>
        <w:t>333.11</w:t>
      </w:r>
      <w:r>
        <w:rPr>
          <w:rFonts w:hint="eastAsia" w:ascii="Times New Roman" w:hAnsi="Times New Roman" w:cs="宋体"/>
          <w:kern w:val="0"/>
          <w:szCs w:val="32"/>
        </w:rPr>
        <w:t>万元。其中：人员经费</w:t>
      </w:r>
      <w:r>
        <w:rPr>
          <w:rFonts w:hint="eastAsia" w:cs="宋体"/>
          <w:kern w:val="0"/>
          <w:szCs w:val="32"/>
          <w:lang w:val="en-US" w:eastAsia="zh-CN"/>
        </w:rPr>
        <w:t>280.31</w:t>
      </w:r>
      <w:r>
        <w:rPr>
          <w:rFonts w:hint="eastAsia" w:ascii="Times New Roman" w:hAnsi="Times New Roman" w:cs="宋体"/>
          <w:kern w:val="0"/>
          <w:szCs w:val="32"/>
        </w:rPr>
        <w:t>万元，较上年决算数增加</w:t>
      </w:r>
      <w:r>
        <w:rPr>
          <w:rFonts w:hint="eastAsia" w:cs="宋体"/>
          <w:kern w:val="0"/>
          <w:szCs w:val="32"/>
          <w:lang w:val="en-US" w:eastAsia="zh-CN"/>
        </w:rPr>
        <w:t>280.31</w:t>
      </w:r>
      <w:r>
        <w:rPr>
          <w:rFonts w:hint="eastAsia" w:ascii="Times New Roman" w:hAnsi="Times New Roman" w:cs="宋体"/>
          <w:kern w:val="0"/>
          <w:szCs w:val="32"/>
        </w:rPr>
        <w:t>万元，增长</w:t>
      </w:r>
      <w:r>
        <w:rPr>
          <w:rFonts w:hint="eastAsia" w:cs="宋体"/>
          <w:kern w:val="0"/>
          <w:szCs w:val="32"/>
          <w:lang w:val="en-US" w:eastAsia="zh-CN"/>
        </w:rPr>
        <w:t>100</w:t>
      </w:r>
      <w:r>
        <w:rPr>
          <w:rFonts w:hint="eastAsia" w:ascii="Times New Roman" w:hAnsi="Times New Roman" w:cs="宋体"/>
          <w:kern w:val="0"/>
          <w:szCs w:val="32"/>
        </w:rPr>
        <w:t>%，主要原因是</w:t>
      </w:r>
      <w:r>
        <w:rPr>
          <w:rFonts w:hint="eastAsia" w:cs="宋体"/>
          <w:kern w:val="0"/>
          <w:szCs w:val="32"/>
          <w:lang w:val="en-US" w:eastAsia="zh-CN"/>
        </w:rPr>
        <w:t>2023年我单位年初预算为项目预算，支出均为项目支出，无基本支出</w:t>
      </w:r>
      <w:r>
        <w:rPr>
          <w:rFonts w:hint="eastAsia" w:ascii="Times New Roman" w:hAnsi="Times New Roman" w:cs="宋体"/>
          <w:kern w:val="0"/>
          <w:szCs w:val="32"/>
        </w:rPr>
        <w:t>。人员经费用途主要</w:t>
      </w:r>
      <w:r>
        <w:rPr>
          <w:rFonts w:ascii="方正仿宋_GBK" w:hAnsi="方正仿宋_GBK" w:eastAsia="方正仿宋_GBK" w:cs="方正仿宋_GBK"/>
          <w:sz w:val="32"/>
          <w:szCs w:val="32"/>
          <w:shd w:val="clear" w:color="auto" w:fill="FFFFFF"/>
        </w:rPr>
        <w:t>包括</w:t>
      </w:r>
      <w:r>
        <w:rPr>
          <w:rFonts w:ascii="Times New Roman" w:hAnsi="Times New Roman" w:eastAsia="方正仿宋_GBK"/>
          <w:kern w:val="2"/>
          <w:sz w:val="32"/>
          <w:szCs w:val="32"/>
        </w:rPr>
        <w:t>基本工资、津贴补贴、奖金、社会保障缴费、住房公积金等</w:t>
      </w:r>
      <w:r>
        <w:rPr>
          <w:rFonts w:hint="eastAsia" w:ascii="Times New Roman" w:hAnsi="Times New Roman" w:cs="宋体"/>
          <w:kern w:val="0"/>
          <w:szCs w:val="32"/>
        </w:rPr>
        <w:t>。公用经费</w:t>
      </w:r>
      <w:r>
        <w:rPr>
          <w:rFonts w:hint="eastAsia" w:cs="宋体"/>
          <w:kern w:val="0"/>
          <w:szCs w:val="32"/>
          <w:lang w:val="en-US" w:eastAsia="zh-CN"/>
        </w:rPr>
        <w:t>52.8</w:t>
      </w:r>
      <w:r>
        <w:rPr>
          <w:rFonts w:hint="eastAsia" w:ascii="Times New Roman" w:hAnsi="Times New Roman" w:cs="宋体"/>
          <w:kern w:val="0"/>
          <w:szCs w:val="32"/>
        </w:rPr>
        <w:t>万元，较上年决算数</w:t>
      </w:r>
      <w:r>
        <w:rPr>
          <w:rFonts w:hint="eastAsia" w:cs="宋体"/>
          <w:kern w:val="0"/>
          <w:szCs w:val="32"/>
          <w:lang w:val="en-US" w:eastAsia="zh-CN"/>
        </w:rPr>
        <w:t>增加52.8</w:t>
      </w:r>
      <w:r>
        <w:rPr>
          <w:rFonts w:hint="eastAsia" w:ascii="Times New Roman" w:hAnsi="Times New Roman" w:cs="宋体"/>
          <w:kern w:val="0"/>
          <w:szCs w:val="32"/>
        </w:rPr>
        <w:t>万元，</w:t>
      </w:r>
      <w:r>
        <w:rPr>
          <w:rFonts w:hint="eastAsia" w:cs="宋体"/>
          <w:kern w:val="0"/>
          <w:szCs w:val="32"/>
          <w:lang w:val="en-US" w:eastAsia="zh-CN"/>
        </w:rPr>
        <w:t>增长100</w:t>
      </w:r>
      <w:r>
        <w:rPr>
          <w:rFonts w:hint="eastAsia" w:ascii="Times New Roman" w:hAnsi="Times New Roman" w:cs="宋体"/>
          <w:kern w:val="0"/>
          <w:szCs w:val="32"/>
        </w:rPr>
        <w:t>%，主要原因是</w:t>
      </w:r>
      <w:r>
        <w:rPr>
          <w:rFonts w:hint="eastAsia" w:cs="宋体"/>
          <w:kern w:val="0"/>
          <w:szCs w:val="32"/>
          <w:lang w:val="en-US" w:eastAsia="zh-CN"/>
        </w:rPr>
        <w:t>2023年我单位年初预算为项目预算，支出均为项目支出，无基本支出</w:t>
      </w:r>
      <w:r>
        <w:rPr>
          <w:rFonts w:hint="eastAsia" w:ascii="Times New Roman" w:hAnsi="Times New Roman" w:cs="宋体"/>
          <w:kern w:val="0"/>
          <w:szCs w:val="32"/>
        </w:rPr>
        <w:t>。公用经费用途主要包括</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kern w:val="2"/>
          <w:sz w:val="32"/>
          <w:szCs w:val="32"/>
        </w:rPr>
        <w:t>办公费、工会经费、印刷费等</w:t>
      </w:r>
      <w:r>
        <w:rPr>
          <w:rFonts w:ascii="方正仿宋_GBK" w:eastAsia="方正仿宋_GBK" w:cs="宋体"/>
          <w:sz w:val="32"/>
          <w:szCs w:val="32"/>
        </w:rPr>
        <w:t>。</w:t>
      </w:r>
      <w:r>
        <w:rPr>
          <w:rFonts w:hint="eastAsia" w:ascii="方正仿宋_GBK" w:cs="宋体"/>
          <w:sz w:val="32"/>
          <w:szCs w:val="32"/>
          <w:lang w:val="en-US" w:eastAsia="zh-CN"/>
        </w:rPr>
        <w:t>项目经费238.08万元。</w:t>
      </w:r>
    </w:p>
    <w:p w14:paraId="1A15EB6E">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（五）政府性基金预算收支决算情况说明</w:t>
      </w:r>
    </w:p>
    <w:p w14:paraId="2F7AAEE3">
      <w:pPr>
        <w:spacing w:line="600" w:lineRule="exact"/>
        <w:ind w:firstLine="640" w:firstLineChars="200"/>
        <w:rPr>
          <w:rFonts w:hint="eastAsia" w:ascii="Times New Roman" w:hAnsi="Times New Roman" w:cs="宋体"/>
          <w:b/>
          <w:bCs/>
          <w:kern w:val="0"/>
        </w:rPr>
      </w:pPr>
      <w:r>
        <w:rPr>
          <w:rFonts w:hint="eastAsia" w:ascii="Times New Roman" w:hAnsi="Times New Roman" w:cs="宋体"/>
          <w:b w:val="0"/>
          <w:bCs w:val="0"/>
          <w:kern w:val="0"/>
        </w:rPr>
        <w:t>本单位202</w:t>
      </w:r>
      <w:r>
        <w:rPr>
          <w:rFonts w:hint="eastAsia" w:cs="宋体"/>
          <w:b w:val="0"/>
          <w:bCs w:val="0"/>
          <w:kern w:val="0"/>
          <w:lang w:val="en-US" w:eastAsia="zh-CN"/>
        </w:rPr>
        <w:t>4</w:t>
      </w:r>
      <w:r>
        <w:rPr>
          <w:rFonts w:hint="eastAsia" w:ascii="Times New Roman" w:hAnsi="Times New Roman" w:cs="宋体"/>
          <w:b w:val="0"/>
          <w:bCs w:val="0"/>
          <w:kern w:val="0"/>
        </w:rPr>
        <w:t>年度无政府性基金预算财政拨款支出。</w:t>
      </w:r>
    </w:p>
    <w:p w14:paraId="3A0662AD">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（六）国有资本经营预算财政拨款支出决算情况说明</w:t>
      </w:r>
    </w:p>
    <w:p w14:paraId="0D3F7A5E">
      <w:pPr>
        <w:spacing w:line="600" w:lineRule="exact"/>
        <w:ind w:firstLine="640" w:firstLineChars="200"/>
        <w:rPr>
          <w:rFonts w:ascii="Times New Roman" w:hAnsi="Times New Roman" w:cs="宋体"/>
          <w:kern w:val="0"/>
          <w:szCs w:val="32"/>
        </w:rPr>
      </w:pPr>
      <w:r>
        <w:rPr>
          <w:rFonts w:ascii="Times New Roman" w:hAnsi="Times New Roman" w:cs="宋体"/>
          <w:kern w:val="0"/>
          <w:szCs w:val="32"/>
        </w:rPr>
        <w:t>本单位202</w:t>
      </w:r>
      <w:r>
        <w:rPr>
          <w:rFonts w:hint="eastAsia" w:cs="宋体"/>
          <w:kern w:val="0"/>
          <w:szCs w:val="32"/>
          <w:lang w:val="en-US" w:eastAsia="zh-CN"/>
        </w:rPr>
        <w:t>4</w:t>
      </w:r>
      <w:r>
        <w:rPr>
          <w:rFonts w:ascii="Times New Roman" w:hAnsi="Times New Roman" w:cs="宋体"/>
          <w:kern w:val="0"/>
          <w:szCs w:val="32"/>
        </w:rPr>
        <w:t>年度无国有资本经营预算财政拨款支出。</w:t>
      </w:r>
    </w:p>
    <w:p w14:paraId="7C202B9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三、“三公”经费情况说明</w:t>
      </w:r>
    </w:p>
    <w:p w14:paraId="25186FE5">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我单位属于九龙坡区司法局下属二级</w:t>
      </w:r>
      <w:r>
        <w:rPr>
          <w:rFonts w:hint="eastAsia" w:cs="宋体"/>
          <w:kern w:val="0"/>
          <w:szCs w:val="32"/>
          <w:lang w:val="en-US" w:eastAsia="zh-CN"/>
        </w:rPr>
        <w:t>自收自支事业</w:t>
      </w:r>
      <w:r>
        <w:rPr>
          <w:rFonts w:hint="eastAsia" w:ascii="Times New Roman" w:hAnsi="Times New Roman" w:cs="宋体"/>
          <w:kern w:val="0"/>
          <w:szCs w:val="32"/>
        </w:rPr>
        <w:t>单位，财政未保障我单位“三公”经费。</w:t>
      </w:r>
    </w:p>
    <w:p w14:paraId="6E3AD8CC">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四、其他需要说明的事项</w:t>
      </w:r>
    </w:p>
    <w:p w14:paraId="0D996057">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（一）一般公共预算财政拨款会议费和培训费情况说明</w:t>
      </w:r>
    </w:p>
    <w:p w14:paraId="12930CF8">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因</w:t>
      </w:r>
      <w:r>
        <w:rPr>
          <w:rFonts w:ascii="方正仿宋_GBK" w:hAnsi="方正仿宋_GBK" w:eastAsia="方正仿宋_GBK" w:cs="方正仿宋_GBK"/>
          <w:sz w:val="32"/>
          <w:szCs w:val="32"/>
        </w:rPr>
        <w:t>我单位是自收自支</w:t>
      </w:r>
      <w:r>
        <w:rPr>
          <w:rFonts w:hint="eastAsia" w:ascii="方正仿宋_GBK" w:hAnsi="方正仿宋_GBK" w:cs="方正仿宋_GBK"/>
          <w:sz w:val="32"/>
          <w:szCs w:val="32"/>
          <w:lang w:val="en-US" w:eastAsia="zh-CN"/>
        </w:rPr>
        <w:t>事业</w:t>
      </w:r>
      <w:bookmarkStart w:id="0" w:name="_GoBack"/>
      <w:bookmarkEnd w:id="0"/>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，财政未保障我单位会议费和培训费。</w:t>
      </w:r>
    </w:p>
    <w:p w14:paraId="0F3B713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（二）机关运行经费情况说明</w:t>
      </w:r>
    </w:p>
    <w:p w14:paraId="3452C5DD">
      <w:pPr>
        <w:spacing w:line="560" w:lineRule="exact"/>
        <w:ind w:firstLine="640" w:firstLineChars="200"/>
        <w:rPr>
          <w:rFonts w:hint="default" w:ascii="方正仿宋_GBK" w:eastAsia="方正仿宋_GBK" w:cs="宋体"/>
          <w:sz w:val="32"/>
          <w:szCs w:val="32"/>
        </w:rPr>
      </w:pPr>
      <w:r>
        <w:rPr>
          <w:rFonts w:ascii="方正仿宋_GBK" w:eastAsia="方正仿宋_GBK" w:cs="宋体"/>
          <w:sz w:val="32"/>
          <w:szCs w:val="32"/>
        </w:rPr>
        <w:t>按照部门决算列报口径，我单位不在机关运行经费统计范围之内。</w:t>
      </w:r>
    </w:p>
    <w:p w14:paraId="482F7A8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（三）国有资产占用情况说明</w:t>
      </w:r>
    </w:p>
    <w:p w14:paraId="01DD8797">
      <w:pPr>
        <w:spacing w:line="600" w:lineRule="exact"/>
        <w:ind w:firstLine="640" w:firstLineChars="200"/>
        <w:rPr>
          <w:rFonts w:hint="eastAsia" w:ascii="方正仿宋_GBK"/>
          <w:sz w:val="32"/>
          <w:szCs w:val="32"/>
          <w:lang w:eastAsia="zh-CN"/>
        </w:rPr>
      </w:pPr>
      <w:r>
        <w:rPr>
          <w:rFonts w:hint="eastAsia" w:ascii="方正仿宋_GBK" w:eastAsia="方正仿宋_GBK"/>
          <w:sz w:val="32"/>
          <w:szCs w:val="32"/>
        </w:rPr>
        <w:t>因</w:t>
      </w:r>
      <w:r>
        <w:rPr>
          <w:rFonts w:hint="eastAsia" w:ascii="方正仿宋_GBK"/>
          <w:sz w:val="32"/>
          <w:szCs w:val="32"/>
          <w:lang w:val="en-US" w:eastAsia="zh-CN"/>
        </w:rPr>
        <w:t>我单位是自收自支事业单位</w:t>
      </w:r>
      <w:r>
        <w:rPr>
          <w:rFonts w:hint="eastAsia" w:ascii="方正仿宋_GBK" w:eastAsia="方正仿宋_GBK"/>
          <w:sz w:val="32"/>
          <w:szCs w:val="32"/>
        </w:rPr>
        <w:t>，我单位资产未纳入单位决算报表</w:t>
      </w:r>
      <w:r>
        <w:rPr>
          <w:rFonts w:hint="eastAsia" w:ascii="方正仿宋_GBK"/>
          <w:sz w:val="32"/>
          <w:szCs w:val="32"/>
          <w:lang w:eastAsia="zh-CN"/>
        </w:rPr>
        <w:t>。</w:t>
      </w:r>
    </w:p>
    <w:p w14:paraId="48E9EAC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（四）政府采购支出情况说明</w:t>
      </w:r>
    </w:p>
    <w:p w14:paraId="5A7E5552">
      <w:pPr>
        <w:ind w:firstLine="640" w:firstLineChars="200"/>
        <w:rPr>
          <w:rFonts w:hint="eastAsia" w:ascii="方正仿宋_GBK" w:eastAsia="方正仿宋_GBK"/>
          <w:sz w:val="32"/>
          <w:szCs w:val="32"/>
        </w:rPr>
      </w:pPr>
      <w:r>
        <w:rPr>
          <w:rFonts w:hint="eastAsia" w:ascii="方正仿宋_GBK" w:eastAsia="方正仿宋_GBK"/>
          <w:sz w:val="32"/>
          <w:szCs w:val="32"/>
        </w:rPr>
        <w:t>2024年度我单位未发生政府采购事项，无相关经费支出。</w:t>
      </w:r>
    </w:p>
    <w:p w14:paraId="3AD2CE35">
      <w:pPr>
        <w:numPr>
          <w:ilvl w:val="0"/>
          <w:numId w:val="1"/>
        </w:numPr>
        <w:spacing w:line="600" w:lineRule="exact"/>
        <w:ind w:firstLine="640" w:firstLineChars="200"/>
        <w:rPr>
          <w:rFonts w:hint="eastAsia" w:eastAsia="方正黑体_GBK" w:cs="宋体"/>
          <w:bCs/>
          <w:kern w:val="0"/>
        </w:rPr>
      </w:pPr>
      <w:r>
        <w:rPr>
          <w:rFonts w:hint="eastAsia" w:eastAsia="方正黑体_GBK" w:cs="宋体"/>
          <w:bCs/>
          <w:kern w:val="0"/>
        </w:rPr>
        <w:t>预算绩效管理情况说明</w:t>
      </w:r>
    </w:p>
    <w:p w14:paraId="039F3251">
      <w:pPr>
        <w:tabs>
          <w:tab w:val="center" w:pos="4153"/>
          <w:tab w:val="left" w:pos="7275"/>
        </w:tabs>
        <w:spacing w:line="600" w:lineRule="exact"/>
        <w:ind w:firstLine="640" w:firstLineChars="200"/>
        <w:rPr>
          <w:rFonts w:hint="eastAsia" w:cs="宋体"/>
          <w:kern w:val="0"/>
          <w:szCs w:val="32"/>
        </w:rPr>
      </w:pPr>
      <w:r>
        <w:rPr>
          <w:rFonts w:hint="eastAsia" w:cs="宋体"/>
          <w:kern w:val="0"/>
          <w:szCs w:val="32"/>
        </w:rPr>
        <w:t>根据预算绩效管理要求，我单位对</w:t>
      </w:r>
      <w:r>
        <w:rPr>
          <w:rFonts w:hint="eastAsia" w:cs="宋体"/>
          <w:kern w:val="0"/>
          <w:szCs w:val="32"/>
          <w:lang w:val="en-US" w:eastAsia="zh-CN"/>
        </w:rPr>
        <w:t>1</w:t>
      </w:r>
      <w:r>
        <w:rPr>
          <w:rFonts w:hint="eastAsia" w:cs="宋体"/>
          <w:kern w:val="0"/>
          <w:szCs w:val="32"/>
        </w:rPr>
        <w:t>个项目开展了绩效自评，其中，以填报目标自评表形式开展自评</w:t>
      </w:r>
      <w:r>
        <w:rPr>
          <w:rFonts w:hint="eastAsia" w:cs="宋体"/>
          <w:kern w:val="0"/>
          <w:szCs w:val="32"/>
          <w:lang w:val="en-US" w:eastAsia="zh-CN"/>
        </w:rPr>
        <w:t>1</w:t>
      </w:r>
      <w:r>
        <w:rPr>
          <w:rFonts w:hint="eastAsia" w:cs="宋体"/>
          <w:kern w:val="0"/>
          <w:szCs w:val="32"/>
        </w:rPr>
        <w:t>项，涉及资金</w:t>
      </w:r>
      <w:r>
        <w:rPr>
          <w:rFonts w:hint="eastAsia" w:cs="宋体"/>
          <w:kern w:val="0"/>
          <w:szCs w:val="32"/>
          <w:lang w:val="en-US" w:eastAsia="zh-CN"/>
        </w:rPr>
        <w:t>238.08</w:t>
      </w:r>
      <w:r>
        <w:rPr>
          <w:rFonts w:hint="eastAsia" w:cs="宋体"/>
          <w:kern w:val="0"/>
          <w:szCs w:val="32"/>
        </w:rPr>
        <w:t>万元；以委托第三方形式开展绩效自评0项，涉及资金0万元，从评价情况来看，项目</w:t>
      </w:r>
      <w:r>
        <w:rPr>
          <w:rFonts w:hint="eastAsia" w:cs="宋体"/>
          <w:kern w:val="0"/>
          <w:szCs w:val="32"/>
          <w:lang w:val="en-US" w:eastAsia="zh-CN"/>
        </w:rPr>
        <w:t>完成情况不太理想，部分任务未完成，主要原因是受大环境影响，公证服务需求下降</w:t>
      </w:r>
      <w:r>
        <w:rPr>
          <w:rFonts w:hint="eastAsia" w:cs="宋体"/>
          <w:kern w:val="0"/>
          <w:szCs w:val="32"/>
        </w:rPr>
        <w:t>。</w:t>
      </w:r>
    </w:p>
    <w:p w14:paraId="45DEE05C">
      <w:pPr>
        <w:tabs>
          <w:tab w:val="center" w:pos="4153"/>
          <w:tab w:val="left" w:pos="7275"/>
        </w:tabs>
        <w:spacing w:line="600" w:lineRule="exact"/>
        <w:rPr>
          <w:rFonts w:hint="eastAsia" w:cs="宋体"/>
          <w:kern w:val="0"/>
          <w:szCs w:val="32"/>
        </w:rPr>
      </w:pPr>
    </w:p>
    <w:p w14:paraId="15FA16DB">
      <w:pPr>
        <w:widowControl/>
        <w:jc w:val="center"/>
        <w:textAlignment w:val="center"/>
        <w:rPr>
          <w:rFonts w:hint="eastAsia" w:cs="宋体"/>
          <w:kern w:val="0"/>
          <w:szCs w:val="32"/>
        </w:rPr>
      </w:pPr>
      <w:r>
        <w:rPr>
          <w:rFonts w:hint="eastAsia" w:ascii="方正小标宋_GBK" w:hAnsi="方正小标宋_GBK" w:eastAsia="方正小标宋_GBK" w:cs="方正小标宋_GBK"/>
          <w:color w:val="000000"/>
          <w:kern w:val="0"/>
          <w:sz w:val="32"/>
          <w:szCs w:val="32"/>
          <w:lang w:val="en-US" w:eastAsia="zh-CN"/>
        </w:rPr>
        <w:t>重庆市九龙坡公证处</w:t>
      </w:r>
      <w:r>
        <w:rPr>
          <w:rFonts w:hint="eastAsia" w:ascii="方正小标宋_GBK" w:hAnsi="方正小标宋_GBK" w:eastAsia="方正小标宋_GBK" w:cs="方正小标宋_GBK"/>
          <w:color w:val="000000"/>
          <w:kern w:val="0"/>
          <w:sz w:val="32"/>
          <w:szCs w:val="32"/>
        </w:rPr>
        <w:t>2024年度项目支出绩效自</w:t>
      </w:r>
      <w:r>
        <w:rPr>
          <w:rFonts w:hint="eastAsia" w:ascii="方正小标宋_GBK" w:hAnsi="方正小标宋_GBK" w:eastAsia="方正小标宋_GBK" w:cs="方正小标宋_GBK"/>
          <w:color w:val="000000"/>
          <w:kern w:val="0"/>
          <w:sz w:val="32"/>
          <w:szCs w:val="32"/>
          <w:lang w:val="en-US" w:eastAsia="zh-CN"/>
        </w:rPr>
        <w:t>评</w:t>
      </w:r>
      <w:r>
        <w:rPr>
          <w:rFonts w:hint="eastAsia" w:ascii="方正小标宋_GBK" w:hAnsi="方正小标宋_GBK" w:eastAsia="方正小标宋_GBK" w:cs="方正小标宋_GBK"/>
          <w:color w:val="000000"/>
          <w:kern w:val="0"/>
          <w:sz w:val="32"/>
          <w:szCs w:val="32"/>
        </w:rPr>
        <w:t>表</w:t>
      </w:r>
    </w:p>
    <w:tbl>
      <w:tblPr>
        <w:tblStyle w:val="3"/>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766"/>
        <w:gridCol w:w="1050"/>
        <w:gridCol w:w="684"/>
        <w:gridCol w:w="731"/>
        <w:gridCol w:w="690"/>
        <w:gridCol w:w="705"/>
        <w:gridCol w:w="945"/>
        <w:gridCol w:w="780"/>
        <w:gridCol w:w="1126"/>
        <w:gridCol w:w="784"/>
      </w:tblGrid>
      <w:tr w14:paraId="36D1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9" w:type="dxa"/>
            <w:tcBorders>
              <w:top w:val="single" w:color="auto" w:sz="4" w:space="0"/>
            </w:tcBorders>
            <w:noWrap w:val="0"/>
            <w:vAlign w:val="center"/>
          </w:tcPr>
          <w:p w14:paraId="68F21CDB">
            <w:pPr>
              <w:widowControl/>
              <w:jc w:val="center"/>
              <w:textAlignment w:val="center"/>
              <w:rPr>
                <w:rFonts w:eastAsia="方正黑体_GBK" w:cs="方正黑体_GBK"/>
                <w:sz w:val="22"/>
              </w:rPr>
            </w:pPr>
            <w:r>
              <w:rPr>
                <w:rFonts w:hint="eastAsia" w:eastAsia="方正黑体_GBK" w:cs="方正黑体_GBK"/>
                <w:kern w:val="0"/>
                <w:sz w:val="22"/>
                <w:lang w:bidi="ar"/>
              </w:rPr>
              <w:t>序号</w:t>
            </w:r>
          </w:p>
        </w:tc>
        <w:tc>
          <w:tcPr>
            <w:tcW w:w="766" w:type="dxa"/>
            <w:tcBorders>
              <w:top w:val="single" w:color="auto" w:sz="4" w:space="0"/>
            </w:tcBorders>
            <w:noWrap w:val="0"/>
            <w:vAlign w:val="center"/>
          </w:tcPr>
          <w:p w14:paraId="7154DB01">
            <w:pPr>
              <w:widowControl/>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1050" w:type="dxa"/>
            <w:tcBorders>
              <w:top w:val="single" w:color="auto" w:sz="4" w:space="0"/>
            </w:tcBorders>
            <w:noWrap w:val="0"/>
            <w:vAlign w:val="center"/>
          </w:tcPr>
          <w:p w14:paraId="77B05025">
            <w:pPr>
              <w:widowControl/>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684" w:type="dxa"/>
            <w:tcBorders>
              <w:top w:val="single" w:color="auto" w:sz="4" w:space="0"/>
            </w:tcBorders>
            <w:noWrap w:val="0"/>
            <w:vAlign w:val="center"/>
          </w:tcPr>
          <w:p w14:paraId="6564774C">
            <w:pPr>
              <w:widowControl/>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731" w:type="dxa"/>
            <w:tcBorders>
              <w:top w:val="single" w:color="auto" w:sz="4" w:space="0"/>
            </w:tcBorders>
            <w:noWrap w:val="0"/>
            <w:vAlign w:val="center"/>
          </w:tcPr>
          <w:p w14:paraId="7240B50B">
            <w:pPr>
              <w:widowControl/>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690" w:type="dxa"/>
            <w:tcBorders>
              <w:top w:val="single" w:color="auto" w:sz="4" w:space="0"/>
            </w:tcBorders>
            <w:noWrap w:val="0"/>
            <w:vAlign w:val="center"/>
          </w:tcPr>
          <w:p w14:paraId="60A27B9C">
            <w:pPr>
              <w:widowControl/>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705" w:type="dxa"/>
            <w:tcBorders>
              <w:top w:val="single" w:color="auto" w:sz="4" w:space="0"/>
            </w:tcBorders>
            <w:noWrap w:val="0"/>
            <w:vAlign w:val="center"/>
          </w:tcPr>
          <w:p w14:paraId="770F32C9">
            <w:pPr>
              <w:widowControl/>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945" w:type="dxa"/>
            <w:tcBorders>
              <w:top w:val="single" w:color="auto" w:sz="4" w:space="0"/>
            </w:tcBorders>
            <w:noWrap w:val="0"/>
            <w:vAlign w:val="center"/>
          </w:tcPr>
          <w:p w14:paraId="1E784AE7">
            <w:pPr>
              <w:widowControl/>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780" w:type="dxa"/>
            <w:tcBorders>
              <w:top w:val="single" w:color="auto" w:sz="4" w:space="0"/>
            </w:tcBorders>
            <w:noWrap w:val="0"/>
            <w:vAlign w:val="center"/>
          </w:tcPr>
          <w:p w14:paraId="767B4631">
            <w:pPr>
              <w:widowControl/>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1126" w:type="dxa"/>
            <w:tcBorders>
              <w:top w:val="single" w:color="auto" w:sz="4" w:space="0"/>
            </w:tcBorders>
            <w:noWrap w:val="0"/>
            <w:vAlign w:val="center"/>
          </w:tcPr>
          <w:p w14:paraId="41E66847">
            <w:pPr>
              <w:widowControl/>
              <w:jc w:val="center"/>
              <w:textAlignment w:val="center"/>
              <w:rPr>
                <w:rFonts w:eastAsia="方正黑体_GBK" w:cs="方正黑体_GBK"/>
                <w:sz w:val="22"/>
              </w:rPr>
            </w:pPr>
            <w:r>
              <w:rPr>
                <w:rFonts w:hint="eastAsia" w:eastAsia="方正黑体_GBK" w:cs="方正黑体_GBK"/>
                <w:kern w:val="0"/>
                <w:sz w:val="22"/>
                <w:lang w:bidi="ar"/>
              </w:rPr>
              <w:t>说明</w:t>
            </w:r>
          </w:p>
        </w:tc>
        <w:tc>
          <w:tcPr>
            <w:tcW w:w="784" w:type="dxa"/>
            <w:tcBorders>
              <w:top w:val="single" w:color="auto" w:sz="4" w:space="0"/>
            </w:tcBorders>
            <w:noWrap w:val="0"/>
            <w:vAlign w:val="center"/>
          </w:tcPr>
          <w:p w14:paraId="747568CC">
            <w:pPr>
              <w:widowControl/>
              <w:jc w:val="center"/>
              <w:textAlignment w:val="center"/>
              <w:rPr>
                <w:rFonts w:eastAsia="方正黑体_GBK" w:cs="方正黑体_GBK"/>
                <w:sz w:val="22"/>
              </w:rPr>
            </w:pPr>
            <w:r>
              <w:rPr>
                <w:rFonts w:hint="eastAsia" w:eastAsia="方正黑体_GBK" w:cs="方正黑体_GBK"/>
                <w:kern w:val="0"/>
                <w:sz w:val="22"/>
                <w:lang w:bidi="ar"/>
              </w:rPr>
              <w:t>自评得分</w:t>
            </w:r>
          </w:p>
        </w:tc>
      </w:tr>
      <w:tr w14:paraId="1821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restart"/>
            <w:noWrap/>
            <w:vAlign w:val="center"/>
          </w:tcPr>
          <w:p w14:paraId="55505AD5">
            <w:pPr>
              <w:spacing w:line="300" w:lineRule="exact"/>
              <w:jc w:val="center"/>
              <w:rPr>
                <w:sz w:val="22"/>
              </w:rPr>
            </w:pPr>
            <w:r>
              <w:rPr>
                <w:rFonts w:ascii="方正仿宋_GBK" w:hAnsi="方正仿宋_GBK" w:cs="方正仿宋_GBK"/>
                <w:color w:val="000000"/>
                <w:sz w:val="18"/>
                <w:szCs w:val="18"/>
              </w:rPr>
              <w:t>1</w:t>
            </w:r>
          </w:p>
        </w:tc>
        <w:tc>
          <w:tcPr>
            <w:tcW w:w="766" w:type="dxa"/>
            <w:vMerge w:val="restart"/>
            <w:noWrap/>
            <w:vAlign w:val="center"/>
          </w:tcPr>
          <w:p w14:paraId="2A7A6012">
            <w:pPr>
              <w:spacing w:line="300" w:lineRule="exact"/>
              <w:jc w:val="both"/>
              <w:rPr>
                <w:rFonts w:cs="宋体"/>
                <w:sz w:val="22"/>
              </w:rPr>
            </w:pPr>
            <w:r>
              <w:rPr>
                <w:rFonts w:hint="eastAsia" w:ascii="方正仿宋_GBK" w:hAnsi="方正仿宋_GBK" w:cs="方正仿宋_GBK"/>
                <w:color w:val="000000"/>
                <w:sz w:val="18"/>
                <w:szCs w:val="18"/>
              </w:rPr>
              <w:t>律师公证管理</w:t>
            </w:r>
          </w:p>
        </w:tc>
        <w:tc>
          <w:tcPr>
            <w:tcW w:w="1050" w:type="dxa"/>
            <w:noWrap/>
            <w:vAlign w:val="center"/>
          </w:tcPr>
          <w:p w14:paraId="534D42BF">
            <w:pPr>
              <w:spacing w:line="300" w:lineRule="exact"/>
              <w:jc w:val="center"/>
              <w:rPr>
                <w:rFonts w:cs="宋体"/>
                <w:sz w:val="22"/>
              </w:rPr>
            </w:pPr>
            <w:r>
              <w:rPr>
                <w:rFonts w:hint="eastAsia" w:ascii="方正仿宋_GBK" w:hAnsi="方正仿宋_GBK" w:cs="方正仿宋_GBK"/>
                <w:color w:val="000000"/>
                <w:sz w:val="18"/>
                <w:szCs w:val="18"/>
              </w:rPr>
              <w:t>公证案件数量</w:t>
            </w:r>
          </w:p>
        </w:tc>
        <w:tc>
          <w:tcPr>
            <w:tcW w:w="684" w:type="dxa"/>
            <w:noWrap/>
            <w:vAlign w:val="center"/>
          </w:tcPr>
          <w:p w14:paraId="70260080">
            <w:pPr>
              <w:spacing w:line="300" w:lineRule="exact"/>
              <w:jc w:val="center"/>
              <w:rPr>
                <w:rFonts w:cs="宋体"/>
                <w:sz w:val="22"/>
              </w:rPr>
            </w:pPr>
            <w:r>
              <w:rPr>
                <w:rFonts w:ascii="方正仿宋_GBK" w:hAnsi="方正仿宋_GBK" w:cs="方正仿宋_GBK"/>
                <w:color w:val="000000"/>
                <w:sz w:val="18"/>
                <w:szCs w:val="18"/>
              </w:rPr>
              <w:t>≥</w:t>
            </w:r>
          </w:p>
        </w:tc>
        <w:tc>
          <w:tcPr>
            <w:tcW w:w="731" w:type="dxa"/>
            <w:noWrap/>
            <w:vAlign w:val="center"/>
          </w:tcPr>
          <w:p w14:paraId="644405FE">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5100</w:t>
            </w:r>
          </w:p>
        </w:tc>
        <w:tc>
          <w:tcPr>
            <w:tcW w:w="690" w:type="dxa"/>
            <w:noWrap/>
            <w:vAlign w:val="center"/>
          </w:tcPr>
          <w:p w14:paraId="77320874">
            <w:pPr>
              <w:spacing w:line="300" w:lineRule="exact"/>
              <w:jc w:val="center"/>
              <w:rPr>
                <w:rFonts w:hint="default" w:eastAsia="方正仿宋_GBK" w:cs="宋体"/>
                <w:sz w:val="22"/>
                <w:lang w:val="en-US" w:eastAsia="zh-CN"/>
              </w:rPr>
            </w:pPr>
            <w:r>
              <w:rPr>
                <w:rFonts w:hint="eastAsia" w:cs="宋体"/>
                <w:sz w:val="22"/>
                <w:lang w:val="en-US" w:eastAsia="zh-CN"/>
              </w:rPr>
              <w:t>件</w:t>
            </w:r>
          </w:p>
        </w:tc>
        <w:tc>
          <w:tcPr>
            <w:tcW w:w="705" w:type="dxa"/>
            <w:noWrap/>
            <w:vAlign w:val="center"/>
          </w:tcPr>
          <w:p w14:paraId="3E24654E">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30</w:t>
            </w:r>
          </w:p>
        </w:tc>
        <w:tc>
          <w:tcPr>
            <w:tcW w:w="945" w:type="dxa"/>
            <w:noWrap/>
            <w:vAlign w:val="center"/>
          </w:tcPr>
          <w:p w14:paraId="06DAEE7B">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5120</w:t>
            </w:r>
          </w:p>
        </w:tc>
        <w:tc>
          <w:tcPr>
            <w:tcW w:w="780" w:type="dxa"/>
            <w:noWrap/>
            <w:vAlign w:val="center"/>
          </w:tcPr>
          <w:p w14:paraId="79D8148D">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30</w:t>
            </w:r>
          </w:p>
        </w:tc>
        <w:tc>
          <w:tcPr>
            <w:tcW w:w="1126" w:type="dxa"/>
            <w:noWrap/>
            <w:vAlign w:val="center"/>
          </w:tcPr>
          <w:p w14:paraId="6C35B300">
            <w:pPr>
              <w:spacing w:line="300" w:lineRule="exact"/>
              <w:jc w:val="both"/>
              <w:rPr>
                <w:rFonts w:cs="宋体"/>
                <w:sz w:val="22"/>
              </w:rPr>
            </w:pPr>
          </w:p>
        </w:tc>
        <w:tc>
          <w:tcPr>
            <w:tcW w:w="784" w:type="dxa"/>
            <w:vMerge w:val="restart"/>
            <w:noWrap/>
            <w:vAlign w:val="center"/>
          </w:tcPr>
          <w:p w14:paraId="29261280">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85</w:t>
            </w:r>
          </w:p>
        </w:tc>
      </w:tr>
      <w:tr w14:paraId="7BED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9" w:type="dxa"/>
            <w:vMerge w:val="continue"/>
            <w:noWrap/>
            <w:vAlign w:val="center"/>
          </w:tcPr>
          <w:p w14:paraId="5E7454FD">
            <w:pPr>
              <w:jc w:val="center"/>
              <w:textAlignment w:val="center"/>
              <w:rPr>
                <w:sz w:val="22"/>
              </w:rPr>
            </w:pPr>
          </w:p>
        </w:tc>
        <w:tc>
          <w:tcPr>
            <w:tcW w:w="766" w:type="dxa"/>
            <w:vMerge w:val="continue"/>
            <w:noWrap/>
            <w:vAlign w:val="center"/>
          </w:tcPr>
          <w:p w14:paraId="14BEA241">
            <w:pPr>
              <w:jc w:val="center"/>
              <w:rPr>
                <w:rFonts w:cs="宋体"/>
                <w:sz w:val="22"/>
              </w:rPr>
            </w:pPr>
          </w:p>
        </w:tc>
        <w:tc>
          <w:tcPr>
            <w:tcW w:w="1050" w:type="dxa"/>
            <w:shd w:val="clear" w:color="auto" w:fill="auto"/>
            <w:noWrap/>
            <w:vAlign w:val="center"/>
          </w:tcPr>
          <w:p w14:paraId="7F0AD01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错证率</w:t>
            </w:r>
          </w:p>
        </w:tc>
        <w:tc>
          <w:tcPr>
            <w:tcW w:w="684" w:type="dxa"/>
            <w:shd w:val="clear" w:color="auto" w:fill="auto"/>
            <w:noWrap/>
            <w:vAlign w:val="center"/>
          </w:tcPr>
          <w:p w14:paraId="6A598F5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2918EDF9">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3</w:t>
            </w:r>
          </w:p>
        </w:tc>
        <w:tc>
          <w:tcPr>
            <w:tcW w:w="690" w:type="dxa"/>
            <w:shd w:val="clear" w:color="auto" w:fill="auto"/>
            <w:noWrap/>
            <w:vAlign w:val="center"/>
          </w:tcPr>
          <w:p w14:paraId="05A011A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2FA381B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77440853">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0</w:t>
            </w:r>
          </w:p>
        </w:tc>
        <w:tc>
          <w:tcPr>
            <w:tcW w:w="780" w:type="dxa"/>
            <w:shd w:val="clear" w:color="auto" w:fill="auto"/>
            <w:noWrap/>
            <w:vAlign w:val="center"/>
          </w:tcPr>
          <w:p w14:paraId="122A2BC6">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757C6F6A">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39D7DFBE">
            <w:pPr>
              <w:jc w:val="center"/>
              <w:rPr>
                <w:rFonts w:cs="宋体"/>
                <w:sz w:val="22"/>
              </w:rPr>
            </w:pPr>
          </w:p>
        </w:tc>
      </w:tr>
      <w:tr w14:paraId="4BA3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05538995">
            <w:pPr>
              <w:jc w:val="center"/>
              <w:textAlignment w:val="center"/>
              <w:rPr>
                <w:sz w:val="22"/>
              </w:rPr>
            </w:pPr>
          </w:p>
        </w:tc>
        <w:tc>
          <w:tcPr>
            <w:tcW w:w="766" w:type="dxa"/>
            <w:vMerge w:val="continue"/>
            <w:noWrap/>
            <w:vAlign w:val="center"/>
          </w:tcPr>
          <w:p w14:paraId="6377BC58">
            <w:pPr>
              <w:jc w:val="center"/>
              <w:rPr>
                <w:rFonts w:cs="宋体"/>
                <w:sz w:val="22"/>
              </w:rPr>
            </w:pPr>
          </w:p>
        </w:tc>
        <w:tc>
          <w:tcPr>
            <w:tcW w:w="1050" w:type="dxa"/>
            <w:shd w:val="clear" w:color="auto" w:fill="auto"/>
            <w:noWrap/>
            <w:vAlign w:val="center"/>
          </w:tcPr>
          <w:p w14:paraId="396A402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案件办理时限</w:t>
            </w:r>
          </w:p>
        </w:tc>
        <w:tc>
          <w:tcPr>
            <w:tcW w:w="684" w:type="dxa"/>
            <w:shd w:val="clear" w:color="auto" w:fill="auto"/>
            <w:noWrap/>
            <w:vAlign w:val="center"/>
          </w:tcPr>
          <w:p w14:paraId="0EAE673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2228CA3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15</w:t>
            </w:r>
          </w:p>
        </w:tc>
        <w:tc>
          <w:tcPr>
            <w:tcW w:w="690" w:type="dxa"/>
            <w:shd w:val="clear" w:color="auto" w:fill="auto"/>
            <w:noWrap/>
            <w:vAlign w:val="center"/>
          </w:tcPr>
          <w:p w14:paraId="5189C52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kern w:val="2"/>
                <w:sz w:val="18"/>
                <w:szCs w:val="18"/>
                <w:lang w:val="en-US" w:eastAsia="zh-CN" w:bidi="ar-SA"/>
              </w:rPr>
              <w:t>天</w:t>
            </w:r>
          </w:p>
        </w:tc>
        <w:tc>
          <w:tcPr>
            <w:tcW w:w="705" w:type="dxa"/>
            <w:shd w:val="clear" w:color="auto" w:fill="auto"/>
            <w:noWrap/>
            <w:vAlign w:val="center"/>
          </w:tcPr>
          <w:p w14:paraId="69DD4CA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2E4B8C0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15</w:t>
            </w:r>
          </w:p>
        </w:tc>
        <w:tc>
          <w:tcPr>
            <w:tcW w:w="780" w:type="dxa"/>
            <w:shd w:val="clear" w:color="auto" w:fill="auto"/>
            <w:noWrap/>
            <w:vAlign w:val="center"/>
          </w:tcPr>
          <w:p w14:paraId="5D96A68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7DF00326">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650BB8B7">
            <w:pPr>
              <w:jc w:val="center"/>
              <w:rPr>
                <w:rFonts w:cs="宋体"/>
                <w:sz w:val="22"/>
              </w:rPr>
            </w:pPr>
          </w:p>
        </w:tc>
      </w:tr>
      <w:tr w14:paraId="486C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5D13F6D2">
            <w:pPr>
              <w:jc w:val="center"/>
              <w:textAlignment w:val="center"/>
              <w:rPr>
                <w:sz w:val="22"/>
              </w:rPr>
            </w:pPr>
          </w:p>
        </w:tc>
        <w:tc>
          <w:tcPr>
            <w:tcW w:w="766" w:type="dxa"/>
            <w:vMerge w:val="continue"/>
            <w:noWrap/>
            <w:vAlign w:val="center"/>
          </w:tcPr>
          <w:p w14:paraId="02E63926">
            <w:pPr>
              <w:jc w:val="center"/>
              <w:rPr>
                <w:rFonts w:cs="宋体"/>
                <w:sz w:val="22"/>
              </w:rPr>
            </w:pPr>
          </w:p>
        </w:tc>
        <w:tc>
          <w:tcPr>
            <w:tcW w:w="1050" w:type="dxa"/>
            <w:shd w:val="clear" w:color="auto" w:fill="auto"/>
            <w:noWrap/>
            <w:vAlign w:val="center"/>
          </w:tcPr>
          <w:p w14:paraId="7193229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预防纠纷率</w:t>
            </w:r>
          </w:p>
        </w:tc>
        <w:tc>
          <w:tcPr>
            <w:tcW w:w="684" w:type="dxa"/>
            <w:shd w:val="clear" w:color="auto" w:fill="auto"/>
            <w:noWrap/>
            <w:vAlign w:val="center"/>
          </w:tcPr>
          <w:p w14:paraId="69FF144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5A3E858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97</w:t>
            </w:r>
          </w:p>
        </w:tc>
        <w:tc>
          <w:tcPr>
            <w:tcW w:w="690" w:type="dxa"/>
            <w:shd w:val="clear" w:color="auto" w:fill="auto"/>
            <w:noWrap/>
            <w:vAlign w:val="center"/>
          </w:tcPr>
          <w:p w14:paraId="6968D0AF">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w:t>
            </w:r>
          </w:p>
        </w:tc>
        <w:tc>
          <w:tcPr>
            <w:tcW w:w="705" w:type="dxa"/>
            <w:shd w:val="clear" w:color="auto" w:fill="auto"/>
            <w:noWrap/>
            <w:vAlign w:val="center"/>
          </w:tcPr>
          <w:p w14:paraId="7694C568">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w:t>
            </w:r>
            <w:r>
              <w:rPr>
                <w:rFonts w:hint="eastAsia" w:ascii="方正仿宋_GBK" w:hAnsi="方正仿宋_GBK" w:cs="方正仿宋_GBK"/>
                <w:color w:val="000000"/>
                <w:sz w:val="18"/>
                <w:szCs w:val="18"/>
                <w:lang w:val="en-US" w:eastAsia="zh-CN"/>
              </w:rPr>
              <w:t>5</w:t>
            </w:r>
          </w:p>
        </w:tc>
        <w:tc>
          <w:tcPr>
            <w:tcW w:w="945" w:type="dxa"/>
            <w:shd w:val="clear" w:color="auto" w:fill="auto"/>
            <w:noWrap/>
            <w:vAlign w:val="center"/>
          </w:tcPr>
          <w:p w14:paraId="18E0C16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97</w:t>
            </w:r>
          </w:p>
        </w:tc>
        <w:tc>
          <w:tcPr>
            <w:tcW w:w="780" w:type="dxa"/>
            <w:shd w:val="clear" w:color="auto" w:fill="auto"/>
            <w:noWrap/>
            <w:vAlign w:val="center"/>
          </w:tcPr>
          <w:p w14:paraId="6F6B68DE">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w:t>
            </w:r>
            <w:r>
              <w:rPr>
                <w:rFonts w:hint="eastAsia" w:ascii="方正仿宋_GBK" w:hAnsi="方正仿宋_GBK" w:cs="方正仿宋_GBK"/>
                <w:color w:val="000000"/>
                <w:sz w:val="18"/>
                <w:szCs w:val="18"/>
                <w:lang w:val="en-US" w:eastAsia="zh-CN"/>
              </w:rPr>
              <w:t>5</w:t>
            </w:r>
          </w:p>
        </w:tc>
        <w:tc>
          <w:tcPr>
            <w:tcW w:w="1126" w:type="dxa"/>
            <w:shd w:val="clear" w:color="auto" w:fill="auto"/>
            <w:noWrap/>
            <w:vAlign w:val="center"/>
          </w:tcPr>
          <w:p w14:paraId="308A803A">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23933B12">
            <w:pPr>
              <w:jc w:val="center"/>
              <w:rPr>
                <w:rFonts w:cs="宋体"/>
                <w:sz w:val="22"/>
              </w:rPr>
            </w:pPr>
          </w:p>
        </w:tc>
      </w:tr>
      <w:tr w14:paraId="2191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4E0DBED0">
            <w:pPr>
              <w:jc w:val="center"/>
              <w:textAlignment w:val="center"/>
              <w:rPr>
                <w:sz w:val="22"/>
              </w:rPr>
            </w:pPr>
          </w:p>
        </w:tc>
        <w:tc>
          <w:tcPr>
            <w:tcW w:w="766" w:type="dxa"/>
            <w:vMerge w:val="continue"/>
            <w:noWrap/>
            <w:vAlign w:val="center"/>
          </w:tcPr>
          <w:p w14:paraId="15A7C111">
            <w:pPr>
              <w:jc w:val="center"/>
              <w:rPr>
                <w:rFonts w:cs="宋体"/>
                <w:sz w:val="22"/>
              </w:rPr>
            </w:pPr>
          </w:p>
        </w:tc>
        <w:tc>
          <w:tcPr>
            <w:tcW w:w="1050" w:type="dxa"/>
            <w:shd w:val="clear" w:color="auto" w:fill="auto"/>
            <w:noWrap/>
            <w:vAlign w:val="center"/>
          </w:tcPr>
          <w:p w14:paraId="5ECE99E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公证费收入</w:t>
            </w:r>
          </w:p>
        </w:tc>
        <w:tc>
          <w:tcPr>
            <w:tcW w:w="684" w:type="dxa"/>
            <w:shd w:val="clear" w:color="auto" w:fill="auto"/>
            <w:noWrap/>
            <w:vAlign w:val="center"/>
          </w:tcPr>
          <w:p w14:paraId="520B569F">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25C7F09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530</w:t>
            </w:r>
          </w:p>
        </w:tc>
        <w:tc>
          <w:tcPr>
            <w:tcW w:w="690" w:type="dxa"/>
            <w:shd w:val="clear" w:color="auto" w:fill="auto"/>
            <w:noWrap/>
            <w:vAlign w:val="center"/>
          </w:tcPr>
          <w:p w14:paraId="190C046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万元/年</w:t>
            </w:r>
          </w:p>
        </w:tc>
        <w:tc>
          <w:tcPr>
            <w:tcW w:w="705" w:type="dxa"/>
            <w:shd w:val="clear" w:color="auto" w:fill="auto"/>
            <w:noWrap/>
            <w:vAlign w:val="center"/>
          </w:tcPr>
          <w:p w14:paraId="6EAD9E65">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w:t>
            </w:r>
            <w:r>
              <w:rPr>
                <w:rFonts w:hint="eastAsia" w:ascii="方正仿宋_GBK" w:hAnsi="方正仿宋_GBK" w:cs="方正仿宋_GBK"/>
                <w:color w:val="000000"/>
                <w:sz w:val="18"/>
                <w:szCs w:val="18"/>
                <w:lang w:val="en-US" w:eastAsia="zh-CN"/>
              </w:rPr>
              <w:t>5</w:t>
            </w:r>
          </w:p>
        </w:tc>
        <w:tc>
          <w:tcPr>
            <w:tcW w:w="945" w:type="dxa"/>
            <w:shd w:val="clear" w:color="auto" w:fill="auto"/>
            <w:noWrap/>
            <w:vAlign w:val="center"/>
          </w:tcPr>
          <w:p w14:paraId="24FD5A8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400</w:t>
            </w:r>
          </w:p>
        </w:tc>
        <w:tc>
          <w:tcPr>
            <w:tcW w:w="780" w:type="dxa"/>
            <w:shd w:val="clear" w:color="auto" w:fill="auto"/>
            <w:noWrap/>
            <w:vAlign w:val="center"/>
          </w:tcPr>
          <w:p w14:paraId="4B85AFBF">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0</w:t>
            </w:r>
          </w:p>
        </w:tc>
        <w:tc>
          <w:tcPr>
            <w:tcW w:w="1126" w:type="dxa"/>
            <w:shd w:val="clear" w:color="auto" w:fill="auto"/>
            <w:noWrap/>
            <w:vAlign w:val="center"/>
          </w:tcPr>
          <w:p w14:paraId="2D75896B">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0AE7E70D">
            <w:pPr>
              <w:jc w:val="center"/>
              <w:rPr>
                <w:rFonts w:cs="宋体"/>
                <w:sz w:val="22"/>
              </w:rPr>
            </w:pPr>
          </w:p>
        </w:tc>
      </w:tr>
      <w:tr w14:paraId="6549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1DC3DB7A">
            <w:pPr>
              <w:jc w:val="center"/>
              <w:textAlignment w:val="center"/>
              <w:rPr>
                <w:sz w:val="22"/>
              </w:rPr>
            </w:pPr>
          </w:p>
        </w:tc>
        <w:tc>
          <w:tcPr>
            <w:tcW w:w="766" w:type="dxa"/>
            <w:vMerge w:val="continue"/>
            <w:noWrap/>
            <w:vAlign w:val="center"/>
          </w:tcPr>
          <w:p w14:paraId="0EB96463">
            <w:pPr>
              <w:jc w:val="center"/>
              <w:rPr>
                <w:rFonts w:cs="宋体"/>
                <w:sz w:val="22"/>
              </w:rPr>
            </w:pPr>
          </w:p>
        </w:tc>
        <w:tc>
          <w:tcPr>
            <w:tcW w:w="1050" w:type="dxa"/>
            <w:shd w:val="clear" w:color="auto" w:fill="auto"/>
            <w:noWrap/>
            <w:vAlign w:val="center"/>
          </w:tcPr>
          <w:p w14:paraId="56A9DAF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服务对象满意度</w:t>
            </w:r>
          </w:p>
        </w:tc>
        <w:tc>
          <w:tcPr>
            <w:tcW w:w="684" w:type="dxa"/>
            <w:shd w:val="clear" w:color="auto" w:fill="auto"/>
            <w:noWrap/>
            <w:vAlign w:val="center"/>
          </w:tcPr>
          <w:p w14:paraId="56AE05F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71C6E677">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95</w:t>
            </w:r>
          </w:p>
        </w:tc>
        <w:tc>
          <w:tcPr>
            <w:tcW w:w="690" w:type="dxa"/>
            <w:shd w:val="clear" w:color="auto" w:fill="auto"/>
            <w:noWrap/>
            <w:vAlign w:val="center"/>
          </w:tcPr>
          <w:p w14:paraId="01004830">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w:t>
            </w:r>
          </w:p>
        </w:tc>
        <w:tc>
          <w:tcPr>
            <w:tcW w:w="705" w:type="dxa"/>
            <w:shd w:val="clear" w:color="auto" w:fill="auto"/>
            <w:noWrap/>
            <w:vAlign w:val="center"/>
          </w:tcPr>
          <w:p w14:paraId="31EDB1D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4DD63C5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95</w:t>
            </w:r>
          </w:p>
        </w:tc>
        <w:tc>
          <w:tcPr>
            <w:tcW w:w="780" w:type="dxa"/>
            <w:shd w:val="clear" w:color="auto" w:fill="auto"/>
            <w:noWrap/>
            <w:vAlign w:val="center"/>
          </w:tcPr>
          <w:p w14:paraId="332760A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5E01CF19">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4CF60261">
            <w:pPr>
              <w:jc w:val="center"/>
              <w:rPr>
                <w:rFonts w:cs="宋体"/>
                <w:sz w:val="22"/>
              </w:rPr>
            </w:pPr>
          </w:p>
        </w:tc>
      </w:tr>
    </w:tbl>
    <w:p w14:paraId="733BA616">
      <w:pPr>
        <w:tabs>
          <w:tab w:val="center" w:pos="4153"/>
          <w:tab w:val="left" w:pos="7275"/>
        </w:tabs>
        <w:spacing w:line="596" w:lineRule="exact"/>
        <w:ind w:firstLine="640" w:firstLineChars="200"/>
        <w:rPr>
          <w:rFonts w:hint="eastAsia" w:ascii="方正楷体_GBK" w:eastAsia="方正楷体_GBK" w:cs="宋体"/>
          <w:kern w:val="0"/>
          <w:szCs w:val="32"/>
        </w:rPr>
      </w:pPr>
    </w:p>
    <w:p w14:paraId="6DAE3C3F">
      <w:pPr>
        <w:tabs>
          <w:tab w:val="center" w:pos="4153"/>
          <w:tab w:val="left" w:pos="7275"/>
        </w:tabs>
        <w:spacing w:line="596"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（二）部门重点绩效评价情况</w:t>
      </w:r>
    </w:p>
    <w:p w14:paraId="406EC8BE">
      <w:pPr>
        <w:widowControl w:val="0"/>
        <w:tabs>
          <w:tab w:val="center" w:pos="4153"/>
          <w:tab w:val="left" w:pos="7275"/>
        </w:tabs>
        <w:spacing w:line="600" w:lineRule="exact"/>
        <w:ind w:firstLine="640" w:firstLineChars="200"/>
        <w:jc w:val="both"/>
        <w:rPr>
          <w:rFonts w:hint="default" w:ascii="方正仿宋_GBK" w:eastAsia="方正仿宋_GBK" w:cs="宋体"/>
          <w:sz w:val="32"/>
          <w:szCs w:val="32"/>
          <w:lang w:val="en-US" w:eastAsia="zh-CN"/>
        </w:rPr>
      </w:pPr>
      <w:r>
        <w:rPr>
          <w:rFonts w:ascii="方正仿宋_GBK" w:eastAsia="方正仿宋_GBK" w:cs="宋体"/>
          <w:sz w:val="32"/>
          <w:szCs w:val="32"/>
        </w:rPr>
        <w:t>我</w:t>
      </w:r>
      <w:r>
        <w:rPr>
          <w:rFonts w:hint="eastAsia" w:ascii="方正仿宋_GBK" w:cs="宋体"/>
          <w:sz w:val="32"/>
          <w:szCs w:val="32"/>
          <w:lang w:val="en-US" w:eastAsia="zh-CN"/>
        </w:rPr>
        <w:t>单位2024年无重点项目。</w:t>
      </w:r>
    </w:p>
    <w:p w14:paraId="3E52578A">
      <w:pPr>
        <w:numPr>
          <w:ilvl w:val="0"/>
          <w:numId w:val="2"/>
        </w:numPr>
        <w:tabs>
          <w:tab w:val="center" w:pos="4153"/>
          <w:tab w:val="left" w:pos="7275"/>
        </w:tabs>
        <w:spacing w:line="600"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财政绩效评价情况</w:t>
      </w:r>
    </w:p>
    <w:p w14:paraId="5486FAC1">
      <w:pPr>
        <w:numPr>
          <w:ilvl w:val="0"/>
          <w:numId w:val="0"/>
        </w:numPr>
        <w:tabs>
          <w:tab w:val="center" w:pos="4153"/>
          <w:tab w:val="left" w:pos="7275"/>
        </w:tabs>
        <w:spacing w:line="600" w:lineRule="exact"/>
        <w:ind w:firstLine="640" w:firstLineChars="200"/>
        <w:rPr>
          <w:rFonts w:hint="eastAsia" w:cs="宋体"/>
          <w:kern w:val="0"/>
          <w:szCs w:val="32"/>
        </w:rPr>
      </w:pPr>
      <w:r>
        <w:rPr>
          <w:rFonts w:hint="eastAsia" w:cs="宋体"/>
          <w:kern w:val="0"/>
          <w:szCs w:val="32"/>
        </w:rPr>
        <w:t>财政重点绩效评价由区财政局统一公开。</w:t>
      </w:r>
    </w:p>
    <w:p w14:paraId="650797DB">
      <w:pPr>
        <w:spacing w:line="600" w:lineRule="exact"/>
        <w:ind w:firstLine="630"/>
        <w:rPr>
          <w:rFonts w:hint="eastAsia" w:ascii="Times New Roman" w:hAnsi="Times New Roman" w:eastAsia="方正黑体_GBK" w:cs="宋体"/>
          <w:b/>
          <w:kern w:val="0"/>
          <w:szCs w:val="32"/>
        </w:rPr>
      </w:pPr>
      <w:r>
        <w:rPr>
          <w:rFonts w:hint="eastAsia" w:eastAsia="方正黑体_GBK" w:cs="宋体"/>
          <w:bCs/>
          <w:kern w:val="0"/>
          <w:lang w:val="en-US" w:eastAsia="zh-CN"/>
        </w:rPr>
        <w:t>六</w:t>
      </w:r>
      <w:r>
        <w:rPr>
          <w:rFonts w:hint="eastAsia" w:ascii="Times New Roman" w:hAnsi="Times New Roman" w:eastAsia="方正黑体_GBK" w:cs="宋体"/>
          <w:bCs/>
          <w:kern w:val="0"/>
        </w:rPr>
        <w:t>、专业名词解释（必须保留，勿删）</w:t>
      </w:r>
    </w:p>
    <w:p w14:paraId="317E7964">
      <w:pPr>
        <w:spacing w:line="600" w:lineRule="exact"/>
        <w:ind w:firstLine="630"/>
        <w:rPr>
          <w:rFonts w:ascii="Times New Roman" w:hAnsi="Times New Roman" w:cs="宋体"/>
          <w:kern w:val="0"/>
          <w:szCs w:val="32"/>
        </w:rPr>
      </w:pPr>
      <w:r>
        <w:rPr>
          <w:rFonts w:hint="eastAsia" w:ascii="Times New Roman" w:hAnsi="Times New Roman" w:cs="宋体"/>
          <w:kern w:val="0"/>
          <w:szCs w:val="32"/>
        </w:rPr>
        <w:t>以下为常见专业名词解释目录，仅供参考，部门应根据实际情况进行解释和</w:t>
      </w:r>
      <w:r>
        <w:rPr>
          <w:rFonts w:hint="eastAsia" w:ascii="Times New Roman" w:hAnsi="Times New Roman" w:cs="宋体"/>
          <w:b/>
          <w:bCs/>
          <w:kern w:val="0"/>
        </w:rPr>
        <w:t>增减</w:t>
      </w:r>
      <w:r>
        <w:rPr>
          <w:rFonts w:hint="eastAsia" w:ascii="Times New Roman" w:hAnsi="Times New Roman" w:cs="宋体"/>
          <w:kern w:val="0"/>
          <w:szCs w:val="32"/>
        </w:rPr>
        <w:t>。比如可将类级功能科目和经济科目细化解释到项级。若有删减注意调整段落序号。</w:t>
      </w:r>
    </w:p>
    <w:p w14:paraId="59A6B122">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（一）财政拨款收入</w:t>
      </w:r>
      <w:r>
        <w:rPr>
          <w:rFonts w:hint="eastAsia" w:ascii="Times New Roman" w:hAnsi="Times New Roman" w:cs="宋体"/>
          <w:kern w:val="0"/>
          <w:szCs w:val="32"/>
        </w:rPr>
        <w:t>：指本年度从本级财政部门取得的财政拨款，包括一般公共预算财政拨款和政府性基金预算财政拨款。</w:t>
      </w:r>
    </w:p>
    <w:p w14:paraId="10CFB577">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（二）事业收入</w:t>
      </w:r>
      <w:r>
        <w:rPr>
          <w:rFonts w:hint="eastAsia" w:ascii="Times New Roman" w:hAnsi="Times New Roman" w:cs="宋体"/>
          <w:kern w:val="0"/>
          <w:szCs w:val="32"/>
        </w:rPr>
        <w:t>：指事业单位开展专业业务活动及其辅助活动取得的现金流入；事业单位收到的财政专户实际核拨的教育收费等资金在此反映。</w:t>
      </w:r>
    </w:p>
    <w:p w14:paraId="581474AC">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（三）经营收入</w:t>
      </w:r>
      <w:r>
        <w:rPr>
          <w:rFonts w:hint="eastAsia" w:ascii="Times New Roman" w:hAnsi="Times New Roman" w:cs="宋体"/>
          <w:kern w:val="0"/>
          <w:szCs w:val="32"/>
        </w:rPr>
        <w:t>：指事业单位在专业业务活动及其辅助活动之外开展非独立核算经营活动取得的现金流入。</w:t>
      </w:r>
    </w:p>
    <w:p w14:paraId="43FF511A">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（四）其他收入</w:t>
      </w:r>
      <w:r>
        <w:rPr>
          <w:rFonts w:hint="eastAsia" w:ascii="Times New Roman" w:hAnsi="Times New Roman" w:cs="宋体"/>
          <w:kern w:val="0"/>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888FB">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（五）使用非财政拨款结余</w:t>
      </w:r>
      <w:r>
        <w:rPr>
          <w:rFonts w:hint="eastAsia" w:ascii="Times New Roman" w:hAnsi="Times New Roman" w:cs="宋体"/>
          <w:kern w:val="0"/>
          <w:szCs w:val="32"/>
        </w:rPr>
        <w:t>：指单位在当年的“财政拨款收入”、“事业收入”、“经营收入”、“其他收入”等不足以安排当年支出的情况下，使用以前年度积累的非财政拨款结余弥补本年度收支缺口的资金。</w:t>
      </w:r>
    </w:p>
    <w:p w14:paraId="05BC5901">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（六）年初结转和结余</w:t>
      </w:r>
      <w:r>
        <w:rPr>
          <w:rFonts w:hint="eastAsia" w:ascii="Times New Roman" w:hAnsi="Times New Roman" w:cs="宋体"/>
          <w:kern w:val="0"/>
          <w:szCs w:val="32"/>
        </w:rPr>
        <w:t>：指单位上年结转本年使用的基本支出结转、项目支出结转和结余、经营结余。</w:t>
      </w:r>
    </w:p>
    <w:p w14:paraId="50254B83">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（七）结余分配</w:t>
      </w:r>
      <w:r>
        <w:rPr>
          <w:rFonts w:hint="eastAsia" w:ascii="Times New Roman" w:hAnsi="Times New Roman" w:cs="宋体"/>
          <w:kern w:val="0"/>
          <w:szCs w:val="32"/>
        </w:rPr>
        <w:t>：指单位按照国家有关规定，缴纳所得税、提取专用基金、转入非财政拨款结余等当年结余的分配情况。</w:t>
      </w:r>
    </w:p>
    <w:p w14:paraId="5390363B">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（八）年末结转和结余</w:t>
      </w:r>
      <w:r>
        <w:rPr>
          <w:rFonts w:hint="eastAsia" w:ascii="Times New Roman" w:hAnsi="Times New Roman" w:cs="宋体"/>
          <w:kern w:val="0"/>
          <w:szCs w:val="32"/>
        </w:rPr>
        <w:t>：指单位结转下年的基本支出结转、项目支出结转和结余、经营结余。</w:t>
      </w:r>
    </w:p>
    <w:p w14:paraId="35E5C4A8">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（九）基本支出</w:t>
      </w:r>
      <w:r>
        <w:rPr>
          <w:rFonts w:hint="eastAsia" w:ascii="Times New Roman" w:hAnsi="Times New Roman" w:cs="宋体"/>
          <w:kern w:val="0"/>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8984D6">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（十）项目支出</w:t>
      </w:r>
      <w:r>
        <w:rPr>
          <w:rFonts w:hint="eastAsia" w:ascii="Times New Roman" w:hAnsi="Times New Roman" w:cs="宋体"/>
          <w:kern w:val="0"/>
          <w:szCs w:val="32"/>
        </w:rPr>
        <w:t>：指在基本支出之外为完成特定行政任务和事业发展目标所发生的支出。</w:t>
      </w:r>
    </w:p>
    <w:p w14:paraId="4E176463">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（十一）经营支出</w:t>
      </w:r>
      <w:r>
        <w:rPr>
          <w:rFonts w:hint="eastAsia" w:ascii="Times New Roman" w:hAnsi="Times New Roman" w:cs="宋体"/>
          <w:kern w:val="0"/>
          <w:szCs w:val="32"/>
        </w:rPr>
        <w:t>：指事业单位在专业业务活动及其辅助活动之外开展非独立核算经营活动发生的支出。</w:t>
      </w:r>
    </w:p>
    <w:p w14:paraId="4BD8C3C2">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（十二）“三公”经费</w:t>
      </w:r>
      <w:r>
        <w:rPr>
          <w:rFonts w:hint="eastAsia" w:ascii="Times New Roman" w:hAnsi="Times New Roman" w:cs="宋体"/>
          <w:kern w:val="0"/>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454E58">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（十三）机关运行经费</w:t>
      </w:r>
      <w:r>
        <w:rPr>
          <w:rFonts w:hint="eastAsia" w:ascii="Times New Roman" w:hAnsi="Times New Roman" w:cs="宋体"/>
          <w:kern w:val="0"/>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CA8DE7">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（十四）工资福利支出（支出经济分类科目类级）</w:t>
      </w:r>
      <w:r>
        <w:rPr>
          <w:rFonts w:hint="eastAsia" w:ascii="Times New Roman" w:hAnsi="Times New Roman" w:cs="宋体"/>
          <w:kern w:val="0"/>
          <w:szCs w:val="32"/>
        </w:rPr>
        <w:t>：反映单位开支的在职职工和编制外长期聘用人员的各类劳动报酬，以及为上述人员缴纳的各项社会保险费等。</w:t>
      </w:r>
    </w:p>
    <w:p w14:paraId="7D0C27C3">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（十五）商品和服务支出（支出经济分类科目类级）</w:t>
      </w:r>
      <w:r>
        <w:rPr>
          <w:rFonts w:hint="eastAsia" w:ascii="Times New Roman" w:hAnsi="Times New Roman" w:cs="宋体"/>
          <w:kern w:val="0"/>
          <w:szCs w:val="32"/>
        </w:rPr>
        <w:t>：反映单位购买商品和服务的支出（不包括用于购置固定资产的支出、战略性和应急储备支出）。</w:t>
      </w:r>
    </w:p>
    <w:p w14:paraId="606A61F9">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（十六）对个人和家庭的补助（支出经济分类科目类级）</w:t>
      </w:r>
      <w:r>
        <w:rPr>
          <w:rFonts w:hint="eastAsia" w:ascii="Times New Roman" w:hAnsi="Times New Roman" w:cs="宋体"/>
          <w:kern w:val="0"/>
          <w:szCs w:val="32"/>
        </w:rPr>
        <w:t>：反映用于对个人和家庭的补助支出。</w:t>
      </w:r>
    </w:p>
    <w:p w14:paraId="6C9D3C55">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（十七）其他资本性支出（支出经济分类科目类级）</w:t>
      </w:r>
      <w:r>
        <w:rPr>
          <w:rFonts w:hint="eastAsia" w:ascii="Times New Roman" w:hAnsi="Times New Roman" w:cs="宋体"/>
          <w:kern w:val="0"/>
          <w:szCs w:val="32"/>
        </w:rPr>
        <w:t>：反映非各级发展与改革部门集中安排的用于购置固定资产、战略性和应急性储备、土地和无形资产，以及构建基础设施、大型修缮和财政支持企业更新改造所发生的支出。</w:t>
      </w:r>
    </w:p>
    <w:p w14:paraId="4B6EF4E4">
      <w:pPr>
        <w:widowControl/>
        <w:spacing w:line="600" w:lineRule="exact"/>
        <w:ind w:firstLine="640" w:firstLineChars="200"/>
        <w:rPr>
          <w:rFonts w:ascii="Times New Roman" w:hAnsi="Times New Roman" w:eastAsia="方正黑体_GBK" w:cs="宋体"/>
          <w:b/>
          <w:kern w:val="0"/>
          <w:szCs w:val="32"/>
        </w:rPr>
      </w:pPr>
      <w:r>
        <w:rPr>
          <w:rFonts w:hint="eastAsia" w:eastAsia="方正黑体_GBK" w:cs="宋体"/>
          <w:bCs/>
          <w:kern w:val="0"/>
          <w:lang w:val="en-US" w:eastAsia="zh-CN"/>
        </w:rPr>
        <w:t>七</w:t>
      </w:r>
      <w:r>
        <w:rPr>
          <w:rFonts w:hint="eastAsia" w:ascii="Times New Roman" w:hAnsi="Times New Roman" w:eastAsia="方正黑体_GBK" w:cs="宋体"/>
          <w:bCs/>
          <w:kern w:val="0"/>
        </w:rPr>
        <w:t>、决算公开联系方式及信息反馈渠道</w:t>
      </w:r>
    </w:p>
    <w:p w14:paraId="0EE224CE">
      <w:pPr>
        <w:adjustRightInd w:val="0"/>
        <w:snapToGrid w:val="0"/>
        <w:spacing w:line="600" w:lineRule="exact"/>
        <w:rPr>
          <w:rFonts w:hint="eastAsia" w:ascii="Times New Roman" w:hAnsi="Times New Roman" w:cs="Times New Roman"/>
          <w:szCs w:val="32"/>
        </w:rPr>
      </w:pPr>
      <w:r>
        <w:rPr>
          <w:rFonts w:hint="eastAsia" w:ascii="Times New Roman" w:hAnsi="Times New Roman" w:cs="宋体"/>
          <w:kern w:val="0"/>
          <w:szCs w:val="32"/>
        </w:rPr>
        <w:t>本单位决算公开信息反馈和联系方式：</w:t>
      </w:r>
      <w:r>
        <w:rPr>
          <w:rFonts w:hint="eastAsia" w:cs="宋体"/>
          <w:kern w:val="0"/>
          <w:szCs w:val="32"/>
          <w:lang w:val="en-US" w:eastAsia="zh-CN"/>
        </w:rPr>
        <w:t>023-68789720</w:t>
      </w:r>
    </w:p>
    <w:p w14:paraId="57610853">
      <w:pPr>
        <w:adjustRightInd w:val="0"/>
        <w:snapToGrid w:val="0"/>
        <w:spacing w:line="600" w:lineRule="exact"/>
        <w:ind w:firstLine="640" w:firstLineChars="200"/>
        <w:rPr>
          <w:rFonts w:hint="eastAsia" w:ascii="Times New Roman" w:hAnsi="Times New Roman" w:cs="Times New Roman"/>
          <w:szCs w:val="32"/>
        </w:rPr>
      </w:pPr>
    </w:p>
    <w:p w14:paraId="4E9F14F7">
      <w:pPr>
        <w:adjustRightInd w:val="0"/>
        <w:snapToGrid w:val="0"/>
        <w:spacing w:line="600" w:lineRule="exact"/>
        <w:ind w:firstLine="640" w:firstLineChars="200"/>
        <w:rPr>
          <w:rFonts w:ascii="Times New Roman" w:hAnsi="Times New Roman" w:cs="Times New Roman"/>
          <w:szCs w:val="32"/>
        </w:rPr>
      </w:pPr>
      <w:r>
        <w:rPr>
          <w:rFonts w:hint="eastAsia" w:ascii="Times New Roman" w:hAnsi="Times New Roman" w:cs="Times New Roman"/>
          <w:szCs w:val="32"/>
        </w:rPr>
        <w:t>附件：1.收入支出决算总表</w:t>
      </w:r>
    </w:p>
    <w:p w14:paraId="065CB0B0">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2.收入决算表</w:t>
      </w:r>
    </w:p>
    <w:p w14:paraId="1C864765">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3.支出决算表</w:t>
      </w:r>
    </w:p>
    <w:p w14:paraId="007ABDCA">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4.财政拨款收入支出决算总表</w:t>
      </w:r>
    </w:p>
    <w:p w14:paraId="29024504">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5.一般公共预算财政拨款支出决算表</w:t>
      </w:r>
    </w:p>
    <w:p w14:paraId="225EBBF6">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6.一般公共预算财政拨款基本支出决算表</w:t>
      </w:r>
    </w:p>
    <w:p w14:paraId="3E1F6F26">
      <w:pPr>
        <w:adjustRightInd w:val="0"/>
        <w:snapToGrid w:val="0"/>
        <w:spacing w:line="600" w:lineRule="exact"/>
        <w:rPr>
          <w:rFonts w:ascii="Times New Roman" w:hAnsi="Times New Roman" w:cs="Times New Roman"/>
          <w:szCs w:val="32"/>
        </w:rPr>
      </w:pPr>
      <w:r>
        <w:rPr>
          <w:rFonts w:hint="eastAsia" w:ascii="Times New Roman" w:hAnsi="Times New Roman" w:cs="Times New Roman"/>
          <w:szCs w:val="32"/>
        </w:rPr>
        <w:t xml:space="preserve">          7.政府性基金预算财政拨款收入支出决算表</w:t>
      </w:r>
    </w:p>
    <w:p w14:paraId="5B82EF0A">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8.国有资本经营预算财政拨款支出决算表</w:t>
      </w:r>
    </w:p>
    <w:p w14:paraId="258291DF">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9.机构运行信息表</w:t>
      </w:r>
      <w:r>
        <w:rPr>
          <w:rFonts w:ascii="Times New Roman" w:hAnsi="Times New Roman" w:eastAsia="方正黑体_GBK" w:cs="Times New Roman"/>
          <w:szCs w:val="32"/>
        </w:rPr>
        <w:br w:type="page"/>
      </w:r>
    </w:p>
    <w:p w14:paraId="0BBB1BC8">
      <w:pPr>
        <w:rPr>
          <w:rFonts w:hint="eastAsia"/>
          <w:lang w:val="en-US" w:eastAsia="zh-CN"/>
        </w:rPr>
      </w:pPr>
      <w:r>
        <w:rPr>
          <w:rFonts w:hint="eastAsia"/>
          <w:lang w:val="en-US" w:eastAsia="zh-CN"/>
        </w:rPr>
        <w:t>附件1</w:t>
      </w:r>
    </w:p>
    <w:tbl>
      <w:tblPr>
        <w:tblStyle w:val="3"/>
        <w:tblW w:w="87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076"/>
        <w:gridCol w:w="1475"/>
        <w:gridCol w:w="2648"/>
        <w:gridCol w:w="1523"/>
      </w:tblGrid>
      <w:tr w14:paraId="3427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84" w:hRule="atLeast"/>
          <w:jc w:val="center"/>
        </w:trPr>
        <w:tc>
          <w:tcPr>
            <w:tcW w:w="8722" w:type="dxa"/>
            <w:gridSpan w:val="4"/>
            <w:tcBorders>
              <w:top w:val="nil"/>
              <w:left w:val="nil"/>
              <w:bottom w:val="nil"/>
              <w:right w:val="nil"/>
            </w:tcBorders>
            <w:shd w:val="clear" w:color="auto" w:fill="auto"/>
            <w:noWrap/>
            <w:vAlign w:val="bottom"/>
          </w:tcPr>
          <w:p w14:paraId="2FEFFAB4">
            <w:pPr>
              <w:keepNext w:val="0"/>
              <w:keepLines w:val="0"/>
              <w:widowControl/>
              <w:suppressLineNumbers w:val="0"/>
              <w:snapToGrid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收入支出决算总表</w:t>
            </w:r>
          </w:p>
          <w:p w14:paraId="3548FA54">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p w14:paraId="57570073">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1C466726">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ACD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96C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4171" w:type="dxa"/>
            <w:gridSpan w:val="2"/>
            <w:tcBorders>
              <w:top w:val="single" w:color="000000" w:sz="4" w:space="0"/>
              <w:left w:val="nil"/>
              <w:bottom w:val="single" w:color="000000" w:sz="4" w:space="0"/>
              <w:right w:val="single" w:color="000000" w:sz="4" w:space="0"/>
            </w:tcBorders>
            <w:shd w:val="clear" w:color="auto" w:fill="auto"/>
            <w:noWrap/>
            <w:vAlign w:val="center"/>
          </w:tcPr>
          <w:p w14:paraId="6D6DF8F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179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45D09EF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475" w:type="dxa"/>
            <w:tcBorders>
              <w:top w:val="nil"/>
              <w:left w:val="nil"/>
              <w:bottom w:val="single" w:color="000000" w:sz="4" w:space="0"/>
              <w:right w:val="single" w:color="000000" w:sz="4" w:space="0"/>
            </w:tcBorders>
            <w:shd w:val="clear" w:color="auto" w:fill="auto"/>
            <w:noWrap/>
            <w:vAlign w:val="center"/>
          </w:tcPr>
          <w:p w14:paraId="3AB191E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648" w:type="dxa"/>
            <w:tcBorders>
              <w:top w:val="nil"/>
              <w:left w:val="nil"/>
              <w:bottom w:val="single" w:color="000000" w:sz="4" w:space="0"/>
              <w:right w:val="single" w:color="000000" w:sz="4" w:space="0"/>
            </w:tcBorders>
            <w:shd w:val="clear" w:color="auto" w:fill="auto"/>
            <w:noWrap/>
            <w:vAlign w:val="center"/>
          </w:tcPr>
          <w:p w14:paraId="796F93F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1523" w:type="dxa"/>
            <w:tcBorders>
              <w:top w:val="nil"/>
              <w:left w:val="nil"/>
              <w:bottom w:val="single" w:color="000000" w:sz="4" w:space="0"/>
              <w:right w:val="single" w:color="000000" w:sz="4" w:space="0"/>
            </w:tcBorders>
            <w:shd w:val="clear" w:color="auto" w:fill="auto"/>
            <w:noWrap/>
            <w:vAlign w:val="center"/>
          </w:tcPr>
          <w:p w14:paraId="2521A3D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3A2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0D3130B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1475" w:type="dxa"/>
            <w:tcBorders>
              <w:top w:val="nil"/>
              <w:left w:val="nil"/>
              <w:bottom w:val="single" w:color="000000" w:sz="4" w:space="0"/>
              <w:right w:val="single" w:color="000000" w:sz="4" w:space="0"/>
            </w:tcBorders>
            <w:shd w:val="clear" w:color="auto" w:fill="auto"/>
            <w:noWrap/>
            <w:vAlign w:val="center"/>
          </w:tcPr>
          <w:p w14:paraId="0B75F97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2648" w:type="dxa"/>
            <w:tcBorders>
              <w:top w:val="nil"/>
              <w:left w:val="nil"/>
              <w:bottom w:val="single" w:color="000000" w:sz="4" w:space="0"/>
              <w:right w:val="single" w:color="000000" w:sz="4" w:space="0"/>
            </w:tcBorders>
            <w:shd w:val="clear" w:color="auto" w:fill="auto"/>
            <w:noWrap/>
            <w:vAlign w:val="center"/>
          </w:tcPr>
          <w:p w14:paraId="789C2F5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523" w:type="dxa"/>
            <w:tcBorders>
              <w:top w:val="nil"/>
              <w:left w:val="nil"/>
              <w:bottom w:val="single" w:color="000000" w:sz="4" w:space="0"/>
              <w:right w:val="single" w:color="000000" w:sz="4" w:space="0"/>
            </w:tcBorders>
            <w:shd w:val="clear" w:color="auto" w:fill="auto"/>
            <w:noWrap/>
            <w:vAlign w:val="center"/>
          </w:tcPr>
          <w:p w14:paraId="6712F41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9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34CD832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1475" w:type="dxa"/>
            <w:tcBorders>
              <w:top w:val="nil"/>
              <w:left w:val="nil"/>
              <w:bottom w:val="single" w:color="000000" w:sz="4" w:space="0"/>
              <w:right w:val="single" w:color="000000" w:sz="4" w:space="0"/>
            </w:tcBorders>
            <w:shd w:val="clear" w:color="auto" w:fill="auto"/>
            <w:noWrap/>
            <w:vAlign w:val="center"/>
          </w:tcPr>
          <w:p w14:paraId="423784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2FE8357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523" w:type="dxa"/>
            <w:tcBorders>
              <w:top w:val="nil"/>
              <w:left w:val="nil"/>
              <w:bottom w:val="single" w:color="000000" w:sz="4" w:space="0"/>
              <w:right w:val="single" w:color="000000" w:sz="4" w:space="0"/>
            </w:tcBorders>
            <w:shd w:val="clear" w:color="auto" w:fill="auto"/>
            <w:noWrap/>
            <w:vAlign w:val="center"/>
          </w:tcPr>
          <w:p w14:paraId="49EDB16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72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03F8CB5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1475" w:type="dxa"/>
            <w:tcBorders>
              <w:top w:val="nil"/>
              <w:left w:val="nil"/>
              <w:bottom w:val="single" w:color="000000" w:sz="4" w:space="0"/>
              <w:right w:val="single" w:color="000000" w:sz="4" w:space="0"/>
            </w:tcBorders>
            <w:shd w:val="clear" w:color="auto" w:fill="auto"/>
            <w:noWrap/>
            <w:vAlign w:val="center"/>
          </w:tcPr>
          <w:p w14:paraId="18AF239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716C895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523" w:type="dxa"/>
            <w:tcBorders>
              <w:top w:val="nil"/>
              <w:left w:val="nil"/>
              <w:bottom w:val="single" w:color="000000" w:sz="4" w:space="0"/>
              <w:right w:val="single" w:color="000000" w:sz="4" w:space="0"/>
            </w:tcBorders>
            <w:shd w:val="clear" w:color="auto" w:fill="auto"/>
            <w:noWrap/>
            <w:vAlign w:val="center"/>
          </w:tcPr>
          <w:p w14:paraId="1E7557E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50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2626205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1475" w:type="dxa"/>
            <w:tcBorders>
              <w:top w:val="nil"/>
              <w:left w:val="nil"/>
              <w:bottom w:val="single" w:color="000000" w:sz="4" w:space="0"/>
              <w:right w:val="single" w:color="000000" w:sz="4" w:space="0"/>
            </w:tcBorders>
            <w:shd w:val="clear" w:color="auto" w:fill="auto"/>
            <w:noWrap/>
            <w:vAlign w:val="center"/>
          </w:tcPr>
          <w:p w14:paraId="7BD687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4D9AA3B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523" w:type="dxa"/>
            <w:tcBorders>
              <w:top w:val="nil"/>
              <w:left w:val="nil"/>
              <w:bottom w:val="single" w:color="000000" w:sz="4" w:space="0"/>
              <w:right w:val="single" w:color="000000" w:sz="4" w:space="0"/>
            </w:tcBorders>
            <w:shd w:val="clear" w:color="auto" w:fill="auto"/>
            <w:noWrap/>
            <w:vAlign w:val="center"/>
          </w:tcPr>
          <w:p w14:paraId="3EDDDBB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r>
      <w:tr w14:paraId="22AD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03E6F80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1475" w:type="dxa"/>
            <w:tcBorders>
              <w:top w:val="nil"/>
              <w:left w:val="nil"/>
              <w:bottom w:val="single" w:color="000000" w:sz="4" w:space="0"/>
              <w:right w:val="single" w:color="000000" w:sz="4" w:space="0"/>
            </w:tcBorders>
            <w:shd w:val="clear" w:color="auto" w:fill="auto"/>
            <w:noWrap/>
            <w:vAlign w:val="center"/>
          </w:tcPr>
          <w:p w14:paraId="7A5B608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47DC8D7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523" w:type="dxa"/>
            <w:tcBorders>
              <w:top w:val="nil"/>
              <w:left w:val="nil"/>
              <w:bottom w:val="single" w:color="000000" w:sz="4" w:space="0"/>
              <w:right w:val="single" w:color="000000" w:sz="4" w:space="0"/>
            </w:tcBorders>
            <w:shd w:val="clear" w:color="auto" w:fill="auto"/>
            <w:noWrap/>
            <w:vAlign w:val="center"/>
          </w:tcPr>
          <w:p w14:paraId="0AD4DE4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BB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4E6925F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1475" w:type="dxa"/>
            <w:tcBorders>
              <w:top w:val="nil"/>
              <w:left w:val="nil"/>
              <w:bottom w:val="single" w:color="000000" w:sz="4" w:space="0"/>
              <w:right w:val="single" w:color="000000" w:sz="4" w:space="0"/>
            </w:tcBorders>
            <w:shd w:val="clear" w:color="auto" w:fill="auto"/>
            <w:noWrap/>
            <w:vAlign w:val="center"/>
          </w:tcPr>
          <w:p w14:paraId="19A1336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69E61F8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523" w:type="dxa"/>
            <w:tcBorders>
              <w:top w:val="nil"/>
              <w:left w:val="nil"/>
              <w:bottom w:val="single" w:color="000000" w:sz="4" w:space="0"/>
              <w:right w:val="single" w:color="000000" w:sz="4" w:space="0"/>
            </w:tcBorders>
            <w:shd w:val="clear" w:color="auto" w:fill="auto"/>
            <w:noWrap/>
            <w:vAlign w:val="center"/>
          </w:tcPr>
          <w:p w14:paraId="7EE67A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99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3F25FE6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1475" w:type="dxa"/>
            <w:tcBorders>
              <w:top w:val="nil"/>
              <w:left w:val="nil"/>
              <w:bottom w:val="single" w:color="000000" w:sz="4" w:space="0"/>
              <w:right w:val="single" w:color="000000" w:sz="4" w:space="0"/>
            </w:tcBorders>
            <w:shd w:val="clear" w:color="auto" w:fill="auto"/>
            <w:noWrap/>
            <w:vAlign w:val="center"/>
          </w:tcPr>
          <w:p w14:paraId="7D61604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659CB2D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523" w:type="dxa"/>
            <w:tcBorders>
              <w:top w:val="nil"/>
              <w:left w:val="nil"/>
              <w:bottom w:val="single" w:color="000000" w:sz="4" w:space="0"/>
              <w:right w:val="single" w:color="000000" w:sz="4" w:space="0"/>
            </w:tcBorders>
            <w:shd w:val="clear" w:color="auto" w:fill="auto"/>
            <w:noWrap/>
            <w:vAlign w:val="center"/>
          </w:tcPr>
          <w:p w14:paraId="753B5B6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A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319119E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1475" w:type="dxa"/>
            <w:tcBorders>
              <w:top w:val="nil"/>
              <w:left w:val="nil"/>
              <w:bottom w:val="nil"/>
              <w:right w:val="single" w:color="000000" w:sz="4" w:space="0"/>
            </w:tcBorders>
            <w:shd w:val="clear" w:color="auto" w:fill="auto"/>
            <w:noWrap/>
            <w:vAlign w:val="center"/>
          </w:tcPr>
          <w:p w14:paraId="5AB262D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0700923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523" w:type="dxa"/>
            <w:tcBorders>
              <w:top w:val="nil"/>
              <w:left w:val="nil"/>
              <w:bottom w:val="single" w:color="000000" w:sz="4" w:space="0"/>
              <w:right w:val="single" w:color="000000" w:sz="4" w:space="0"/>
            </w:tcBorders>
            <w:shd w:val="clear" w:color="auto" w:fill="auto"/>
            <w:noWrap/>
            <w:vAlign w:val="center"/>
          </w:tcPr>
          <w:p w14:paraId="5915325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0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1F213026">
            <w:pPr>
              <w:snapToGrid w:val="0"/>
              <w:jc w:val="left"/>
              <w:rPr>
                <w:rFonts w:hint="eastAsia" w:ascii="宋体" w:hAnsi="宋体" w:eastAsia="宋体" w:cs="宋体"/>
                <w:b/>
                <w:bCs/>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02677">
            <w:pPr>
              <w:snapToGrid w:val="0"/>
              <w:jc w:val="right"/>
              <w:rPr>
                <w:rFonts w:hint="default" w:ascii="Arial" w:hAnsi="Arial" w:eastAsia="宋体" w:cs="Arial"/>
                <w:i w:val="0"/>
                <w:iCs w:val="0"/>
                <w:color w:val="000000"/>
                <w:sz w:val="20"/>
                <w:szCs w:val="20"/>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57C2652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523" w:type="dxa"/>
            <w:tcBorders>
              <w:top w:val="nil"/>
              <w:left w:val="nil"/>
              <w:bottom w:val="single" w:color="000000" w:sz="4" w:space="0"/>
              <w:right w:val="single" w:color="000000" w:sz="4" w:space="0"/>
            </w:tcBorders>
            <w:shd w:val="clear" w:color="auto" w:fill="auto"/>
            <w:noWrap/>
            <w:vAlign w:val="center"/>
          </w:tcPr>
          <w:p w14:paraId="32E7615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8B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16CDD14C">
            <w:pPr>
              <w:snapToGrid w:val="0"/>
              <w:jc w:val="left"/>
              <w:rPr>
                <w:rFonts w:hint="eastAsia" w:ascii="宋体" w:hAnsi="宋体" w:eastAsia="宋体" w:cs="宋体"/>
                <w:b/>
                <w:bCs/>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93838">
            <w:pPr>
              <w:snapToGrid w:val="0"/>
              <w:jc w:val="right"/>
              <w:rPr>
                <w:rFonts w:hint="default" w:ascii="Arial" w:hAnsi="Arial" w:eastAsia="宋体" w:cs="Arial"/>
                <w:i w:val="0"/>
                <w:iCs w:val="0"/>
                <w:color w:val="000000"/>
                <w:sz w:val="20"/>
                <w:szCs w:val="20"/>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01EC16B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523" w:type="dxa"/>
            <w:tcBorders>
              <w:top w:val="nil"/>
              <w:left w:val="nil"/>
              <w:bottom w:val="single" w:color="000000" w:sz="4" w:space="0"/>
              <w:right w:val="single" w:color="000000" w:sz="4" w:space="0"/>
            </w:tcBorders>
            <w:shd w:val="clear" w:color="auto" w:fill="auto"/>
            <w:noWrap/>
            <w:vAlign w:val="center"/>
          </w:tcPr>
          <w:p w14:paraId="6537BEC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77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3E051E2F">
            <w:pPr>
              <w:snapToGrid w:val="0"/>
              <w:jc w:val="left"/>
              <w:rPr>
                <w:rFonts w:hint="eastAsia" w:ascii="宋体" w:hAnsi="宋体" w:eastAsia="宋体" w:cs="宋体"/>
                <w:b/>
                <w:bCs/>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24B07">
            <w:pPr>
              <w:snapToGrid w:val="0"/>
              <w:jc w:val="right"/>
              <w:rPr>
                <w:rFonts w:hint="default" w:ascii="Arial" w:hAnsi="Arial" w:eastAsia="宋体" w:cs="Arial"/>
                <w:i w:val="0"/>
                <w:iCs w:val="0"/>
                <w:color w:val="000000"/>
                <w:sz w:val="20"/>
                <w:szCs w:val="20"/>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0D01C83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523" w:type="dxa"/>
            <w:tcBorders>
              <w:top w:val="nil"/>
              <w:left w:val="nil"/>
              <w:bottom w:val="single" w:color="000000" w:sz="4" w:space="0"/>
              <w:right w:val="single" w:color="000000" w:sz="4" w:space="0"/>
            </w:tcBorders>
            <w:shd w:val="clear" w:color="auto" w:fill="auto"/>
            <w:noWrap/>
            <w:vAlign w:val="center"/>
          </w:tcPr>
          <w:p w14:paraId="540B450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2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4308AA4E">
            <w:pPr>
              <w:snapToGrid w:val="0"/>
              <w:jc w:val="left"/>
              <w:rPr>
                <w:rFonts w:hint="eastAsia" w:ascii="宋体" w:hAnsi="宋体" w:eastAsia="宋体" w:cs="宋体"/>
                <w:b/>
                <w:bCs/>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3B18B">
            <w:pPr>
              <w:snapToGrid w:val="0"/>
              <w:jc w:val="right"/>
              <w:rPr>
                <w:rFonts w:hint="default" w:ascii="Arial" w:hAnsi="Arial" w:eastAsia="宋体" w:cs="Arial"/>
                <w:i w:val="0"/>
                <w:iCs w:val="0"/>
                <w:color w:val="000000"/>
                <w:sz w:val="20"/>
                <w:szCs w:val="20"/>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45A9B15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523" w:type="dxa"/>
            <w:tcBorders>
              <w:top w:val="nil"/>
              <w:left w:val="nil"/>
              <w:bottom w:val="single" w:color="000000" w:sz="4" w:space="0"/>
              <w:right w:val="single" w:color="000000" w:sz="4" w:space="0"/>
            </w:tcBorders>
            <w:shd w:val="clear" w:color="auto" w:fill="auto"/>
            <w:noWrap/>
            <w:vAlign w:val="center"/>
          </w:tcPr>
          <w:p w14:paraId="0F3FF40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BE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5E3D877E">
            <w:pPr>
              <w:snapToGrid w:val="0"/>
              <w:jc w:val="left"/>
              <w:rPr>
                <w:rFonts w:hint="eastAsia" w:ascii="宋体" w:hAnsi="宋体" w:eastAsia="宋体" w:cs="宋体"/>
                <w:b/>
                <w:bCs/>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5F57">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351F7C0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523" w:type="dxa"/>
            <w:tcBorders>
              <w:top w:val="nil"/>
              <w:left w:val="nil"/>
              <w:bottom w:val="single" w:color="000000" w:sz="4" w:space="0"/>
              <w:right w:val="single" w:color="000000" w:sz="4" w:space="0"/>
            </w:tcBorders>
            <w:shd w:val="clear" w:color="auto" w:fill="auto"/>
            <w:noWrap/>
            <w:vAlign w:val="center"/>
          </w:tcPr>
          <w:p w14:paraId="55E159A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93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20895C0F">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19DCDEEC">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5DD071F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523" w:type="dxa"/>
            <w:tcBorders>
              <w:top w:val="nil"/>
              <w:left w:val="nil"/>
              <w:bottom w:val="single" w:color="000000" w:sz="4" w:space="0"/>
              <w:right w:val="single" w:color="000000" w:sz="4" w:space="0"/>
            </w:tcBorders>
            <w:shd w:val="clear" w:color="auto" w:fill="auto"/>
            <w:noWrap/>
            <w:vAlign w:val="center"/>
          </w:tcPr>
          <w:p w14:paraId="63F8DCF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03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7D7917B4">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69EFE56A">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71021BF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523" w:type="dxa"/>
            <w:tcBorders>
              <w:top w:val="nil"/>
              <w:left w:val="nil"/>
              <w:bottom w:val="single" w:color="000000" w:sz="4" w:space="0"/>
              <w:right w:val="single" w:color="000000" w:sz="4" w:space="0"/>
            </w:tcBorders>
            <w:shd w:val="clear" w:color="auto" w:fill="auto"/>
            <w:noWrap/>
            <w:vAlign w:val="center"/>
          </w:tcPr>
          <w:p w14:paraId="57D403B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C4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68F45280">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1C96CB27">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04FC535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523" w:type="dxa"/>
            <w:tcBorders>
              <w:top w:val="nil"/>
              <w:left w:val="nil"/>
              <w:bottom w:val="single" w:color="000000" w:sz="4" w:space="0"/>
              <w:right w:val="single" w:color="000000" w:sz="4" w:space="0"/>
            </w:tcBorders>
            <w:shd w:val="clear" w:color="auto" w:fill="auto"/>
            <w:noWrap/>
            <w:vAlign w:val="center"/>
          </w:tcPr>
          <w:p w14:paraId="556C535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A9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571F55DE">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18CCF84B">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2596EC2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523" w:type="dxa"/>
            <w:tcBorders>
              <w:top w:val="nil"/>
              <w:left w:val="nil"/>
              <w:bottom w:val="single" w:color="000000" w:sz="4" w:space="0"/>
              <w:right w:val="single" w:color="000000" w:sz="4" w:space="0"/>
            </w:tcBorders>
            <w:shd w:val="clear" w:color="auto" w:fill="auto"/>
            <w:noWrap/>
            <w:vAlign w:val="center"/>
          </w:tcPr>
          <w:p w14:paraId="387F0A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EE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754472E7">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790D2373">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630549A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523" w:type="dxa"/>
            <w:tcBorders>
              <w:top w:val="nil"/>
              <w:left w:val="nil"/>
              <w:bottom w:val="single" w:color="000000" w:sz="4" w:space="0"/>
              <w:right w:val="single" w:color="000000" w:sz="4" w:space="0"/>
            </w:tcBorders>
            <w:shd w:val="clear" w:color="auto" w:fill="auto"/>
            <w:noWrap/>
            <w:vAlign w:val="center"/>
          </w:tcPr>
          <w:p w14:paraId="52C51AB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FE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1AE9B96B">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06368F37">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1109077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523" w:type="dxa"/>
            <w:tcBorders>
              <w:top w:val="nil"/>
              <w:left w:val="nil"/>
              <w:bottom w:val="single" w:color="000000" w:sz="4" w:space="0"/>
              <w:right w:val="single" w:color="000000" w:sz="4" w:space="0"/>
            </w:tcBorders>
            <w:shd w:val="clear" w:color="auto" w:fill="auto"/>
            <w:noWrap/>
            <w:vAlign w:val="center"/>
          </w:tcPr>
          <w:p w14:paraId="3BDFA5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91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03EEBB3B">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27EB9A0A">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119BD29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523" w:type="dxa"/>
            <w:tcBorders>
              <w:top w:val="nil"/>
              <w:left w:val="nil"/>
              <w:bottom w:val="single" w:color="000000" w:sz="4" w:space="0"/>
              <w:right w:val="single" w:color="000000" w:sz="4" w:space="0"/>
            </w:tcBorders>
            <w:shd w:val="clear" w:color="auto" w:fill="auto"/>
            <w:noWrap/>
            <w:vAlign w:val="center"/>
          </w:tcPr>
          <w:p w14:paraId="630A317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E9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7FE645BA">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0BBFADD3">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69C1C1A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523" w:type="dxa"/>
            <w:tcBorders>
              <w:top w:val="nil"/>
              <w:left w:val="nil"/>
              <w:bottom w:val="single" w:color="000000" w:sz="4" w:space="0"/>
              <w:right w:val="single" w:color="000000" w:sz="4" w:space="0"/>
            </w:tcBorders>
            <w:shd w:val="clear" w:color="auto" w:fill="auto"/>
            <w:noWrap/>
            <w:vAlign w:val="center"/>
          </w:tcPr>
          <w:p w14:paraId="29F5587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FD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7A3DD8DB">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6FAE6788">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4C6236F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523" w:type="dxa"/>
            <w:tcBorders>
              <w:top w:val="nil"/>
              <w:left w:val="nil"/>
              <w:bottom w:val="single" w:color="000000" w:sz="4" w:space="0"/>
              <w:right w:val="single" w:color="000000" w:sz="4" w:space="0"/>
            </w:tcBorders>
            <w:shd w:val="clear" w:color="auto" w:fill="auto"/>
            <w:noWrap/>
            <w:vAlign w:val="center"/>
          </w:tcPr>
          <w:p w14:paraId="704DA21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F9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205421E6">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4E49DF4E">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7DB32D1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523" w:type="dxa"/>
            <w:tcBorders>
              <w:top w:val="nil"/>
              <w:left w:val="nil"/>
              <w:bottom w:val="single" w:color="000000" w:sz="4" w:space="0"/>
              <w:right w:val="single" w:color="000000" w:sz="4" w:space="0"/>
            </w:tcBorders>
            <w:shd w:val="clear" w:color="auto" w:fill="auto"/>
            <w:noWrap/>
            <w:vAlign w:val="center"/>
          </w:tcPr>
          <w:p w14:paraId="64460AE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74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7532F84D">
            <w:pPr>
              <w:snapToGrid w:val="0"/>
              <w:jc w:val="center"/>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03E16CE5">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5D826E5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523" w:type="dxa"/>
            <w:tcBorders>
              <w:top w:val="nil"/>
              <w:left w:val="nil"/>
              <w:bottom w:val="single" w:color="000000" w:sz="4" w:space="0"/>
              <w:right w:val="single" w:color="000000" w:sz="4" w:space="0"/>
            </w:tcBorders>
            <w:shd w:val="clear" w:color="auto" w:fill="auto"/>
            <w:noWrap/>
            <w:vAlign w:val="center"/>
          </w:tcPr>
          <w:p w14:paraId="33C36D8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02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53E2445C">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333889E3">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0B86DD2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523" w:type="dxa"/>
            <w:tcBorders>
              <w:top w:val="nil"/>
              <w:left w:val="nil"/>
              <w:bottom w:val="single" w:color="000000" w:sz="4" w:space="0"/>
              <w:right w:val="single" w:color="000000" w:sz="4" w:space="0"/>
            </w:tcBorders>
            <w:shd w:val="clear" w:color="auto" w:fill="auto"/>
            <w:noWrap/>
            <w:vAlign w:val="center"/>
          </w:tcPr>
          <w:p w14:paraId="705B4D8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15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105CCFB1">
            <w:pPr>
              <w:snapToGrid w:val="0"/>
              <w:jc w:val="left"/>
              <w:rPr>
                <w:rFonts w:hint="eastAsia" w:ascii="宋体" w:hAnsi="宋体" w:eastAsia="宋体" w:cs="宋体"/>
                <w:b/>
                <w:bCs/>
                <w:i w:val="0"/>
                <w:iCs w:val="0"/>
                <w:color w:val="000000"/>
                <w:sz w:val="22"/>
                <w:szCs w:val="22"/>
                <w:u w:val="none"/>
              </w:rPr>
            </w:pPr>
          </w:p>
        </w:tc>
        <w:tc>
          <w:tcPr>
            <w:tcW w:w="1475" w:type="dxa"/>
            <w:tcBorders>
              <w:top w:val="nil"/>
              <w:left w:val="nil"/>
              <w:bottom w:val="single" w:color="000000" w:sz="4" w:space="0"/>
              <w:right w:val="single" w:color="000000" w:sz="4" w:space="0"/>
            </w:tcBorders>
            <w:shd w:val="clear" w:color="auto" w:fill="auto"/>
            <w:noWrap/>
            <w:vAlign w:val="center"/>
          </w:tcPr>
          <w:p w14:paraId="428E0DFD">
            <w:pPr>
              <w:snapToGrid w:val="0"/>
              <w:jc w:val="right"/>
              <w:rPr>
                <w:rFonts w:hint="eastAsia" w:ascii="宋体" w:hAnsi="宋体" w:eastAsia="宋体" w:cs="宋体"/>
                <w:i w:val="0"/>
                <w:iCs w:val="0"/>
                <w:color w:val="000000"/>
                <w:sz w:val="22"/>
                <w:szCs w:val="22"/>
                <w:u w:val="none"/>
              </w:rPr>
            </w:pPr>
          </w:p>
        </w:tc>
        <w:tc>
          <w:tcPr>
            <w:tcW w:w="2648" w:type="dxa"/>
            <w:tcBorders>
              <w:top w:val="nil"/>
              <w:left w:val="nil"/>
              <w:bottom w:val="single" w:color="000000" w:sz="4" w:space="0"/>
              <w:right w:val="single" w:color="000000" w:sz="4" w:space="0"/>
            </w:tcBorders>
            <w:shd w:val="clear" w:color="auto" w:fill="auto"/>
            <w:noWrap/>
            <w:vAlign w:val="center"/>
          </w:tcPr>
          <w:p w14:paraId="38D89A2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523" w:type="dxa"/>
            <w:tcBorders>
              <w:top w:val="nil"/>
              <w:left w:val="nil"/>
              <w:bottom w:val="single" w:color="000000" w:sz="4" w:space="0"/>
              <w:right w:val="single" w:color="000000" w:sz="4" w:space="0"/>
            </w:tcBorders>
            <w:shd w:val="clear" w:color="auto" w:fill="auto"/>
            <w:noWrap/>
            <w:vAlign w:val="center"/>
          </w:tcPr>
          <w:p w14:paraId="5E2C62C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45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1E1E690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475" w:type="dxa"/>
            <w:tcBorders>
              <w:top w:val="nil"/>
              <w:left w:val="nil"/>
              <w:bottom w:val="single" w:color="000000" w:sz="4" w:space="0"/>
              <w:right w:val="single" w:color="000000" w:sz="4" w:space="0"/>
            </w:tcBorders>
            <w:shd w:val="clear" w:color="auto" w:fill="auto"/>
            <w:noWrap/>
            <w:vAlign w:val="center"/>
          </w:tcPr>
          <w:p w14:paraId="63B3732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2648" w:type="dxa"/>
            <w:tcBorders>
              <w:top w:val="nil"/>
              <w:left w:val="nil"/>
              <w:bottom w:val="single" w:color="000000" w:sz="4" w:space="0"/>
              <w:right w:val="single" w:color="000000" w:sz="4" w:space="0"/>
            </w:tcBorders>
            <w:shd w:val="clear" w:color="auto" w:fill="auto"/>
            <w:noWrap/>
            <w:vAlign w:val="center"/>
          </w:tcPr>
          <w:p w14:paraId="2947DA3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23" w:type="dxa"/>
            <w:tcBorders>
              <w:top w:val="nil"/>
              <w:left w:val="nil"/>
              <w:bottom w:val="single" w:color="000000" w:sz="4" w:space="0"/>
              <w:right w:val="single" w:color="000000" w:sz="4" w:space="0"/>
            </w:tcBorders>
            <w:shd w:val="clear" w:color="auto" w:fill="auto"/>
            <w:noWrap/>
            <w:vAlign w:val="center"/>
          </w:tcPr>
          <w:p w14:paraId="77FDDE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r>
      <w:tr w14:paraId="43D0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0FCDED1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1475" w:type="dxa"/>
            <w:tcBorders>
              <w:top w:val="nil"/>
              <w:left w:val="nil"/>
              <w:bottom w:val="single" w:color="000000" w:sz="4" w:space="0"/>
              <w:right w:val="single" w:color="000000" w:sz="4" w:space="0"/>
            </w:tcBorders>
            <w:shd w:val="clear" w:color="auto" w:fill="auto"/>
            <w:noWrap/>
            <w:vAlign w:val="center"/>
          </w:tcPr>
          <w:p w14:paraId="5A21D06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7CFE788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523" w:type="dxa"/>
            <w:tcBorders>
              <w:top w:val="nil"/>
              <w:left w:val="nil"/>
              <w:bottom w:val="single" w:color="000000" w:sz="4" w:space="0"/>
              <w:right w:val="single" w:color="000000" w:sz="4" w:space="0"/>
            </w:tcBorders>
            <w:shd w:val="clear" w:color="auto" w:fill="auto"/>
            <w:noWrap/>
            <w:vAlign w:val="center"/>
          </w:tcPr>
          <w:p w14:paraId="7F233AA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1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1070CC2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475" w:type="dxa"/>
            <w:tcBorders>
              <w:top w:val="nil"/>
              <w:left w:val="nil"/>
              <w:bottom w:val="single" w:color="000000" w:sz="4" w:space="0"/>
              <w:right w:val="single" w:color="000000" w:sz="4" w:space="0"/>
            </w:tcBorders>
            <w:shd w:val="clear" w:color="auto" w:fill="auto"/>
            <w:noWrap/>
            <w:vAlign w:val="center"/>
          </w:tcPr>
          <w:p w14:paraId="0B47016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48" w:type="dxa"/>
            <w:tcBorders>
              <w:top w:val="nil"/>
              <w:left w:val="nil"/>
              <w:bottom w:val="single" w:color="000000" w:sz="4" w:space="0"/>
              <w:right w:val="single" w:color="000000" w:sz="4" w:space="0"/>
            </w:tcBorders>
            <w:shd w:val="clear" w:color="auto" w:fill="auto"/>
            <w:noWrap/>
            <w:vAlign w:val="center"/>
          </w:tcPr>
          <w:p w14:paraId="3ACD456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523" w:type="dxa"/>
            <w:tcBorders>
              <w:top w:val="nil"/>
              <w:left w:val="nil"/>
              <w:bottom w:val="nil"/>
              <w:right w:val="single" w:color="000000" w:sz="4" w:space="0"/>
            </w:tcBorders>
            <w:shd w:val="clear" w:color="auto" w:fill="auto"/>
            <w:noWrap/>
            <w:vAlign w:val="center"/>
          </w:tcPr>
          <w:p w14:paraId="3227019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C6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6" w:type="dxa"/>
            <w:tcBorders>
              <w:top w:val="nil"/>
              <w:left w:val="single" w:color="000000" w:sz="4" w:space="0"/>
              <w:bottom w:val="single" w:color="000000" w:sz="4" w:space="0"/>
              <w:right w:val="single" w:color="000000" w:sz="4" w:space="0"/>
            </w:tcBorders>
            <w:shd w:val="clear" w:color="auto" w:fill="auto"/>
            <w:noWrap/>
            <w:vAlign w:val="center"/>
          </w:tcPr>
          <w:p w14:paraId="7E63814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316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2648" w:type="dxa"/>
            <w:tcBorders>
              <w:top w:val="nil"/>
              <w:left w:val="nil"/>
              <w:bottom w:val="single" w:color="000000" w:sz="4" w:space="0"/>
              <w:right w:val="nil"/>
            </w:tcBorders>
            <w:shd w:val="clear" w:color="auto" w:fill="auto"/>
            <w:noWrap/>
            <w:vAlign w:val="center"/>
          </w:tcPr>
          <w:p w14:paraId="24764CA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3E2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5,711,938.06</w:t>
            </w:r>
          </w:p>
        </w:tc>
      </w:tr>
      <w:tr w14:paraId="3C44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722" w:type="dxa"/>
            <w:gridSpan w:val="4"/>
            <w:tcBorders>
              <w:top w:val="nil"/>
              <w:left w:val="nil"/>
              <w:bottom w:val="nil"/>
              <w:right w:val="nil"/>
            </w:tcBorders>
            <w:shd w:val="clear" w:color="auto" w:fill="auto"/>
            <w:vAlign w:val="center"/>
          </w:tcPr>
          <w:p w14:paraId="45AAED0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5F1904EF">
      <w:pPr>
        <w:rPr>
          <w:rFonts w:hint="default"/>
          <w:lang w:val="en-US" w:eastAsia="zh-CN"/>
        </w:rPr>
      </w:pPr>
    </w:p>
    <w:p w14:paraId="02E7FAEC">
      <w:pPr>
        <w:rPr>
          <w:rFonts w:hint="eastAsia"/>
          <w:lang w:val="en-US" w:eastAsia="zh-CN"/>
        </w:rPr>
      </w:pPr>
      <w:r>
        <w:rPr>
          <w:rFonts w:hint="eastAsia"/>
          <w:lang w:val="en-US" w:eastAsia="zh-CN"/>
        </w:rPr>
        <w:t>附件2</w:t>
      </w:r>
    </w:p>
    <w:tbl>
      <w:tblPr>
        <w:tblStyle w:val="3"/>
        <w:tblW w:w="9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1100"/>
        <w:gridCol w:w="1666"/>
        <w:gridCol w:w="1690"/>
        <w:gridCol w:w="610"/>
        <w:gridCol w:w="484"/>
        <w:gridCol w:w="616"/>
        <w:gridCol w:w="484"/>
        <w:gridCol w:w="683"/>
        <w:gridCol w:w="750"/>
      </w:tblGrid>
      <w:tr w14:paraId="7028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085" w:type="dxa"/>
            <w:gridSpan w:val="10"/>
            <w:tcBorders>
              <w:top w:val="nil"/>
              <w:left w:val="nil"/>
              <w:bottom w:val="nil"/>
              <w:right w:val="nil"/>
            </w:tcBorders>
            <w:shd w:val="clear" w:color="auto" w:fill="auto"/>
            <w:noWrap/>
            <w:vAlign w:val="bottom"/>
          </w:tcPr>
          <w:p w14:paraId="1D7CD5F2">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收入决算表</w:t>
            </w:r>
          </w:p>
          <w:p w14:paraId="0BBE699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p w14:paraId="40BD8B0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08574AF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73E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102" w:type="dxa"/>
            <w:gridSpan w:val="2"/>
            <w:tcBorders>
              <w:top w:val="single" w:color="000000" w:sz="4" w:space="0"/>
              <w:left w:val="single" w:color="000000" w:sz="4" w:space="0"/>
              <w:bottom w:val="single" w:color="000000" w:sz="4" w:space="0"/>
              <w:right w:val="nil"/>
            </w:tcBorders>
            <w:shd w:val="clear" w:color="auto" w:fill="auto"/>
            <w:noWrap/>
            <w:vAlign w:val="bottom"/>
          </w:tcPr>
          <w:p w14:paraId="5E9D88B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B4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22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BFB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730C3">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F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FD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06B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F30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dxa"/>
            <w:vMerge w:val="restart"/>
            <w:tcBorders>
              <w:top w:val="nil"/>
              <w:left w:val="single" w:color="000000" w:sz="4" w:space="0"/>
              <w:bottom w:val="single" w:color="000000" w:sz="4" w:space="0"/>
              <w:right w:val="single" w:color="000000" w:sz="4" w:space="0"/>
            </w:tcBorders>
            <w:shd w:val="clear" w:color="auto" w:fill="auto"/>
            <w:noWrap/>
            <w:vAlign w:val="center"/>
          </w:tcPr>
          <w:p w14:paraId="1D3FC4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100" w:type="dxa"/>
            <w:vMerge w:val="restart"/>
            <w:tcBorders>
              <w:top w:val="nil"/>
              <w:left w:val="nil"/>
              <w:bottom w:val="single" w:color="000000" w:sz="4" w:space="0"/>
              <w:right w:val="nil"/>
            </w:tcBorders>
            <w:shd w:val="clear" w:color="auto" w:fill="auto"/>
            <w:noWrap/>
            <w:vAlign w:val="center"/>
          </w:tcPr>
          <w:p w14:paraId="4CB83E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2C7A">
            <w:pPr>
              <w:jc w:val="center"/>
              <w:rPr>
                <w:rFonts w:hint="eastAsia" w:ascii="宋体" w:hAnsi="宋体" w:eastAsia="宋体" w:cs="宋体"/>
                <w:b/>
                <w:bCs/>
                <w:i w:val="0"/>
                <w:iCs w:val="0"/>
                <w:color w:val="000000"/>
                <w:sz w:val="22"/>
                <w:szCs w:val="22"/>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2A6C">
            <w:pPr>
              <w:jc w:val="center"/>
              <w:rPr>
                <w:rFonts w:hint="eastAsia" w:ascii="宋体" w:hAnsi="宋体" w:eastAsia="宋体" w:cs="宋体"/>
                <w:b/>
                <w:bCs/>
                <w:i w:val="0"/>
                <w:iCs w:val="0"/>
                <w:color w:val="000000"/>
                <w:sz w:val="22"/>
                <w:szCs w:val="22"/>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E848">
            <w:pPr>
              <w:jc w:val="center"/>
              <w:rPr>
                <w:rFonts w:hint="eastAsia" w:ascii="宋体" w:hAnsi="宋体" w:eastAsia="宋体" w:cs="宋体"/>
                <w:b/>
                <w:bCs/>
                <w:i w:val="0"/>
                <w:iCs w:val="0"/>
                <w:color w:val="000000"/>
                <w:sz w:val="22"/>
                <w:szCs w:val="22"/>
                <w:u w:val="none"/>
              </w:rPr>
            </w:pP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ABF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9F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1E1C">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64FE">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4175">
            <w:pPr>
              <w:jc w:val="center"/>
              <w:rPr>
                <w:rFonts w:hint="eastAsia" w:ascii="宋体" w:hAnsi="宋体" w:eastAsia="宋体" w:cs="宋体"/>
                <w:b/>
                <w:bCs/>
                <w:i w:val="0"/>
                <w:iCs w:val="0"/>
                <w:color w:val="000000"/>
                <w:sz w:val="22"/>
                <w:szCs w:val="22"/>
                <w:u w:val="none"/>
              </w:rPr>
            </w:pPr>
          </w:p>
        </w:tc>
      </w:tr>
      <w:tr w14:paraId="427D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01796F">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nil"/>
            </w:tcBorders>
            <w:shd w:val="clear" w:color="auto" w:fill="auto"/>
            <w:noWrap/>
            <w:vAlign w:val="center"/>
          </w:tcPr>
          <w:p w14:paraId="1FB04241">
            <w:pPr>
              <w:jc w:val="center"/>
              <w:rPr>
                <w:rFonts w:hint="eastAsia" w:ascii="宋体" w:hAnsi="宋体" w:eastAsia="宋体" w:cs="宋体"/>
                <w:b/>
                <w:bCs/>
                <w:i w:val="0"/>
                <w:iCs w:val="0"/>
                <w:color w:val="000000"/>
                <w:sz w:val="22"/>
                <w:szCs w:val="22"/>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3175">
            <w:pPr>
              <w:jc w:val="center"/>
              <w:rPr>
                <w:rFonts w:hint="eastAsia" w:ascii="宋体" w:hAnsi="宋体" w:eastAsia="宋体" w:cs="宋体"/>
                <w:b/>
                <w:bCs/>
                <w:i w:val="0"/>
                <w:iCs w:val="0"/>
                <w:color w:val="000000"/>
                <w:sz w:val="22"/>
                <w:szCs w:val="22"/>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ACE1">
            <w:pPr>
              <w:jc w:val="center"/>
              <w:rPr>
                <w:rFonts w:hint="eastAsia" w:ascii="宋体" w:hAnsi="宋体" w:eastAsia="宋体" w:cs="宋体"/>
                <w:b/>
                <w:bCs/>
                <w:i w:val="0"/>
                <w:iCs w:val="0"/>
                <w:color w:val="000000"/>
                <w:sz w:val="22"/>
                <w:szCs w:val="22"/>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C77E">
            <w:pPr>
              <w:jc w:val="center"/>
              <w:rPr>
                <w:rFonts w:hint="eastAsia" w:ascii="宋体" w:hAnsi="宋体" w:eastAsia="宋体" w:cs="宋体"/>
                <w:b/>
                <w:bCs/>
                <w:i w:val="0"/>
                <w:iCs w:val="0"/>
                <w:color w:val="000000"/>
                <w:sz w:val="22"/>
                <w:szCs w:val="22"/>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EE7F">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736E">
            <w:pPr>
              <w:jc w:val="center"/>
              <w:rPr>
                <w:rFonts w:hint="eastAsia" w:ascii="宋体" w:hAnsi="宋体" w:eastAsia="宋体" w:cs="宋体"/>
                <w:b/>
                <w:bCs/>
                <w:i w:val="0"/>
                <w:iCs w:val="0"/>
                <w:color w:val="000000"/>
                <w:sz w:val="22"/>
                <w:szCs w:val="22"/>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EBC8">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ACC0">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9AFC">
            <w:pPr>
              <w:jc w:val="center"/>
              <w:rPr>
                <w:rFonts w:hint="eastAsia" w:ascii="宋体" w:hAnsi="宋体" w:eastAsia="宋体" w:cs="宋体"/>
                <w:b/>
                <w:bCs/>
                <w:i w:val="0"/>
                <w:iCs w:val="0"/>
                <w:color w:val="000000"/>
                <w:sz w:val="22"/>
                <w:szCs w:val="22"/>
                <w:u w:val="none"/>
              </w:rPr>
            </w:pPr>
          </w:p>
        </w:tc>
      </w:tr>
      <w:tr w14:paraId="6944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FA69D4B">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nil"/>
            </w:tcBorders>
            <w:shd w:val="clear" w:color="auto" w:fill="auto"/>
            <w:noWrap/>
            <w:vAlign w:val="center"/>
          </w:tcPr>
          <w:p w14:paraId="2FDBC74C">
            <w:pPr>
              <w:jc w:val="center"/>
              <w:rPr>
                <w:rFonts w:hint="eastAsia" w:ascii="宋体" w:hAnsi="宋体" w:eastAsia="宋体" w:cs="宋体"/>
                <w:b/>
                <w:bCs/>
                <w:i w:val="0"/>
                <w:iCs w:val="0"/>
                <w:color w:val="000000"/>
                <w:sz w:val="22"/>
                <w:szCs w:val="22"/>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D3BE">
            <w:pPr>
              <w:jc w:val="center"/>
              <w:rPr>
                <w:rFonts w:hint="eastAsia" w:ascii="宋体" w:hAnsi="宋体" w:eastAsia="宋体" w:cs="宋体"/>
                <w:b/>
                <w:bCs/>
                <w:i w:val="0"/>
                <w:iCs w:val="0"/>
                <w:color w:val="000000"/>
                <w:sz w:val="22"/>
                <w:szCs w:val="22"/>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E897">
            <w:pPr>
              <w:jc w:val="center"/>
              <w:rPr>
                <w:rFonts w:hint="eastAsia" w:ascii="宋体" w:hAnsi="宋体" w:eastAsia="宋体" w:cs="宋体"/>
                <w:b/>
                <w:bCs/>
                <w:i w:val="0"/>
                <w:iCs w:val="0"/>
                <w:color w:val="000000"/>
                <w:sz w:val="22"/>
                <w:szCs w:val="22"/>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45C6">
            <w:pPr>
              <w:jc w:val="center"/>
              <w:rPr>
                <w:rFonts w:hint="eastAsia" w:ascii="宋体" w:hAnsi="宋体" w:eastAsia="宋体" w:cs="宋体"/>
                <w:b/>
                <w:bCs/>
                <w:i w:val="0"/>
                <w:iCs w:val="0"/>
                <w:color w:val="000000"/>
                <w:sz w:val="22"/>
                <w:szCs w:val="22"/>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7E2D">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7D6C">
            <w:pPr>
              <w:jc w:val="center"/>
              <w:rPr>
                <w:rFonts w:hint="eastAsia" w:ascii="宋体" w:hAnsi="宋体" w:eastAsia="宋体" w:cs="宋体"/>
                <w:b/>
                <w:bCs/>
                <w:i w:val="0"/>
                <w:iCs w:val="0"/>
                <w:color w:val="000000"/>
                <w:sz w:val="22"/>
                <w:szCs w:val="22"/>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8089">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ECF1">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8E38">
            <w:pPr>
              <w:jc w:val="center"/>
              <w:rPr>
                <w:rFonts w:hint="eastAsia" w:ascii="宋体" w:hAnsi="宋体" w:eastAsia="宋体" w:cs="宋体"/>
                <w:b/>
                <w:bCs/>
                <w:i w:val="0"/>
                <w:iCs w:val="0"/>
                <w:color w:val="000000"/>
                <w:sz w:val="22"/>
                <w:szCs w:val="22"/>
                <w:u w:val="none"/>
              </w:rPr>
            </w:pPr>
          </w:p>
        </w:tc>
      </w:tr>
      <w:tr w14:paraId="20C4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1F0FEC8">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nil"/>
            </w:tcBorders>
            <w:shd w:val="clear" w:color="auto" w:fill="auto"/>
            <w:noWrap/>
            <w:vAlign w:val="center"/>
          </w:tcPr>
          <w:p w14:paraId="50E6DBDD">
            <w:pPr>
              <w:jc w:val="center"/>
              <w:rPr>
                <w:rFonts w:hint="eastAsia" w:ascii="宋体" w:hAnsi="宋体" w:eastAsia="宋体" w:cs="宋体"/>
                <w:b/>
                <w:bCs/>
                <w:i w:val="0"/>
                <w:iCs w:val="0"/>
                <w:color w:val="000000"/>
                <w:sz w:val="22"/>
                <w:szCs w:val="22"/>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D932">
            <w:pPr>
              <w:jc w:val="center"/>
              <w:rPr>
                <w:rFonts w:hint="eastAsia" w:ascii="宋体" w:hAnsi="宋体" w:eastAsia="宋体" w:cs="宋体"/>
                <w:b/>
                <w:bCs/>
                <w:i w:val="0"/>
                <w:iCs w:val="0"/>
                <w:color w:val="000000"/>
                <w:sz w:val="22"/>
                <w:szCs w:val="22"/>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5D38">
            <w:pPr>
              <w:jc w:val="center"/>
              <w:rPr>
                <w:rFonts w:hint="eastAsia" w:ascii="宋体" w:hAnsi="宋体" w:eastAsia="宋体" w:cs="宋体"/>
                <w:b/>
                <w:bCs/>
                <w:i w:val="0"/>
                <w:iCs w:val="0"/>
                <w:color w:val="000000"/>
                <w:sz w:val="22"/>
                <w:szCs w:val="22"/>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FE1F">
            <w:pPr>
              <w:jc w:val="center"/>
              <w:rPr>
                <w:rFonts w:hint="eastAsia" w:ascii="宋体" w:hAnsi="宋体" w:eastAsia="宋体" w:cs="宋体"/>
                <w:b/>
                <w:bCs/>
                <w:i w:val="0"/>
                <w:iCs w:val="0"/>
                <w:color w:val="000000"/>
                <w:sz w:val="22"/>
                <w:szCs w:val="22"/>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3FEA">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4BFE5">
            <w:pPr>
              <w:jc w:val="center"/>
              <w:rPr>
                <w:rFonts w:hint="eastAsia" w:ascii="宋体" w:hAnsi="宋体" w:eastAsia="宋体" w:cs="宋体"/>
                <w:b/>
                <w:bCs/>
                <w:i w:val="0"/>
                <w:iCs w:val="0"/>
                <w:color w:val="000000"/>
                <w:sz w:val="22"/>
                <w:szCs w:val="22"/>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8388">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38BE">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3C40">
            <w:pPr>
              <w:jc w:val="center"/>
              <w:rPr>
                <w:rFonts w:hint="eastAsia" w:ascii="宋体" w:hAnsi="宋体" w:eastAsia="宋体" w:cs="宋体"/>
                <w:b/>
                <w:bCs/>
                <w:i w:val="0"/>
                <w:iCs w:val="0"/>
                <w:color w:val="000000"/>
                <w:sz w:val="22"/>
                <w:szCs w:val="22"/>
                <w:u w:val="none"/>
              </w:rPr>
            </w:pPr>
          </w:p>
        </w:tc>
      </w:tr>
      <w:tr w14:paraId="3321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C5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tcBorders>
              <w:top w:val="nil"/>
              <w:left w:val="nil"/>
              <w:bottom w:val="single" w:color="000000" w:sz="4" w:space="0"/>
              <w:right w:val="single" w:color="000000" w:sz="4" w:space="0"/>
            </w:tcBorders>
            <w:shd w:val="clear" w:color="auto" w:fill="auto"/>
            <w:noWrap/>
            <w:vAlign w:val="center"/>
          </w:tcPr>
          <w:p w14:paraId="3BE0BC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690" w:type="dxa"/>
            <w:tcBorders>
              <w:top w:val="nil"/>
              <w:left w:val="nil"/>
              <w:bottom w:val="single" w:color="000000" w:sz="4" w:space="0"/>
              <w:right w:val="single" w:color="000000" w:sz="4" w:space="0"/>
            </w:tcBorders>
            <w:shd w:val="clear" w:color="auto" w:fill="auto"/>
            <w:noWrap/>
            <w:vAlign w:val="center"/>
          </w:tcPr>
          <w:p w14:paraId="71ECED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610" w:type="dxa"/>
            <w:tcBorders>
              <w:top w:val="nil"/>
              <w:left w:val="nil"/>
              <w:bottom w:val="single" w:color="000000" w:sz="4" w:space="0"/>
              <w:right w:val="single" w:color="000000" w:sz="4" w:space="0"/>
            </w:tcBorders>
            <w:shd w:val="clear" w:color="auto" w:fill="auto"/>
            <w:noWrap/>
            <w:vAlign w:val="center"/>
          </w:tcPr>
          <w:p w14:paraId="33D4A3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84" w:type="dxa"/>
            <w:tcBorders>
              <w:top w:val="nil"/>
              <w:left w:val="nil"/>
              <w:bottom w:val="single" w:color="000000" w:sz="4" w:space="0"/>
              <w:right w:val="single" w:color="000000" w:sz="4" w:space="0"/>
            </w:tcBorders>
            <w:shd w:val="clear" w:color="auto" w:fill="auto"/>
            <w:noWrap/>
            <w:vAlign w:val="center"/>
          </w:tcPr>
          <w:p w14:paraId="6591E5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vAlign w:val="center"/>
          </w:tcPr>
          <w:p w14:paraId="7B9B6A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84" w:type="dxa"/>
            <w:tcBorders>
              <w:top w:val="nil"/>
              <w:left w:val="nil"/>
              <w:bottom w:val="single" w:color="000000" w:sz="4" w:space="0"/>
              <w:right w:val="single" w:color="000000" w:sz="4" w:space="0"/>
            </w:tcBorders>
            <w:shd w:val="clear" w:color="auto" w:fill="auto"/>
            <w:noWrap/>
            <w:vAlign w:val="center"/>
          </w:tcPr>
          <w:p w14:paraId="33EDB5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vAlign w:val="center"/>
          </w:tcPr>
          <w:p w14:paraId="59DEB1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14:paraId="0731D0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209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shd w:val="clear" w:color="auto" w:fill="auto"/>
            <w:noWrap/>
            <w:vAlign w:val="center"/>
          </w:tcPr>
          <w:p w14:paraId="374B04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100" w:type="dxa"/>
            <w:tcBorders>
              <w:top w:val="nil"/>
              <w:left w:val="single" w:color="000000" w:sz="4" w:space="0"/>
              <w:bottom w:val="single" w:color="000000" w:sz="4" w:space="0"/>
              <w:right w:val="single" w:color="000000" w:sz="4" w:space="0"/>
            </w:tcBorders>
            <w:shd w:val="clear" w:color="auto" w:fill="auto"/>
            <w:noWrap/>
            <w:vAlign w:val="center"/>
          </w:tcPr>
          <w:p w14:paraId="7038AE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A2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5,711,938.06</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85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5,711,938.06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B7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1E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D5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FB7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9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44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0A8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shd w:val="clear" w:color="auto" w:fill="auto"/>
            <w:noWrap/>
            <w:vAlign w:val="center"/>
          </w:tcPr>
          <w:p w14:paraId="4BCAF7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100" w:type="dxa"/>
            <w:tcBorders>
              <w:top w:val="nil"/>
              <w:left w:val="single" w:color="000000" w:sz="4" w:space="0"/>
              <w:bottom w:val="single" w:color="000000" w:sz="4" w:space="0"/>
              <w:right w:val="single" w:color="000000" w:sz="4" w:space="0"/>
            </w:tcBorders>
            <w:shd w:val="clear" w:color="auto" w:fill="auto"/>
            <w:noWrap/>
            <w:vAlign w:val="center"/>
          </w:tcPr>
          <w:p w14:paraId="53A255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01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5,711,938.06</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7AE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5,711,938.06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33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72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7D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5C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0B8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0B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D28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shd w:val="clear" w:color="auto" w:fill="auto"/>
            <w:noWrap/>
            <w:vAlign w:val="center"/>
          </w:tcPr>
          <w:p w14:paraId="131C4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1100" w:type="dxa"/>
            <w:tcBorders>
              <w:top w:val="nil"/>
              <w:left w:val="nil"/>
              <w:bottom w:val="single" w:color="000000" w:sz="4" w:space="0"/>
              <w:right w:val="single" w:color="000000" w:sz="4" w:space="0"/>
            </w:tcBorders>
            <w:shd w:val="clear" w:color="auto" w:fill="auto"/>
            <w:noWrap/>
            <w:vAlign w:val="center"/>
          </w:tcPr>
          <w:p w14:paraId="6FA55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律师管理</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BA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5,711,938.06</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C4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5,711,938.06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AA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E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98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22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19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9E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C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85" w:type="dxa"/>
            <w:gridSpan w:val="10"/>
            <w:tcBorders>
              <w:top w:val="nil"/>
              <w:left w:val="nil"/>
              <w:bottom w:val="nil"/>
              <w:right w:val="nil"/>
            </w:tcBorders>
            <w:shd w:val="clear" w:color="auto" w:fill="auto"/>
            <w:vAlign w:val="center"/>
          </w:tcPr>
          <w:p w14:paraId="492BC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441C9581">
      <w:pPr>
        <w:rPr>
          <w:rFonts w:hint="default"/>
          <w:lang w:val="en-US" w:eastAsia="zh-CN"/>
        </w:rPr>
      </w:pPr>
    </w:p>
    <w:p w14:paraId="258C95E3">
      <w:pPr>
        <w:rPr>
          <w:rFonts w:hint="eastAsia"/>
          <w:lang w:val="en-US" w:eastAsia="zh-CN"/>
        </w:rPr>
      </w:pPr>
    </w:p>
    <w:p w14:paraId="004D09C7">
      <w:pPr>
        <w:rPr>
          <w:rFonts w:hint="eastAsia"/>
          <w:lang w:val="en-US" w:eastAsia="zh-CN"/>
        </w:rPr>
      </w:pPr>
    </w:p>
    <w:p w14:paraId="7EB5D5CB">
      <w:pPr>
        <w:rPr>
          <w:rFonts w:hint="eastAsia"/>
          <w:lang w:val="en-US" w:eastAsia="zh-CN"/>
        </w:rPr>
      </w:pPr>
      <w:r>
        <w:rPr>
          <w:rFonts w:hint="eastAsia"/>
          <w:lang w:val="en-US" w:eastAsia="zh-CN"/>
        </w:rPr>
        <w:t>附件3</w:t>
      </w:r>
    </w:p>
    <w:tbl>
      <w:tblPr>
        <w:tblStyle w:val="3"/>
        <w:tblW w:w="91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284"/>
        <w:gridCol w:w="1666"/>
        <w:gridCol w:w="1667"/>
        <w:gridCol w:w="1470"/>
        <w:gridCol w:w="697"/>
        <w:gridCol w:w="666"/>
        <w:gridCol w:w="784"/>
      </w:tblGrid>
      <w:tr w14:paraId="42E3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152" w:type="dxa"/>
            <w:gridSpan w:val="8"/>
            <w:tcBorders>
              <w:top w:val="nil"/>
              <w:left w:val="nil"/>
              <w:bottom w:val="nil"/>
              <w:right w:val="nil"/>
            </w:tcBorders>
            <w:shd w:val="clear" w:color="auto" w:fill="auto"/>
            <w:noWrap/>
            <w:vAlign w:val="bottom"/>
          </w:tcPr>
          <w:p w14:paraId="78AF59E2">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支出决算表</w:t>
            </w:r>
          </w:p>
          <w:p w14:paraId="4C47C99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p w14:paraId="28D80235">
            <w:pPr>
              <w:rPr>
                <w:rFonts w:hint="eastAsia" w:ascii="Arial" w:hAnsi="Arial" w:eastAsia="宋体" w:cs="Arial"/>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4AFDC09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479F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02EBD">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04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46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A17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2A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17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E1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7A1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vMerge w:val="restart"/>
            <w:tcBorders>
              <w:top w:val="nil"/>
              <w:left w:val="single" w:color="000000" w:sz="4" w:space="0"/>
              <w:bottom w:val="single" w:color="000000" w:sz="4" w:space="0"/>
              <w:right w:val="single" w:color="000000" w:sz="4" w:space="0"/>
            </w:tcBorders>
            <w:shd w:val="clear" w:color="auto" w:fill="auto"/>
            <w:noWrap/>
            <w:vAlign w:val="center"/>
          </w:tcPr>
          <w:p w14:paraId="31D83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84" w:type="dxa"/>
            <w:vMerge w:val="restart"/>
            <w:tcBorders>
              <w:top w:val="nil"/>
              <w:left w:val="nil"/>
              <w:bottom w:val="single" w:color="000000" w:sz="4" w:space="0"/>
              <w:right w:val="nil"/>
            </w:tcBorders>
            <w:shd w:val="clear" w:color="auto" w:fill="auto"/>
            <w:noWrap/>
            <w:vAlign w:val="center"/>
          </w:tcPr>
          <w:p w14:paraId="43D1DD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6B38">
            <w:pPr>
              <w:jc w:val="center"/>
              <w:rPr>
                <w:rFonts w:hint="eastAsia" w:ascii="宋体" w:hAnsi="宋体" w:eastAsia="宋体" w:cs="宋体"/>
                <w:b/>
                <w:bCs/>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EE31">
            <w:pPr>
              <w:jc w:val="center"/>
              <w:rPr>
                <w:rFonts w:hint="eastAsia" w:ascii="宋体" w:hAnsi="宋体" w:eastAsia="宋体" w:cs="宋体"/>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805C">
            <w:pPr>
              <w:jc w:val="center"/>
              <w:rPr>
                <w:rFonts w:hint="eastAsia" w:ascii="宋体" w:hAnsi="宋体" w:eastAsia="宋体" w:cs="宋体"/>
                <w:b/>
                <w:bCs/>
                <w:i w:val="0"/>
                <w:iCs w:val="0"/>
                <w:color w:val="000000"/>
                <w:sz w:val="22"/>
                <w:szCs w:val="22"/>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B7D9">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15E5">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A4BE">
            <w:pPr>
              <w:jc w:val="center"/>
              <w:rPr>
                <w:rFonts w:hint="eastAsia" w:ascii="宋体" w:hAnsi="宋体" w:eastAsia="宋体" w:cs="宋体"/>
                <w:b/>
                <w:bCs/>
                <w:i w:val="0"/>
                <w:iCs w:val="0"/>
                <w:color w:val="000000"/>
                <w:sz w:val="22"/>
                <w:szCs w:val="22"/>
                <w:u w:val="none"/>
              </w:rPr>
            </w:pPr>
          </w:p>
        </w:tc>
      </w:tr>
      <w:tr w14:paraId="226F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E4BE9CA">
            <w:pPr>
              <w:jc w:val="center"/>
              <w:rPr>
                <w:rFonts w:hint="eastAsia" w:ascii="宋体" w:hAnsi="宋体" w:eastAsia="宋体" w:cs="宋体"/>
                <w:b/>
                <w:bCs/>
                <w:i w:val="0"/>
                <w:iCs w:val="0"/>
                <w:color w:val="000000"/>
                <w:sz w:val="22"/>
                <w:szCs w:val="22"/>
                <w:u w:val="none"/>
              </w:rPr>
            </w:pPr>
          </w:p>
        </w:tc>
        <w:tc>
          <w:tcPr>
            <w:tcW w:w="1284" w:type="dxa"/>
            <w:vMerge w:val="continue"/>
            <w:tcBorders>
              <w:top w:val="nil"/>
              <w:left w:val="nil"/>
              <w:bottom w:val="single" w:color="000000" w:sz="4" w:space="0"/>
              <w:right w:val="nil"/>
            </w:tcBorders>
            <w:shd w:val="clear" w:color="auto" w:fill="auto"/>
            <w:noWrap/>
            <w:vAlign w:val="center"/>
          </w:tcPr>
          <w:p w14:paraId="4E35C985">
            <w:pPr>
              <w:jc w:val="center"/>
              <w:rPr>
                <w:rFonts w:hint="eastAsia" w:ascii="宋体" w:hAnsi="宋体" w:eastAsia="宋体" w:cs="宋体"/>
                <w:b/>
                <w:bCs/>
                <w:i w:val="0"/>
                <w:iCs w:val="0"/>
                <w:color w:val="000000"/>
                <w:sz w:val="22"/>
                <w:szCs w:val="22"/>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CCC6">
            <w:pPr>
              <w:jc w:val="center"/>
              <w:rPr>
                <w:rFonts w:hint="eastAsia" w:ascii="宋体" w:hAnsi="宋体" w:eastAsia="宋体" w:cs="宋体"/>
                <w:b/>
                <w:bCs/>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0284">
            <w:pPr>
              <w:jc w:val="center"/>
              <w:rPr>
                <w:rFonts w:hint="eastAsia" w:ascii="宋体" w:hAnsi="宋体" w:eastAsia="宋体" w:cs="宋体"/>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A245">
            <w:pPr>
              <w:jc w:val="center"/>
              <w:rPr>
                <w:rFonts w:hint="eastAsia" w:ascii="宋体" w:hAnsi="宋体" w:eastAsia="宋体" w:cs="宋体"/>
                <w:b/>
                <w:bCs/>
                <w:i w:val="0"/>
                <w:iCs w:val="0"/>
                <w:color w:val="000000"/>
                <w:sz w:val="22"/>
                <w:szCs w:val="22"/>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E27D">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10DE">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CC48">
            <w:pPr>
              <w:jc w:val="center"/>
              <w:rPr>
                <w:rFonts w:hint="eastAsia" w:ascii="宋体" w:hAnsi="宋体" w:eastAsia="宋体" w:cs="宋体"/>
                <w:b/>
                <w:bCs/>
                <w:i w:val="0"/>
                <w:iCs w:val="0"/>
                <w:color w:val="000000"/>
                <w:sz w:val="22"/>
                <w:szCs w:val="22"/>
                <w:u w:val="none"/>
              </w:rPr>
            </w:pPr>
          </w:p>
        </w:tc>
      </w:tr>
      <w:tr w14:paraId="447D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62EBD31">
            <w:pPr>
              <w:jc w:val="center"/>
              <w:rPr>
                <w:rFonts w:hint="eastAsia" w:ascii="宋体" w:hAnsi="宋体" w:eastAsia="宋体" w:cs="宋体"/>
                <w:b/>
                <w:bCs/>
                <w:i w:val="0"/>
                <w:iCs w:val="0"/>
                <w:color w:val="000000"/>
                <w:sz w:val="22"/>
                <w:szCs w:val="22"/>
                <w:u w:val="none"/>
              </w:rPr>
            </w:pPr>
          </w:p>
        </w:tc>
        <w:tc>
          <w:tcPr>
            <w:tcW w:w="1284" w:type="dxa"/>
            <w:vMerge w:val="continue"/>
            <w:tcBorders>
              <w:top w:val="nil"/>
              <w:left w:val="nil"/>
              <w:bottom w:val="single" w:color="000000" w:sz="4" w:space="0"/>
              <w:right w:val="nil"/>
            </w:tcBorders>
            <w:shd w:val="clear" w:color="auto" w:fill="auto"/>
            <w:noWrap/>
            <w:vAlign w:val="center"/>
          </w:tcPr>
          <w:p w14:paraId="6A961C3C">
            <w:pPr>
              <w:jc w:val="center"/>
              <w:rPr>
                <w:rFonts w:hint="eastAsia" w:ascii="宋体" w:hAnsi="宋体" w:eastAsia="宋体" w:cs="宋体"/>
                <w:b/>
                <w:bCs/>
                <w:i w:val="0"/>
                <w:iCs w:val="0"/>
                <w:color w:val="000000"/>
                <w:sz w:val="22"/>
                <w:szCs w:val="22"/>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E597">
            <w:pPr>
              <w:jc w:val="center"/>
              <w:rPr>
                <w:rFonts w:hint="eastAsia" w:ascii="宋体" w:hAnsi="宋体" w:eastAsia="宋体" w:cs="宋体"/>
                <w:b/>
                <w:bCs/>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4A15">
            <w:pPr>
              <w:jc w:val="center"/>
              <w:rPr>
                <w:rFonts w:hint="eastAsia" w:ascii="宋体" w:hAnsi="宋体" w:eastAsia="宋体" w:cs="宋体"/>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54E3">
            <w:pPr>
              <w:jc w:val="center"/>
              <w:rPr>
                <w:rFonts w:hint="eastAsia" w:ascii="宋体" w:hAnsi="宋体" w:eastAsia="宋体" w:cs="宋体"/>
                <w:b/>
                <w:bCs/>
                <w:i w:val="0"/>
                <w:iCs w:val="0"/>
                <w:color w:val="000000"/>
                <w:sz w:val="22"/>
                <w:szCs w:val="22"/>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7C47">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BD80">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A3C1">
            <w:pPr>
              <w:jc w:val="center"/>
              <w:rPr>
                <w:rFonts w:hint="eastAsia" w:ascii="宋体" w:hAnsi="宋体" w:eastAsia="宋体" w:cs="宋体"/>
                <w:b/>
                <w:bCs/>
                <w:i w:val="0"/>
                <w:iCs w:val="0"/>
                <w:color w:val="000000"/>
                <w:sz w:val="22"/>
                <w:szCs w:val="22"/>
                <w:u w:val="none"/>
              </w:rPr>
            </w:pPr>
          </w:p>
        </w:tc>
      </w:tr>
      <w:tr w14:paraId="10FA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EC213DC">
            <w:pPr>
              <w:jc w:val="center"/>
              <w:rPr>
                <w:rFonts w:hint="eastAsia" w:ascii="宋体" w:hAnsi="宋体" w:eastAsia="宋体" w:cs="宋体"/>
                <w:b/>
                <w:bCs/>
                <w:i w:val="0"/>
                <w:iCs w:val="0"/>
                <w:color w:val="000000"/>
                <w:sz w:val="22"/>
                <w:szCs w:val="22"/>
                <w:u w:val="none"/>
              </w:rPr>
            </w:pPr>
          </w:p>
        </w:tc>
        <w:tc>
          <w:tcPr>
            <w:tcW w:w="1284" w:type="dxa"/>
            <w:vMerge w:val="continue"/>
            <w:tcBorders>
              <w:top w:val="nil"/>
              <w:left w:val="nil"/>
              <w:bottom w:val="single" w:color="000000" w:sz="4" w:space="0"/>
              <w:right w:val="nil"/>
            </w:tcBorders>
            <w:shd w:val="clear" w:color="auto" w:fill="auto"/>
            <w:noWrap/>
            <w:vAlign w:val="center"/>
          </w:tcPr>
          <w:p w14:paraId="73550718">
            <w:pPr>
              <w:jc w:val="center"/>
              <w:rPr>
                <w:rFonts w:hint="eastAsia" w:ascii="宋体" w:hAnsi="宋体" w:eastAsia="宋体" w:cs="宋体"/>
                <w:b/>
                <w:bCs/>
                <w:i w:val="0"/>
                <w:iCs w:val="0"/>
                <w:color w:val="000000"/>
                <w:sz w:val="22"/>
                <w:szCs w:val="22"/>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BEF9">
            <w:pPr>
              <w:jc w:val="center"/>
              <w:rPr>
                <w:rFonts w:hint="eastAsia" w:ascii="宋体" w:hAnsi="宋体" w:eastAsia="宋体" w:cs="宋体"/>
                <w:b/>
                <w:bCs/>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3499">
            <w:pPr>
              <w:jc w:val="center"/>
              <w:rPr>
                <w:rFonts w:hint="eastAsia" w:ascii="宋体" w:hAnsi="宋体" w:eastAsia="宋体" w:cs="宋体"/>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A311">
            <w:pPr>
              <w:jc w:val="center"/>
              <w:rPr>
                <w:rFonts w:hint="eastAsia" w:ascii="宋体" w:hAnsi="宋体" w:eastAsia="宋体" w:cs="宋体"/>
                <w:b/>
                <w:bCs/>
                <w:i w:val="0"/>
                <w:iCs w:val="0"/>
                <w:color w:val="000000"/>
                <w:sz w:val="22"/>
                <w:szCs w:val="22"/>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398C">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B357">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8EA0">
            <w:pPr>
              <w:jc w:val="center"/>
              <w:rPr>
                <w:rFonts w:hint="eastAsia" w:ascii="宋体" w:hAnsi="宋体" w:eastAsia="宋体" w:cs="宋体"/>
                <w:b/>
                <w:bCs/>
                <w:i w:val="0"/>
                <w:iCs w:val="0"/>
                <w:color w:val="000000"/>
                <w:sz w:val="22"/>
                <w:szCs w:val="22"/>
                <w:u w:val="none"/>
              </w:rPr>
            </w:pPr>
          </w:p>
        </w:tc>
      </w:tr>
      <w:tr w14:paraId="1B43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3E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tcBorders>
              <w:top w:val="nil"/>
              <w:left w:val="nil"/>
              <w:bottom w:val="single" w:color="000000" w:sz="4" w:space="0"/>
              <w:right w:val="single" w:color="000000" w:sz="4" w:space="0"/>
            </w:tcBorders>
            <w:shd w:val="clear" w:color="auto" w:fill="auto"/>
            <w:noWrap/>
            <w:vAlign w:val="center"/>
          </w:tcPr>
          <w:p w14:paraId="3F9291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667" w:type="dxa"/>
            <w:tcBorders>
              <w:top w:val="nil"/>
              <w:left w:val="nil"/>
              <w:bottom w:val="single" w:color="000000" w:sz="4" w:space="0"/>
              <w:right w:val="single" w:color="000000" w:sz="4" w:space="0"/>
            </w:tcBorders>
            <w:shd w:val="clear" w:color="auto" w:fill="auto"/>
            <w:noWrap/>
            <w:vAlign w:val="center"/>
          </w:tcPr>
          <w:p w14:paraId="3EB5A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3,331,095.41</w:t>
            </w:r>
          </w:p>
        </w:tc>
        <w:tc>
          <w:tcPr>
            <w:tcW w:w="1470" w:type="dxa"/>
            <w:tcBorders>
              <w:top w:val="nil"/>
              <w:left w:val="nil"/>
              <w:bottom w:val="single" w:color="000000" w:sz="4" w:space="0"/>
              <w:right w:val="single" w:color="000000" w:sz="4" w:space="0"/>
            </w:tcBorders>
            <w:shd w:val="clear" w:color="auto" w:fill="auto"/>
            <w:noWrap/>
            <w:vAlign w:val="center"/>
          </w:tcPr>
          <w:p w14:paraId="477762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2,380,842.65</w:t>
            </w:r>
          </w:p>
        </w:tc>
        <w:tc>
          <w:tcPr>
            <w:tcW w:w="697" w:type="dxa"/>
            <w:tcBorders>
              <w:top w:val="nil"/>
              <w:left w:val="nil"/>
              <w:bottom w:val="single" w:color="000000" w:sz="4" w:space="0"/>
              <w:right w:val="single" w:color="000000" w:sz="4" w:space="0"/>
            </w:tcBorders>
            <w:shd w:val="clear" w:color="auto" w:fill="auto"/>
            <w:noWrap/>
            <w:vAlign w:val="center"/>
          </w:tcPr>
          <w:p w14:paraId="4F3721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762CB8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84" w:type="dxa"/>
            <w:tcBorders>
              <w:top w:val="nil"/>
              <w:left w:val="nil"/>
              <w:bottom w:val="single" w:color="000000" w:sz="4" w:space="0"/>
              <w:right w:val="single" w:color="000000" w:sz="4" w:space="0"/>
            </w:tcBorders>
            <w:shd w:val="clear" w:color="auto" w:fill="auto"/>
            <w:noWrap/>
            <w:vAlign w:val="center"/>
          </w:tcPr>
          <w:p w14:paraId="4FA2E6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139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tcBorders>
              <w:top w:val="nil"/>
              <w:left w:val="single" w:color="000000" w:sz="4" w:space="0"/>
              <w:bottom w:val="single" w:color="000000" w:sz="4" w:space="0"/>
              <w:right w:val="single" w:color="000000" w:sz="4" w:space="0"/>
            </w:tcBorders>
            <w:shd w:val="clear" w:color="auto" w:fill="auto"/>
            <w:noWrap/>
            <w:vAlign w:val="center"/>
          </w:tcPr>
          <w:p w14:paraId="33C8D3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284" w:type="dxa"/>
            <w:tcBorders>
              <w:top w:val="nil"/>
              <w:left w:val="single" w:color="000000" w:sz="4" w:space="0"/>
              <w:bottom w:val="single" w:color="000000" w:sz="4" w:space="0"/>
              <w:right w:val="single" w:color="000000" w:sz="4" w:space="0"/>
            </w:tcBorders>
            <w:shd w:val="clear" w:color="auto" w:fill="auto"/>
            <w:noWrap/>
            <w:vAlign w:val="center"/>
          </w:tcPr>
          <w:p w14:paraId="20A62F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85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5,711,938.06</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3C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3,331,095.41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C0E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2,380,842.65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04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6C4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542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954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tcBorders>
              <w:top w:val="nil"/>
              <w:left w:val="single" w:color="000000" w:sz="4" w:space="0"/>
              <w:bottom w:val="single" w:color="000000" w:sz="4" w:space="0"/>
              <w:right w:val="single" w:color="000000" w:sz="4" w:space="0"/>
            </w:tcBorders>
            <w:shd w:val="clear" w:color="auto" w:fill="auto"/>
            <w:noWrap/>
            <w:vAlign w:val="center"/>
          </w:tcPr>
          <w:p w14:paraId="3F49D5C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284" w:type="dxa"/>
            <w:tcBorders>
              <w:top w:val="nil"/>
              <w:left w:val="single" w:color="000000" w:sz="4" w:space="0"/>
              <w:bottom w:val="single" w:color="000000" w:sz="4" w:space="0"/>
              <w:right w:val="single" w:color="000000" w:sz="4" w:space="0"/>
            </w:tcBorders>
            <w:shd w:val="clear" w:color="auto" w:fill="auto"/>
            <w:noWrap/>
            <w:vAlign w:val="center"/>
          </w:tcPr>
          <w:p w14:paraId="676E68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5C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5,711,938.06</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984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3,331,095.41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205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2,380,842.65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B8A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18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E52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7B3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 w:type="dxa"/>
            <w:tcBorders>
              <w:top w:val="nil"/>
              <w:left w:val="single" w:color="000000" w:sz="4" w:space="0"/>
              <w:bottom w:val="single" w:color="000000" w:sz="4" w:space="0"/>
              <w:right w:val="single" w:color="000000" w:sz="4" w:space="0"/>
            </w:tcBorders>
            <w:shd w:val="clear" w:color="auto" w:fill="auto"/>
            <w:noWrap/>
            <w:vAlign w:val="center"/>
          </w:tcPr>
          <w:p w14:paraId="2CA81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1284" w:type="dxa"/>
            <w:tcBorders>
              <w:top w:val="nil"/>
              <w:left w:val="nil"/>
              <w:bottom w:val="single" w:color="000000" w:sz="4" w:space="0"/>
              <w:right w:val="single" w:color="000000" w:sz="4" w:space="0"/>
            </w:tcBorders>
            <w:shd w:val="clear" w:color="auto" w:fill="auto"/>
            <w:noWrap/>
            <w:vAlign w:val="center"/>
          </w:tcPr>
          <w:p w14:paraId="6451C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律师管理</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CB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5,711,938.06</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34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3,331,095.41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1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2,380,842.65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FE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2B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F8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EBD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52" w:type="dxa"/>
            <w:gridSpan w:val="8"/>
            <w:tcBorders>
              <w:top w:val="nil"/>
              <w:left w:val="nil"/>
              <w:bottom w:val="nil"/>
              <w:right w:val="nil"/>
            </w:tcBorders>
            <w:shd w:val="clear" w:color="auto" w:fill="auto"/>
            <w:vAlign w:val="center"/>
          </w:tcPr>
          <w:p w14:paraId="29AE5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0DD41975">
      <w:pPr>
        <w:rPr>
          <w:rFonts w:hint="eastAsia"/>
          <w:lang w:val="en-US" w:eastAsia="zh-CN"/>
        </w:rPr>
      </w:pPr>
    </w:p>
    <w:p w14:paraId="39CBEF39">
      <w:pPr>
        <w:rPr>
          <w:rFonts w:hint="eastAsia"/>
          <w:lang w:val="en-US" w:eastAsia="zh-CN"/>
        </w:rPr>
      </w:pPr>
      <w:r>
        <w:rPr>
          <w:rFonts w:hint="eastAsia"/>
          <w:lang w:val="en-US" w:eastAsia="zh-CN"/>
        </w:rPr>
        <w:t>附件4</w:t>
      </w:r>
    </w:p>
    <w:tbl>
      <w:tblPr>
        <w:tblStyle w:val="3"/>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7"/>
        <w:gridCol w:w="1558"/>
        <w:gridCol w:w="1585"/>
        <w:gridCol w:w="1082"/>
        <w:gridCol w:w="1166"/>
        <w:gridCol w:w="900"/>
        <w:gridCol w:w="817"/>
      </w:tblGrid>
      <w:tr w14:paraId="6573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135" w:type="dxa"/>
            <w:gridSpan w:val="7"/>
            <w:tcBorders>
              <w:top w:val="nil"/>
              <w:left w:val="nil"/>
              <w:bottom w:val="nil"/>
              <w:right w:val="nil"/>
            </w:tcBorders>
            <w:shd w:val="clear" w:color="auto" w:fill="auto"/>
            <w:noWrap/>
            <w:vAlign w:val="bottom"/>
          </w:tcPr>
          <w:p w14:paraId="4E0B7CB5">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财政拨款收入支出决算总表</w:t>
            </w:r>
          </w:p>
          <w:p w14:paraId="0491B32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p w14:paraId="4E6CBD8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6B35127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3294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5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5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0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AA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CAC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187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585" w:type="dxa"/>
            <w:vMerge w:val="restart"/>
            <w:tcBorders>
              <w:top w:val="nil"/>
              <w:left w:val="nil"/>
              <w:bottom w:val="single" w:color="000000" w:sz="4" w:space="0"/>
              <w:right w:val="single" w:color="000000" w:sz="4" w:space="0"/>
            </w:tcBorders>
            <w:shd w:val="clear" w:color="auto" w:fill="auto"/>
            <w:vAlign w:val="center"/>
          </w:tcPr>
          <w:p w14:paraId="153C14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3965" w:type="dxa"/>
            <w:gridSpan w:val="4"/>
            <w:tcBorders>
              <w:top w:val="nil"/>
              <w:left w:val="nil"/>
              <w:bottom w:val="single" w:color="000000" w:sz="4" w:space="0"/>
              <w:right w:val="single" w:color="000000" w:sz="4" w:space="0"/>
            </w:tcBorders>
            <w:shd w:val="clear" w:color="auto" w:fill="auto"/>
            <w:noWrap/>
            <w:vAlign w:val="center"/>
          </w:tcPr>
          <w:p w14:paraId="14452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FED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CB91">
            <w:pPr>
              <w:jc w:val="center"/>
              <w:rPr>
                <w:rFonts w:hint="eastAsia" w:ascii="宋体" w:hAnsi="宋体" w:eastAsia="宋体" w:cs="宋体"/>
                <w:b/>
                <w:bCs/>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6D74">
            <w:pPr>
              <w:jc w:val="center"/>
              <w:rPr>
                <w:rFonts w:hint="eastAsia" w:ascii="宋体" w:hAnsi="宋体" w:eastAsia="宋体" w:cs="宋体"/>
                <w:b/>
                <w:bCs/>
                <w:i w:val="0"/>
                <w:iCs w:val="0"/>
                <w:color w:val="000000"/>
                <w:sz w:val="22"/>
                <w:szCs w:val="22"/>
                <w:u w:val="none"/>
              </w:rPr>
            </w:pPr>
          </w:p>
        </w:tc>
        <w:tc>
          <w:tcPr>
            <w:tcW w:w="1585" w:type="dxa"/>
            <w:vMerge w:val="continue"/>
            <w:tcBorders>
              <w:top w:val="nil"/>
              <w:left w:val="nil"/>
              <w:bottom w:val="single" w:color="000000" w:sz="4" w:space="0"/>
              <w:right w:val="single" w:color="000000" w:sz="4" w:space="0"/>
            </w:tcBorders>
            <w:shd w:val="clear" w:color="auto" w:fill="auto"/>
            <w:vAlign w:val="center"/>
          </w:tcPr>
          <w:p w14:paraId="1BAA3961">
            <w:pPr>
              <w:jc w:val="center"/>
              <w:rPr>
                <w:rFonts w:hint="eastAsia" w:ascii="宋体" w:hAnsi="宋体" w:eastAsia="宋体" w:cs="宋体"/>
                <w:b/>
                <w:bCs/>
                <w:i w:val="0"/>
                <w:iCs w:val="0"/>
                <w:color w:val="000000"/>
                <w:sz w:val="22"/>
                <w:szCs w:val="22"/>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3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A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E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A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B23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9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D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9D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D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B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A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C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8F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9E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34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9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0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4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9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09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2D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B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43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E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0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0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AE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AAEB">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6B8C8">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0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2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E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4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DC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F6A5">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F8DD2">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9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E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2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5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8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92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06E1">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5A762">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29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6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9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2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E8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CBB3">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C6F02">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3F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4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C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E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8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61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9769">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A27A8">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42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4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6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1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C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EE3C">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B35E0">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42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8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2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F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0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8836">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8819">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5E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C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4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3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8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7B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83D7">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A774">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9C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E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6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1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3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52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8B87">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DE67">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5C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9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F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1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E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53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205D">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7A61">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D2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8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9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8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4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0C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2D6A">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8045">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E2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F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0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6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1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22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F870">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87B2">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15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9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1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E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D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FA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B139">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F5C8">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6C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C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E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2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6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B0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5D39">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3008">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06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F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1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0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85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3F38">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F0C3">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4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E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E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5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F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E8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49C6">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2CAE">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6A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6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6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A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7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F1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A0B">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9C0C">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45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8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3C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F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1A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5F02">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3F66">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36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7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C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6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E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C3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0FD1">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3EC7">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E7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B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2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9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9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F9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48F5">
            <w:pPr>
              <w:jc w:val="left"/>
              <w:rPr>
                <w:rFonts w:hint="eastAsia" w:ascii="宋体" w:hAnsi="宋体" w:eastAsia="宋体" w:cs="宋体"/>
                <w:b/>
                <w:bCs/>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B057">
            <w:pPr>
              <w:jc w:val="right"/>
              <w:rPr>
                <w:rFonts w:hint="eastAsia" w:ascii="宋体" w:hAnsi="宋体" w:eastAsia="宋体" w:cs="宋体"/>
                <w:i w:val="0"/>
                <w:iCs w:val="0"/>
                <w:color w:val="000000"/>
                <w:sz w:val="22"/>
                <w:szCs w:val="22"/>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F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C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D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3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2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A3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F143D">
            <w:pPr>
              <w:rPr>
                <w:rFonts w:hint="default" w:ascii="Arial" w:hAnsi="Arial" w:eastAsia="宋体" w:cs="Arial"/>
                <w:b/>
                <w:bCs/>
                <w:i w:val="0"/>
                <w:iCs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010F7">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A2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E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5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A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20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2A3AC">
            <w:pPr>
              <w:rPr>
                <w:rFonts w:hint="default" w:ascii="Arial" w:hAnsi="Arial" w:eastAsia="宋体" w:cs="Arial"/>
                <w:b/>
                <w:bCs/>
                <w:i w:val="0"/>
                <w:iCs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83F3D">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85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D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A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D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C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46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4A4A8">
            <w:pPr>
              <w:rPr>
                <w:rFonts w:hint="default" w:ascii="Arial" w:hAnsi="Arial" w:eastAsia="宋体" w:cs="Arial"/>
                <w:b/>
                <w:bCs/>
                <w:i w:val="0"/>
                <w:iCs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3A099">
            <w:pPr>
              <w:rPr>
                <w:rFonts w:hint="default" w:ascii="Arial" w:hAnsi="Arial" w:eastAsia="宋体" w:cs="Arial"/>
                <w:i w:val="0"/>
                <w:iCs w:val="0"/>
                <w:color w:val="000000"/>
                <w:sz w:val="20"/>
                <w:szCs w:val="20"/>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00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9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2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4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5E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0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1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C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9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0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32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A3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0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A8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5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5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D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0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B2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8C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3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4EA38">
            <w:pPr>
              <w:rPr>
                <w:rFonts w:hint="default" w:ascii="Arial" w:hAnsi="Arial" w:eastAsia="宋体" w:cs="Arial"/>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E12FC">
            <w:pPr>
              <w:rPr>
                <w:rFonts w:hint="default" w:ascii="Arial" w:hAnsi="Arial" w:eastAsia="宋体" w:cs="Arial"/>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932F1">
            <w:pPr>
              <w:rPr>
                <w:rFonts w:hint="default" w:ascii="Arial" w:hAnsi="Arial" w:eastAsia="宋体" w:cs="Arial"/>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1DD66">
            <w:pPr>
              <w:rPr>
                <w:rFonts w:hint="default" w:ascii="Arial" w:hAnsi="Arial" w:eastAsia="宋体" w:cs="Arial"/>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284FA">
            <w:pPr>
              <w:rPr>
                <w:rFonts w:hint="default" w:ascii="Arial" w:hAnsi="Arial" w:eastAsia="宋体" w:cs="Arial"/>
                <w:i w:val="0"/>
                <w:iCs w:val="0"/>
                <w:color w:val="000000"/>
                <w:sz w:val="20"/>
                <w:szCs w:val="20"/>
                <w:u w:val="none"/>
              </w:rPr>
            </w:pPr>
          </w:p>
        </w:tc>
      </w:tr>
      <w:tr w14:paraId="77A5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39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2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69AF">
            <w:pPr>
              <w:jc w:val="center"/>
              <w:rPr>
                <w:rFonts w:hint="eastAsia" w:ascii="宋体" w:hAnsi="宋体" w:eastAsia="宋体" w:cs="宋体"/>
                <w:b/>
                <w:bCs/>
                <w:i w:val="0"/>
                <w:iCs w:val="0"/>
                <w:color w:val="000000"/>
                <w:sz w:val="22"/>
                <w:szCs w:val="22"/>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6854">
            <w:pPr>
              <w:jc w:val="righ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EB2">
            <w:pPr>
              <w:jc w:val="righ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C7D0">
            <w:pPr>
              <w:jc w:val="right"/>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96C5">
            <w:pPr>
              <w:jc w:val="right"/>
              <w:rPr>
                <w:rFonts w:hint="eastAsia" w:ascii="宋体" w:hAnsi="宋体" w:eastAsia="宋体" w:cs="宋体"/>
                <w:i w:val="0"/>
                <w:iCs w:val="0"/>
                <w:color w:val="000000"/>
                <w:sz w:val="22"/>
                <w:szCs w:val="22"/>
                <w:u w:val="none"/>
              </w:rPr>
            </w:pPr>
          </w:p>
        </w:tc>
      </w:tr>
      <w:tr w14:paraId="260D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3D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9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0242">
            <w:pPr>
              <w:jc w:val="center"/>
              <w:rPr>
                <w:rFonts w:hint="eastAsia" w:ascii="宋体" w:hAnsi="宋体" w:eastAsia="宋体" w:cs="宋体"/>
                <w:b/>
                <w:bCs/>
                <w:i w:val="0"/>
                <w:iCs w:val="0"/>
                <w:color w:val="000000"/>
                <w:sz w:val="22"/>
                <w:szCs w:val="22"/>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0445">
            <w:pPr>
              <w:jc w:val="righ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944">
            <w:pPr>
              <w:jc w:val="righ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EC56">
            <w:pPr>
              <w:jc w:val="right"/>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84B2">
            <w:pPr>
              <w:jc w:val="right"/>
              <w:rPr>
                <w:rFonts w:hint="eastAsia" w:ascii="宋体" w:hAnsi="宋体" w:eastAsia="宋体" w:cs="宋体"/>
                <w:i w:val="0"/>
                <w:iCs w:val="0"/>
                <w:color w:val="000000"/>
                <w:sz w:val="22"/>
                <w:szCs w:val="22"/>
                <w:u w:val="none"/>
              </w:rPr>
            </w:pPr>
          </w:p>
        </w:tc>
      </w:tr>
      <w:tr w14:paraId="5BE3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9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D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5,711,938.06</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A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3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5,711,938.06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4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5,711,938.06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46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4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E5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135" w:type="dxa"/>
            <w:gridSpan w:val="7"/>
            <w:tcBorders>
              <w:top w:val="nil"/>
              <w:left w:val="nil"/>
              <w:bottom w:val="nil"/>
              <w:right w:val="nil"/>
            </w:tcBorders>
            <w:shd w:val="clear" w:color="auto" w:fill="auto"/>
            <w:vAlign w:val="center"/>
          </w:tcPr>
          <w:p w14:paraId="7136C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0CD8E988">
      <w:pPr>
        <w:rPr>
          <w:rFonts w:hint="default"/>
          <w:lang w:val="en-US" w:eastAsia="zh-CN"/>
        </w:rPr>
      </w:pPr>
    </w:p>
    <w:p w14:paraId="13A0164D">
      <w:pPr>
        <w:rPr>
          <w:rFonts w:hint="eastAsia"/>
          <w:lang w:val="en-US" w:eastAsia="zh-CN"/>
        </w:rPr>
      </w:pPr>
      <w:r>
        <w:rPr>
          <w:rFonts w:hint="eastAsia"/>
          <w:lang w:val="en-US" w:eastAsia="zh-CN"/>
        </w:rPr>
        <w:t>附件5</w:t>
      </w:r>
    </w:p>
    <w:tbl>
      <w:tblPr>
        <w:tblStyle w:val="3"/>
        <w:tblW w:w="9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2"/>
        <w:gridCol w:w="1650"/>
        <w:gridCol w:w="1850"/>
        <w:gridCol w:w="1933"/>
        <w:gridCol w:w="2350"/>
      </w:tblGrid>
      <w:tr w14:paraId="5D4D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235" w:type="dxa"/>
            <w:gridSpan w:val="5"/>
            <w:tcBorders>
              <w:top w:val="nil"/>
              <w:left w:val="nil"/>
              <w:bottom w:val="nil"/>
              <w:right w:val="nil"/>
            </w:tcBorders>
            <w:shd w:val="clear" w:color="auto" w:fill="auto"/>
            <w:noWrap/>
            <w:vAlign w:val="bottom"/>
          </w:tcPr>
          <w:p w14:paraId="20D091A6">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p w14:paraId="76AD3AB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p w14:paraId="44954BA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6B54DF6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05A2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89E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133" w:type="dxa"/>
            <w:gridSpan w:val="3"/>
            <w:tcBorders>
              <w:top w:val="single" w:color="000000" w:sz="4" w:space="0"/>
              <w:left w:val="nil"/>
              <w:bottom w:val="single" w:color="000000" w:sz="4" w:space="0"/>
              <w:right w:val="single" w:color="000000" w:sz="4" w:space="0"/>
            </w:tcBorders>
            <w:shd w:val="clear" w:color="auto" w:fill="auto"/>
            <w:vAlign w:val="center"/>
          </w:tcPr>
          <w:p w14:paraId="7D27FF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4AFC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2" w:type="dxa"/>
            <w:vMerge w:val="restart"/>
            <w:tcBorders>
              <w:top w:val="nil"/>
              <w:left w:val="single" w:color="000000" w:sz="4" w:space="0"/>
              <w:bottom w:val="single" w:color="000000" w:sz="4" w:space="0"/>
              <w:right w:val="nil"/>
            </w:tcBorders>
            <w:shd w:val="clear" w:color="auto" w:fill="auto"/>
            <w:vAlign w:val="center"/>
          </w:tcPr>
          <w:p w14:paraId="5D950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650" w:type="dxa"/>
            <w:vMerge w:val="restart"/>
            <w:tcBorders>
              <w:top w:val="nil"/>
              <w:left w:val="nil"/>
              <w:bottom w:val="single" w:color="000000" w:sz="4" w:space="0"/>
              <w:right w:val="single" w:color="000000" w:sz="4" w:space="0"/>
            </w:tcBorders>
            <w:shd w:val="clear" w:color="auto" w:fill="auto"/>
            <w:vAlign w:val="center"/>
          </w:tcPr>
          <w:p w14:paraId="66D6DD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50" w:type="dxa"/>
            <w:vMerge w:val="restart"/>
            <w:tcBorders>
              <w:top w:val="nil"/>
              <w:left w:val="nil"/>
              <w:bottom w:val="single" w:color="000000" w:sz="4" w:space="0"/>
              <w:right w:val="single" w:color="000000" w:sz="4" w:space="0"/>
            </w:tcBorders>
            <w:shd w:val="clear" w:color="auto" w:fill="auto"/>
            <w:vAlign w:val="center"/>
          </w:tcPr>
          <w:p w14:paraId="2210FC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33" w:type="dxa"/>
            <w:vMerge w:val="restart"/>
            <w:tcBorders>
              <w:top w:val="nil"/>
              <w:left w:val="nil"/>
              <w:bottom w:val="single" w:color="000000" w:sz="4" w:space="0"/>
              <w:right w:val="single" w:color="000000" w:sz="4" w:space="0"/>
            </w:tcBorders>
            <w:shd w:val="clear" w:color="auto" w:fill="auto"/>
            <w:vAlign w:val="center"/>
          </w:tcPr>
          <w:p w14:paraId="57005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350" w:type="dxa"/>
            <w:vMerge w:val="restart"/>
            <w:tcBorders>
              <w:top w:val="nil"/>
              <w:left w:val="nil"/>
              <w:bottom w:val="single" w:color="000000" w:sz="4" w:space="0"/>
              <w:right w:val="single" w:color="000000" w:sz="4" w:space="0"/>
            </w:tcBorders>
            <w:shd w:val="clear" w:color="auto" w:fill="auto"/>
            <w:vAlign w:val="center"/>
          </w:tcPr>
          <w:p w14:paraId="5A9B7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3C0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452" w:type="dxa"/>
            <w:vMerge w:val="continue"/>
            <w:tcBorders>
              <w:top w:val="nil"/>
              <w:left w:val="single" w:color="000000" w:sz="4" w:space="0"/>
              <w:bottom w:val="single" w:color="000000" w:sz="4" w:space="0"/>
              <w:right w:val="nil"/>
            </w:tcBorders>
            <w:shd w:val="clear" w:color="auto" w:fill="auto"/>
            <w:vAlign w:val="center"/>
          </w:tcPr>
          <w:p w14:paraId="6E7A2231">
            <w:pPr>
              <w:jc w:val="center"/>
              <w:rPr>
                <w:rFonts w:hint="eastAsia" w:ascii="宋体" w:hAnsi="宋体" w:eastAsia="宋体" w:cs="宋体"/>
                <w:b/>
                <w:bCs/>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1BC4389A">
            <w:pPr>
              <w:jc w:val="center"/>
              <w:rPr>
                <w:rFonts w:hint="eastAsia" w:ascii="宋体" w:hAnsi="宋体" w:eastAsia="宋体" w:cs="宋体"/>
                <w:b/>
                <w:bCs/>
                <w:i w:val="0"/>
                <w:iCs w:val="0"/>
                <w:color w:val="000000"/>
                <w:sz w:val="22"/>
                <w:szCs w:val="22"/>
                <w:u w:val="none"/>
              </w:rPr>
            </w:pPr>
          </w:p>
        </w:tc>
        <w:tc>
          <w:tcPr>
            <w:tcW w:w="1850" w:type="dxa"/>
            <w:vMerge w:val="continue"/>
            <w:tcBorders>
              <w:top w:val="nil"/>
              <w:left w:val="nil"/>
              <w:bottom w:val="single" w:color="000000" w:sz="4" w:space="0"/>
              <w:right w:val="single" w:color="000000" w:sz="4" w:space="0"/>
            </w:tcBorders>
            <w:shd w:val="clear" w:color="auto" w:fill="auto"/>
            <w:vAlign w:val="center"/>
          </w:tcPr>
          <w:p w14:paraId="65E46402">
            <w:pPr>
              <w:jc w:val="center"/>
              <w:rPr>
                <w:rFonts w:hint="eastAsia" w:ascii="宋体" w:hAnsi="宋体" w:eastAsia="宋体" w:cs="宋体"/>
                <w:b/>
                <w:bCs/>
                <w:i w:val="0"/>
                <w:iCs w:val="0"/>
                <w:color w:val="000000"/>
                <w:sz w:val="22"/>
                <w:szCs w:val="22"/>
                <w:u w:val="none"/>
              </w:rPr>
            </w:pPr>
          </w:p>
        </w:tc>
        <w:tc>
          <w:tcPr>
            <w:tcW w:w="1933" w:type="dxa"/>
            <w:vMerge w:val="continue"/>
            <w:tcBorders>
              <w:top w:val="nil"/>
              <w:left w:val="nil"/>
              <w:bottom w:val="single" w:color="000000" w:sz="4" w:space="0"/>
              <w:right w:val="single" w:color="000000" w:sz="4" w:space="0"/>
            </w:tcBorders>
            <w:shd w:val="clear" w:color="auto" w:fill="auto"/>
            <w:vAlign w:val="center"/>
          </w:tcPr>
          <w:p w14:paraId="529EEC41">
            <w:pPr>
              <w:jc w:val="center"/>
              <w:rPr>
                <w:rFonts w:hint="eastAsia" w:ascii="宋体" w:hAnsi="宋体" w:eastAsia="宋体" w:cs="宋体"/>
                <w:b/>
                <w:bCs/>
                <w:i w:val="0"/>
                <w:iCs w:val="0"/>
                <w:color w:val="000000"/>
                <w:sz w:val="22"/>
                <w:szCs w:val="22"/>
                <w:u w:val="none"/>
              </w:rPr>
            </w:pPr>
          </w:p>
        </w:tc>
        <w:tc>
          <w:tcPr>
            <w:tcW w:w="2350" w:type="dxa"/>
            <w:vMerge w:val="continue"/>
            <w:tcBorders>
              <w:top w:val="nil"/>
              <w:left w:val="nil"/>
              <w:bottom w:val="single" w:color="000000" w:sz="4" w:space="0"/>
              <w:right w:val="single" w:color="000000" w:sz="4" w:space="0"/>
            </w:tcBorders>
            <w:shd w:val="clear" w:color="auto" w:fill="auto"/>
            <w:vAlign w:val="center"/>
          </w:tcPr>
          <w:p w14:paraId="44ABA857">
            <w:pPr>
              <w:jc w:val="center"/>
              <w:rPr>
                <w:rFonts w:hint="eastAsia" w:ascii="宋体" w:hAnsi="宋体" w:eastAsia="宋体" w:cs="宋体"/>
                <w:b/>
                <w:bCs/>
                <w:i w:val="0"/>
                <w:iCs w:val="0"/>
                <w:color w:val="000000"/>
                <w:sz w:val="22"/>
                <w:szCs w:val="22"/>
                <w:u w:val="none"/>
              </w:rPr>
            </w:pPr>
          </w:p>
        </w:tc>
      </w:tr>
      <w:tr w14:paraId="1724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52" w:type="dxa"/>
            <w:vMerge w:val="continue"/>
            <w:tcBorders>
              <w:top w:val="nil"/>
              <w:left w:val="single" w:color="000000" w:sz="4" w:space="0"/>
              <w:bottom w:val="single" w:color="000000" w:sz="4" w:space="0"/>
              <w:right w:val="nil"/>
            </w:tcBorders>
            <w:shd w:val="clear" w:color="auto" w:fill="auto"/>
            <w:vAlign w:val="center"/>
          </w:tcPr>
          <w:p w14:paraId="2B8D35A0">
            <w:pPr>
              <w:jc w:val="center"/>
              <w:rPr>
                <w:rFonts w:hint="eastAsia" w:ascii="宋体" w:hAnsi="宋体" w:eastAsia="宋体" w:cs="宋体"/>
                <w:b/>
                <w:bCs/>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1A9F406C">
            <w:pPr>
              <w:jc w:val="center"/>
              <w:rPr>
                <w:rFonts w:hint="eastAsia" w:ascii="宋体" w:hAnsi="宋体" w:eastAsia="宋体" w:cs="宋体"/>
                <w:b/>
                <w:bCs/>
                <w:i w:val="0"/>
                <w:iCs w:val="0"/>
                <w:color w:val="000000"/>
                <w:sz w:val="22"/>
                <w:szCs w:val="22"/>
                <w:u w:val="none"/>
              </w:rPr>
            </w:pPr>
          </w:p>
        </w:tc>
        <w:tc>
          <w:tcPr>
            <w:tcW w:w="1850" w:type="dxa"/>
            <w:vMerge w:val="continue"/>
            <w:tcBorders>
              <w:top w:val="nil"/>
              <w:left w:val="nil"/>
              <w:bottom w:val="single" w:color="000000" w:sz="4" w:space="0"/>
              <w:right w:val="single" w:color="000000" w:sz="4" w:space="0"/>
            </w:tcBorders>
            <w:shd w:val="clear" w:color="auto" w:fill="auto"/>
            <w:vAlign w:val="center"/>
          </w:tcPr>
          <w:p w14:paraId="20612EDF">
            <w:pPr>
              <w:jc w:val="center"/>
              <w:rPr>
                <w:rFonts w:hint="eastAsia" w:ascii="宋体" w:hAnsi="宋体" w:eastAsia="宋体" w:cs="宋体"/>
                <w:b/>
                <w:bCs/>
                <w:i w:val="0"/>
                <w:iCs w:val="0"/>
                <w:color w:val="000000"/>
                <w:sz w:val="22"/>
                <w:szCs w:val="22"/>
                <w:u w:val="none"/>
              </w:rPr>
            </w:pPr>
          </w:p>
        </w:tc>
        <w:tc>
          <w:tcPr>
            <w:tcW w:w="1933" w:type="dxa"/>
            <w:vMerge w:val="continue"/>
            <w:tcBorders>
              <w:top w:val="nil"/>
              <w:left w:val="nil"/>
              <w:bottom w:val="single" w:color="000000" w:sz="4" w:space="0"/>
              <w:right w:val="single" w:color="000000" w:sz="4" w:space="0"/>
            </w:tcBorders>
            <w:shd w:val="clear" w:color="auto" w:fill="auto"/>
            <w:vAlign w:val="center"/>
          </w:tcPr>
          <w:p w14:paraId="1F9CE70A">
            <w:pPr>
              <w:jc w:val="center"/>
              <w:rPr>
                <w:rFonts w:hint="eastAsia" w:ascii="宋体" w:hAnsi="宋体" w:eastAsia="宋体" w:cs="宋体"/>
                <w:b/>
                <w:bCs/>
                <w:i w:val="0"/>
                <w:iCs w:val="0"/>
                <w:color w:val="000000"/>
                <w:sz w:val="22"/>
                <w:szCs w:val="22"/>
                <w:u w:val="none"/>
              </w:rPr>
            </w:pPr>
          </w:p>
        </w:tc>
        <w:tc>
          <w:tcPr>
            <w:tcW w:w="2350" w:type="dxa"/>
            <w:vMerge w:val="continue"/>
            <w:tcBorders>
              <w:top w:val="nil"/>
              <w:left w:val="nil"/>
              <w:bottom w:val="single" w:color="000000" w:sz="4" w:space="0"/>
              <w:right w:val="single" w:color="000000" w:sz="4" w:space="0"/>
            </w:tcBorders>
            <w:shd w:val="clear" w:color="auto" w:fill="auto"/>
            <w:vAlign w:val="center"/>
          </w:tcPr>
          <w:p w14:paraId="0626B301">
            <w:pPr>
              <w:jc w:val="center"/>
              <w:rPr>
                <w:rFonts w:hint="eastAsia" w:ascii="宋体" w:hAnsi="宋体" w:eastAsia="宋体" w:cs="宋体"/>
                <w:b/>
                <w:bCs/>
                <w:i w:val="0"/>
                <w:iCs w:val="0"/>
                <w:color w:val="000000"/>
                <w:sz w:val="22"/>
                <w:szCs w:val="22"/>
                <w:u w:val="none"/>
              </w:rPr>
            </w:pPr>
          </w:p>
        </w:tc>
      </w:tr>
      <w:tr w14:paraId="7AF3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02" w:type="dxa"/>
            <w:gridSpan w:val="2"/>
            <w:tcBorders>
              <w:top w:val="nil"/>
              <w:left w:val="single" w:color="000000" w:sz="4" w:space="0"/>
              <w:bottom w:val="single" w:color="000000" w:sz="4" w:space="0"/>
              <w:right w:val="single" w:color="000000" w:sz="4" w:space="0"/>
            </w:tcBorders>
            <w:shd w:val="clear" w:color="auto" w:fill="auto"/>
            <w:vAlign w:val="center"/>
          </w:tcPr>
          <w:p w14:paraId="080F06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0" w:type="dxa"/>
            <w:tcBorders>
              <w:top w:val="nil"/>
              <w:left w:val="nil"/>
              <w:bottom w:val="single" w:color="000000" w:sz="4" w:space="0"/>
              <w:right w:val="single" w:color="000000" w:sz="4" w:space="0"/>
            </w:tcBorders>
            <w:shd w:val="clear" w:color="auto" w:fill="auto"/>
            <w:noWrap/>
            <w:vAlign w:val="center"/>
          </w:tcPr>
          <w:p w14:paraId="1F15EA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933" w:type="dxa"/>
            <w:tcBorders>
              <w:top w:val="nil"/>
              <w:left w:val="nil"/>
              <w:bottom w:val="single" w:color="000000" w:sz="4" w:space="0"/>
              <w:right w:val="single" w:color="000000" w:sz="4" w:space="0"/>
            </w:tcBorders>
            <w:shd w:val="clear" w:color="auto" w:fill="auto"/>
            <w:noWrap/>
            <w:vAlign w:val="center"/>
          </w:tcPr>
          <w:p w14:paraId="2B9887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3,331,095.41</w:t>
            </w:r>
          </w:p>
        </w:tc>
        <w:tc>
          <w:tcPr>
            <w:tcW w:w="2350" w:type="dxa"/>
            <w:tcBorders>
              <w:top w:val="nil"/>
              <w:left w:val="nil"/>
              <w:bottom w:val="single" w:color="000000" w:sz="4" w:space="0"/>
              <w:right w:val="single" w:color="000000" w:sz="4" w:space="0"/>
            </w:tcBorders>
            <w:shd w:val="clear" w:color="auto" w:fill="auto"/>
            <w:noWrap/>
            <w:vAlign w:val="center"/>
          </w:tcPr>
          <w:p w14:paraId="4EEBAA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2,380,842.65</w:t>
            </w:r>
          </w:p>
        </w:tc>
      </w:tr>
      <w:tr w14:paraId="6680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2" w:type="dxa"/>
            <w:tcBorders>
              <w:top w:val="nil"/>
              <w:left w:val="single" w:color="000000" w:sz="4" w:space="0"/>
              <w:bottom w:val="single" w:color="000000" w:sz="4" w:space="0"/>
              <w:right w:val="single" w:color="000000" w:sz="4" w:space="0"/>
            </w:tcBorders>
            <w:shd w:val="clear" w:color="auto" w:fill="auto"/>
            <w:noWrap/>
            <w:vAlign w:val="center"/>
          </w:tcPr>
          <w:p w14:paraId="512537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14:paraId="08B609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850" w:type="dxa"/>
            <w:tcBorders>
              <w:top w:val="nil"/>
              <w:left w:val="single" w:color="000000" w:sz="4" w:space="0"/>
              <w:bottom w:val="single" w:color="000000" w:sz="4" w:space="0"/>
              <w:right w:val="single" w:color="000000" w:sz="4" w:space="0"/>
            </w:tcBorders>
            <w:shd w:val="clear" w:color="auto" w:fill="auto"/>
            <w:noWrap/>
            <w:vAlign w:val="center"/>
          </w:tcPr>
          <w:p w14:paraId="6B9814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933" w:type="dxa"/>
            <w:tcBorders>
              <w:top w:val="nil"/>
              <w:left w:val="single" w:color="000000" w:sz="4" w:space="0"/>
              <w:bottom w:val="single" w:color="000000" w:sz="4" w:space="0"/>
              <w:right w:val="single" w:color="000000" w:sz="4" w:space="0"/>
            </w:tcBorders>
            <w:shd w:val="clear" w:color="auto" w:fill="auto"/>
            <w:noWrap/>
            <w:vAlign w:val="center"/>
          </w:tcPr>
          <w:p w14:paraId="3DEFF4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3,331,095.41</w:t>
            </w:r>
          </w:p>
        </w:tc>
        <w:tc>
          <w:tcPr>
            <w:tcW w:w="2350" w:type="dxa"/>
            <w:tcBorders>
              <w:top w:val="nil"/>
              <w:left w:val="single" w:color="000000" w:sz="4" w:space="0"/>
              <w:bottom w:val="single" w:color="000000" w:sz="4" w:space="0"/>
              <w:right w:val="single" w:color="000000" w:sz="4" w:space="0"/>
            </w:tcBorders>
            <w:shd w:val="clear" w:color="auto" w:fill="auto"/>
            <w:noWrap/>
            <w:vAlign w:val="center"/>
          </w:tcPr>
          <w:p w14:paraId="3128BD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2,380,842.65</w:t>
            </w:r>
          </w:p>
        </w:tc>
      </w:tr>
      <w:tr w14:paraId="6B77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2" w:type="dxa"/>
            <w:tcBorders>
              <w:top w:val="nil"/>
              <w:left w:val="single" w:color="000000" w:sz="4" w:space="0"/>
              <w:bottom w:val="single" w:color="000000" w:sz="4" w:space="0"/>
              <w:right w:val="single" w:color="000000" w:sz="4" w:space="0"/>
            </w:tcBorders>
            <w:shd w:val="clear" w:color="auto" w:fill="auto"/>
            <w:noWrap/>
            <w:vAlign w:val="center"/>
          </w:tcPr>
          <w:p w14:paraId="673473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650" w:type="dxa"/>
            <w:tcBorders>
              <w:top w:val="nil"/>
              <w:left w:val="single" w:color="000000" w:sz="4" w:space="0"/>
              <w:bottom w:val="single" w:color="000000" w:sz="4" w:space="0"/>
              <w:right w:val="single" w:color="000000" w:sz="4" w:space="0"/>
            </w:tcBorders>
            <w:shd w:val="clear" w:color="auto" w:fill="auto"/>
            <w:noWrap/>
            <w:vAlign w:val="center"/>
          </w:tcPr>
          <w:p w14:paraId="7BA567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850" w:type="dxa"/>
            <w:tcBorders>
              <w:top w:val="nil"/>
              <w:left w:val="single" w:color="000000" w:sz="4" w:space="0"/>
              <w:bottom w:val="single" w:color="000000" w:sz="4" w:space="0"/>
              <w:right w:val="single" w:color="000000" w:sz="4" w:space="0"/>
            </w:tcBorders>
            <w:shd w:val="clear" w:color="auto" w:fill="auto"/>
            <w:noWrap/>
            <w:vAlign w:val="center"/>
          </w:tcPr>
          <w:p w14:paraId="33FADE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933" w:type="dxa"/>
            <w:tcBorders>
              <w:top w:val="nil"/>
              <w:left w:val="single" w:color="000000" w:sz="4" w:space="0"/>
              <w:bottom w:val="single" w:color="000000" w:sz="4" w:space="0"/>
              <w:right w:val="single" w:color="000000" w:sz="4" w:space="0"/>
            </w:tcBorders>
            <w:shd w:val="clear" w:color="auto" w:fill="auto"/>
            <w:noWrap/>
            <w:vAlign w:val="center"/>
          </w:tcPr>
          <w:p w14:paraId="45A0FF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3,331,095.41</w:t>
            </w:r>
          </w:p>
        </w:tc>
        <w:tc>
          <w:tcPr>
            <w:tcW w:w="2350" w:type="dxa"/>
            <w:tcBorders>
              <w:top w:val="nil"/>
              <w:left w:val="single" w:color="000000" w:sz="4" w:space="0"/>
              <w:bottom w:val="single" w:color="000000" w:sz="4" w:space="0"/>
              <w:right w:val="single" w:color="000000" w:sz="4" w:space="0"/>
            </w:tcBorders>
            <w:shd w:val="clear" w:color="auto" w:fill="auto"/>
            <w:noWrap/>
            <w:vAlign w:val="center"/>
          </w:tcPr>
          <w:p w14:paraId="1B13C5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2,380,842.65</w:t>
            </w:r>
          </w:p>
        </w:tc>
      </w:tr>
      <w:tr w14:paraId="616A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2" w:type="dxa"/>
            <w:tcBorders>
              <w:top w:val="nil"/>
              <w:left w:val="single" w:color="000000" w:sz="4" w:space="0"/>
              <w:bottom w:val="single" w:color="000000" w:sz="4" w:space="0"/>
              <w:right w:val="single" w:color="000000" w:sz="4" w:space="0"/>
            </w:tcBorders>
            <w:shd w:val="clear" w:color="auto" w:fill="auto"/>
            <w:noWrap/>
            <w:vAlign w:val="center"/>
          </w:tcPr>
          <w:p w14:paraId="08459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1650" w:type="dxa"/>
            <w:tcBorders>
              <w:top w:val="nil"/>
              <w:left w:val="nil"/>
              <w:bottom w:val="single" w:color="000000" w:sz="4" w:space="0"/>
              <w:right w:val="single" w:color="000000" w:sz="4" w:space="0"/>
            </w:tcBorders>
            <w:shd w:val="clear" w:color="auto" w:fill="auto"/>
            <w:noWrap/>
            <w:vAlign w:val="center"/>
          </w:tcPr>
          <w:p w14:paraId="06130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律师管理</w:t>
            </w:r>
          </w:p>
        </w:tc>
        <w:tc>
          <w:tcPr>
            <w:tcW w:w="1850" w:type="dxa"/>
            <w:tcBorders>
              <w:top w:val="nil"/>
              <w:left w:val="nil"/>
              <w:bottom w:val="single" w:color="000000" w:sz="4" w:space="0"/>
              <w:right w:val="single" w:color="000000" w:sz="4" w:space="0"/>
            </w:tcBorders>
            <w:shd w:val="clear" w:color="auto" w:fill="auto"/>
            <w:noWrap/>
            <w:vAlign w:val="center"/>
          </w:tcPr>
          <w:p w14:paraId="2C7EAF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5,711,938.06</w:t>
            </w:r>
          </w:p>
        </w:tc>
        <w:tc>
          <w:tcPr>
            <w:tcW w:w="1933" w:type="dxa"/>
            <w:tcBorders>
              <w:top w:val="nil"/>
              <w:left w:val="nil"/>
              <w:bottom w:val="single" w:color="000000" w:sz="4" w:space="0"/>
              <w:right w:val="single" w:color="000000" w:sz="4" w:space="0"/>
            </w:tcBorders>
            <w:shd w:val="clear" w:color="auto" w:fill="auto"/>
            <w:noWrap/>
            <w:vAlign w:val="center"/>
          </w:tcPr>
          <w:p w14:paraId="3F336E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3,331,095.41</w:t>
            </w:r>
          </w:p>
        </w:tc>
        <w:tc>
          <w:tcPr>
            <w:tcW w:w="2350" w:type="dxa"/>
            <w:tcBorders>
              <w:top w:val="nil"/>
              <w:left w:val="nil"/>
              <w:bottom w:val="single" w:color="000000" w:sz="4" w:space="0"/>
              <w:right w:val="single" w:color="000000" w:sz="4" w:space="0"/>
            </w:tcBorders>
            <w:shd w:val="clear" w:color="auto" w:fill="auto"/>
            <w:noWrap/>
            <w:vAlign w:val="center"/>
          </w:tcPr>
          <w:p w14:paraId="36D63A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2,380,842.65</w:t>
            </w:r>
          </w:p>
        </w:tc>
      </w:tr>
      <w:tr w14:paraId="2FA5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235" w:type="dxa"/>
            <w:gridSpan w:val="5"/>
            <w:tcBorders>
              <w:top w:val="nil"/>
              <w:left w:val="nil"/>
              <w:bottom w:val="nil"/>
              <w:right w:val="nil"/>
            </w:tcBorders>
            <w:shd w:val="clear" w:color="auto" w:fill="auto"/>
            <w:vAlign w:val="center"/>
          </w:tcPr>
          <w:p w14:paraId="56AD7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48885A34">
      <w:pPr>
        <w:rPr>
          <w:rFonts w:hint="eastAsia"/>
          <w:lang w:val="en-US" w:eastAsia="zh-CN"/>
        </w:rPr>
      </w:pPr>
    </w:p>
    <w:p w14:paraId="69B16B08">
      <w:pPr>
        <w:rPr>
          <w:rFonts w:hint="eastAsia"/>
          <w:lang w:val="en-US" w:eastAsia="zh-CN"/>
        </w:rPr>
      </w:pPr>
      <w:r>
        <w:rPr>
          <w:rFonts w:hint="eastAsia"/>
          <w:lang w:val="en-US" w:eastAsia="zh-CN"/>
        </w:rPr>
        <w:t>附件6</w:t>
      </w:r>
    </w:p>
    <w:tbl>
      <w:tblPr>
        <w:tblStyle w:val="3"/>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233"/>
        <w:gridCol w:w="1233"/>
        <w:gridCol w:w="867"/>
        <w:gridCol w:w="1233"/>
        <w:gridCol w:w="1117"/>
        <w:gridCol w:w="817"/>
        <w:gridCol w:w="1333"/>
        <w:gridCol w:w="1100"/>
      </w:tblGrid>
      <w:tr w14:paraId="47BF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9735" w:type="dxa"/>
            <w:gridSpan w:val="9"/>
            <w:tcBorders>
              <w:top w:val="nil"/>
              <w:left w:val="nil"/>
              <w:bottom w:val="nil"/>
              <w:right w:val="nil"/>
            </w:tcBorders>
            <w:shd w:val="clear" w:color="auto" w:fill="auto"/>
            <w:noWrap/>
            <w:vAlign w:val="bottom"/>
          </w:tcPr>
          <w:p w14:paraId="470C29F1">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p w14:paraId="469854A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p w14:paraId="1295068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68CDB55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CAA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2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6467" w:type="dxa"/>
            <w:gridSpan w:val="6"/>
            <w:tcBorders>
              <w:top w:val="single" w:color="000000" w:sz="4" w:space="0"/>
              <w:left w:val="nil"/>
              <w:bottom w:val="single" w:color="000000" w:sz="4" w:space="0"/>
              <w:right w:val="single" w:color="000000" w:sz="4" w:space="0"/>
            </w:tcBorders>
            <w:shd w:val="clear" w:color="auto" w:fill="auto"/>
            <w:noWrap/>
            <w:vAlign w:val="center"/>
          </w:tcPr>
          <w:p w14:paraId="57878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C41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vMerge w:val="restart"/>
            <w:tcBorders>
              <w:top w:val="nil"/>
              <w:left w:val="single" w:color="000000" w:sz="4" w:space="0"/>
              <w:bottom w:val="single" w:color="000000" w:sz="4" w:space="0"/>
              <w:right w:val="single" w:color="000000" w:sz="4" w:space="0"/>
            </w:tcBorders>
            <w:shd w:val="clear" w:color="auto" w:fill="auto"/>
            <w:vAlign w:val="center"/>
          </w:tcPr>
          <w:p w14:paraId="03DB89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233" w:type="dxa"/>
            <w:vMerge w:val="restart"/>
            <w:tcBorders>
              <w:top w:val="nil"/>
              <w:left w:val="nil"/>
              <w:bottom w:val="single" w:color="000000" w:sz="4" w:space="0"/>
              <w:right w:val="single" w:color="000000" w:sz="4" w:space="0"/>
            </w:tcBorders>
            <w:shd w:val="clear" w:color="auto" w:fill="auto"/>
            <w:vAlign w:val="center"/>
          </w:tcPr>
          <w:p w14:paraId="030C0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233" w:type="dxa"/>
            <w:vMerge w:val="restart"/>
            <w:tcBorders>
              <w:top w:val="nil"/>
              <w:left w:val="nil"/>
              <w:bottom w:val="single" w:color="000000" w:sz="4" w:space="0"/>
              <w:right w:val="single" w:color="000000" w:sz="4" w:space="0"/>
            </w:tcBorders>
            <w:shd w:val="clear" w:color="auto" w:fill="auto"/>
            <w:vAlign w:val="center"/>
          </w:tcPr>
          <w:p w14:paraId="3D52FA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867" w:type="dxa"/>
            <w:vMerge w:val="restart"/>
            <w:tcBorders>
              <w:top w:val="nil"/>
              <w:left w:val="single" w:color="000000" w:sz="4" w:space="0"/>
              <w:bottom w:val="single" w:color="000000" w:sz="4" w:space="0"/>
              <w:right w:val="single" w:color="000000" w:sz="4" w:space="0"/>
            </w:tcBorders>
            <w:shd w:val="clear" w:color="auto" w:fill="auto"/>
            <w:vAlign w:val="center"/>
          </w:tcPr>
          <w:p w14:paraId="4251F4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233" w:type="dxa"/>
            <w:vMerge w:val="restart"/>
            <w:tcBorders>
              <w:top w:val="nil"/>
              <w:left w:val="nil"/>
              <w:bottom w:val="single" w:color="000000" w:sz="4" w:space="0"/>
              <w:right w:val="single" w:color="000000" w:sz="4" w:space="0"/>
            </w:tcBorders>
            <w:shd w:val="clear" w:color="auto" w:fill="auto"/>
            <w:vAlign w:val="center"/>
          </w:tcPr>
          <w:p w14:paraId="440AA7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117" w:type="dxa"/>
            <w:vMerge w:val="restart"/>
            <w:tcBorders>
              <w:top w:val="nil"/>
              <w:left w:val="nil"/>
              <w:bottom w:val="single" w:color="000000" w:sz="4" w:space="0"/>
              <w:right w:val="single" w:color="000000" w:sz="4" w:space="0"/>
            </w:tcBorders>
            <w:shd w:val="clear" w:color="auto" w:fill="auto"/>
            <w:vAlign w:val="center"/>
          </w:tcPr>
          <w:p w14:paraId="1FC6E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817" w:type="dxa"/>
            <w:vMerge w:val="restart"/>
            <w:tcBorders>
              <w:top w:val="nil"/>
              <w:left w:val="single" w:color="000000" w:sz="4" w:space="0"/>
              <w:bottom w:val="single" w:color="000000" w:sz="4" w:space="0"/>
              <w:right w:val="single" w:color="000000" w:sz="4" w:space="0"/>
            </w:tcBorders>
            <w:shd w:val="clear" w:color="auto" w:fill="auto"/>
            <w:vAlign w:val="center"/>
          </w:tcPr>
          <w:p w14:paraId="521303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333" w:type="dxa"/>
            <w:vMerge w:val="restart"/>
            <w:tcBorders>
              <w:top w:val="nil"/>
              <w:left w:val="nil"/>
              <w:bottom w:val="single" w:color="000000" w:sz="4" w:space="0"/>
              <w:right w:val="single" w:color="000000" w:sz="4" w:space="0"/>
            </w:tcBorders>
            <w:shd w:val="clear" w:color="auto" w:fill="auto"/>
            <w:vAlign w:val="center"/>
          </w:tcPr>
          <w:p w14:paraId="234655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100" w:type="dxa"/>
            <w:vMerge w:val="restart"/>
            <w:tcBorders>
              <w:top w:val="nil"/>
              <w:left w:val="nil"/>
              <w:bottom w:val="single" w:color="000000" w:sz="4" w:space="0"/>
              <w:right w:val="single" w:color="000000" w:sz="4" w:space="0"/>
            </w:tcBorders>
            <w:shd w:val="clear" w:color="auto" w:fill="auto"/>
            <w:vAlign w:val="center"/>
          </w:tcPr>
          <w:p w14:paraId="546C5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D0F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vMerge w:val="continue"/>
            <w:tcBorders>
              <w:top w:val="nil"/>
              <w:left w:val="single" w:color="000000" w:sz="4" w:space="0"/>
              <w:bottom w:val="single" w:color="000000" w:sz="4" w:space="0"/>
              <w:right w:val="single" w:color="000000" w:sz="4" w:space="0"/>
            </w:tcBorders>
            <w:shd w:val="clear" w:color="auto" w:fill="auto"/>
            <w:vAlign w:val="center"/>
          </w:tcPr>
          <w:p w14:paraId="4A4554ED">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70F0139D">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367C9EBD">
            <w:pPr>
              <w:jc w:val="center"/>
              <w:rPr>
                <w:rFonts w:hint="eastAsia" w:ascii="宋体" w:hAnsi="宋体" w:eastAsia="宋体" w:cs="宋体"/>
                <w:b/>
                <w:bCs/>
                <w:i w:val="0"/>
                <w:iCs w:val="0"/>
                <w:color w:val="000000"/>
                <w:sz w:val="22"/>
                <w:szCs w:val="22"/>
                <w:u w:val="none"/>
              </w:rPr>
            </w:pPr>
          </w:p>
        </w:tc>
        <w:tc>
          <w:tcPr>
            <w:tcW w:w="867" w:type="dxa"/>
            <w:vMerge w:val="continue"/>
            <w:tcBorders>
              <w:top w:val="nil"/>
              <w:left w:val="single" w:color="000000" w:sz="4" w:space="0"/>
              <w:bottom w:val="single" w:color="000000" w:sz="4" w:space="0"/>
              <w:right w:val="single" w:color="000000" w:sz="4" w:space="0"/>
            </w:tcBorders>
            <w:shd w:val="clear" w:color="auto" w:fill="auto"/>
            <w:vAlign w:val="center"/>
          </w:tcPr>
          <w:p w14:paraId="172F58CE">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02CF1A50">
            <w:pPr>
              <w:jc w:val="center"/>
              <w:rPr>
                <w:rFonts w:hint="eastAsia" w:ascii="宋体" w:hAnsi="宋体" w:eastAsia="宋体" w:cs="宋体"/>
                <w:b/>
                <w:bCs/>
                <w:i w:val="0"/>
                <w:iCs w:val="0"/>
                <w:color w:val="000000"/>
                <w:sz w:val="22"/>
                <w:szCs w:val="22"/>
                <w:u w:val="none"/>
              </w:rPr>
            </w:pPr>
          </w:p>
        </w:tc>
        <w:tc>
          <w:tcPr>
            <w:tcW w:w="1117" w:type="dxa"/>
            <w:vMerge w:val="continue"/>
            <w:tcBorders>
              <w:top w:val="nil"/>
              <w:left w:val="nil"/>
              <w:bottom w:val="single" w:color="000000" w:sz="4" w:space="0"/>
              <w:right w:val="single" w:color="000000" w:sz="4" w:space="0"/>
            </w:tcBorders>
            <w:shd w:val="clear" w:color="auto" w:fill="auto"/>
            <w:vAlign w:val="center"/>
          </w:tcPr>
          <w:p w14:paraId="37A39047">
            <w:pPr>
              <w:jc w:val="center"/>
              <w:rPr>
                <w:rFonts w:hint="eastAsia" w:ascii="宋体" w:hAnsi="宋体" w:eastAsia="宋体" w:cs="宋体"/>
                <w:b/>
                <w:bCs/>
                <w:i w:val="0"/>
                <w:iCs w:val="0"/>
                <w:color w:val="000000"/>
                <w:sz w:val="22"/>
                <w:szCs w:val="22"/>
                <w:u w:val="none"/>
              </w:rPr>
            </w:pPr>
          </w:p>
        </w:tc>
        <w:tc>
          <w:tcPr>
            <w:tcW w:w="817" w:type="dxa"/>
            <w:vMerge w:val="continue"/>
            <w:tcBorders>
              <w:top w:val="nil"/>
              <w:left w:val="single" w:color="000000" w:sz="4" w:space="0"/>
              <w:bottom w:val="single" w:color="000000" w:sz="4" w:space="0"/>
              <w:right w:val="single" w:color="000000" w:sz="4" w:space="0"/>
            </w:tcBorders>
            <w:shd w:val="clear" w:color="auto" w:fill="auto"/>
            <w:vAlign w:val="center"/>
          </w:tcPr>
          <w:p w14:paraId="7B37C560">
            <w:pPr>
              <w:jc w:val="center"/>
              <w:rPr>
                <w:rFonts w:hint="eastAsia" w:ascii="宋体" w:hAnsi="宋体" w:eastAsia="宋体" w:cs="宋体"/>
                <w:b/>
                <w:bCs/>
                <w:i w:val="0"/>
                <w:iCs w:val="0"/>
                <w:color w:val="000000"/>
                <w:sz w:val="22"/>
                <w:szCs w:val="22"/>
                <w:u w:val="none"/>
              </w:rPr>
            </w:pPr>
          </w:p>
        </w:tc>
        <w:tc>
          <w:tcPr>
            <w:tcW w:w="1333" w:type="dxa"/>
            <w:vMerge w:val="continue"/>
            <w:tcBorders>
              <w:top w:val="nil"/>
              <w:left w:val="nil"/>
              <w:bottom w:val="single" w:color="000000" w:sz="4" w:space="0"/>
              <w:right w:val="single" w:color="000000" w:sz="4" w:space="0"/>
            </w:tcBorders>
            <w:shd w:val="clear" w:color="auto" w:fill="auto"/>
            <w:vAlign w:val="center"/>
          </w:tcPr>
          <w:p w14:paraId="3436996A">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7301D30C">
            <w:pPr>
              <w:jc w:val="center"/>
              <w:rPr>
                <w:rFonts w:hint="eastAsia" w:ascii="宋体" w:hAnsi="宋体" w:eastAsia="宋体" w:cs="宋体"/>
                <w:b/>
                <w:bCs/>
                <w:i w:val="0"/>
                <w:iCs w:val="0"/>
                <w:color w:val="000000"/>
                <w:sz w:val="22"/>
                <w:szCs w:val="22"/>
                <w:u w:val="none"/>
              </w:rPr>
            </w:pPr>
          </w:p>
        </w:tc>
      </w:tr>
      <w:tr w14:paraId="0A63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1F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68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2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2,803,107.37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88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E0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1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527,988.04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26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54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3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78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E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6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1,038,778.40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2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C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9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95,282.36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2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9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5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A2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F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A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C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9,288.00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A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8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8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C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0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8D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4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2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D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2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C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8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C4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B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F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8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7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6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1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7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5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92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C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4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1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0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5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4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5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7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A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7F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9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B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280,938.69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1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7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75,232.80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2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1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3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0B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0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5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72,711.00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5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2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9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8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C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E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97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0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A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138,339.50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1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0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7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D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9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20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6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C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7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7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9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E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354,834.48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4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9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FD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E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B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1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0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7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51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2D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3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B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1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264,880.00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4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0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9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C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2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38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E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6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2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8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1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9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3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57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A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8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A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866,571.78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5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0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1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A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A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2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29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3F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8C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4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C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9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0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0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6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34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6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0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9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C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F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B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C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5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E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A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C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4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5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B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4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C4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C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C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1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5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9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0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78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6D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09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4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7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4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7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D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4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9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D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9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7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B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E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8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C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E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D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E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A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9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02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E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A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2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B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3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1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2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3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2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78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9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2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F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0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0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7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A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09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9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C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F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8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F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6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6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7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1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EA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A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E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F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9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F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5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4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5A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8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0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D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A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2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7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AF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36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C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51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A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B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6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B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B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B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EA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0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8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A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C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C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D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A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A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A5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A763">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6FD8">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D58F3">
            <w:pPr>
              <w:rPr>
                <w:rFonts w:hint="default" w:ascii="Arial" w:hAnsi="Arial" w:eastAsia="宋体" w:cs="Arial"/>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3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2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4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A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4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12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7AAE">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4326">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8AC5B">
            <w:pPr>
              <w:rPr>
                <w:rFonts w:hint="default" w:ascii="Arial" w:hAnsi="Arial" w:eastAsia="宋体" w:cs="Arial"/>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72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AF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8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C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2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D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34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017A">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9746">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D0C01">
            <w:pPr>
              <w:rPr>
                <w:rFonts w:hint="default" w:ascii="Arial" w:hAnsi="Arial" w:eastAsia="宋体" w:cs="Arial"/>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8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3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F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B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B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E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70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F0BD">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8FA6">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F1032">
            <w:pPr>
              <w:rPr>
                <w:rFonts w:hint="default" w:ascii="Arial" w:hAnsi="Arial" w:eastAsia="宋体" w:cs="Arial"/>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5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C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8AF">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D84C">
            <w:pPr>
              <w:jc w:val="lef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DD80">
            <w:pPr>
              <w:jc w:val="right"/>
              <w:rPr>
                <w:rFonts w:hint="eastAsia" w:ascii="宋体" w:hAnsi="宋体" w:eastAsia="宋体" w:cs="宋体"/>
                <w:i w:val="0"/>
                <w:iCs w:val="0"/>
                <w:color w:val="000000"/>
                <w:sz w:val="22"/>
                <w:szCs w:val="22"/>
                <w:u w:val="none"/>
              </w:rPr>
            </w:pPr>
          </w:p>
        </w:tc>
      </w:tr>
      <w:tr w14:paraId="210E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B8C5">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3C60">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878C7">
            <w:pPr>
              <w:rPr>
                <w:rFonts w:hint="default" w:ascii="Arial" w:hAnsi="Arial" w:eastAsia="宋体" w:cs="Arial"/>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8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9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5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DE94">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7BE6">
            <w:pPr>
              <w:jc w:val="lef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550">
            <w:pPr>
              <w:jc w:val="right"/>
              <w:rPr>
                <w:rFonts w:hint="eastAsia" w:ascii="宋体" w:hAnsi="宋体" w:eastAsia="宋体" w:cs="宋体"/>
                <w:i w:val="0"/>
                <w:iCs w:val="0"/>
                <w:color w:val="000000"/>
                <w:sz w:val="22"/>
                <w:szCs w:val="22"/>
                <w:u w:val="none"/>
              </w:rPr>
            </w:pPr>
          </w:p>
        </w:tc>
      </w:tr>
      <w:tr w14:paraId="068B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75FF">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B5EC">
            <w:pPr>
              <w:jc w:val="left"/>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95164">
            <w:pPr>
              <w:rPr>
                <w:rFonts w:hint="default" w:ascii="Arial" w:hAnsi="Arial" w:eastAsia="宋体" w:cs="Arial"/>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D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1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F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3200">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05FB">
            <w:pPr>
              <w:jc w:val="lef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B7A6">
            <w:pPr>
              <w:jc w:val="right"/>
              <w:rPr>
                <w:rFonts w:hint="eastAsia" w:ascii="宋体" w:hAnsi="宋体" w:eastAsia="宋体" w:cs="宋体"/>
                <w:i w:val="0"/>
                <w:iCs w:val="0"/>
                <w:color w:val="000000"/>
                <w:sz w:val="22"/>
                <w:szCs w:val="22"/>
                <w:u w:val="none"/>
              </w:rPr>
            </w:pPr>
          </w:p>
        </w:tc>
      </w:tr>
      <w:tr w14:paraId="467A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35" w:type="dxa"/>
            <w:gridSpan w:val="2"/>
            <w:tcBorders>
              <w:top w:val="nil"/>
              <w:left w:val="single" w:color="000000" w:sz="4" w:space="0"/>
              <w:bottom w:val="single" w:color="000000" w:sz="4" w:space="0"/>
              <w:right w:val="single" w:color="000000" w:sz="4" w:space="0"/>
            </w:tcBorders>
            <w:shd w:val="clear" w:color="auto" w:fill="auto"/>
            <w:noWrap/>
            <w:vAlign w:val="center"/>
          </w:tcPr>
          <w:p w14:paraId="4369B9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1233" w:type="dxa"/>
            <w:tcBorders>
              <w:top w:val="nil"/>
              <w:left w:val="single" w:color="000000" w:sz="4" w:space="0"/>
              <w:bottom w:val="single" w:color="000000" w:sz="4" w:space="0"/>
              <w:right w:val="single" w:color="000000" w:sz="4" w:space="0"/>
            </w:tcBorders>
            <w:shd w:val="clear" w:color="auto" w:fill="auto"/>
            <w:noWrap/>
            <w:vAlign w:val="bottom"/>
          </w:tcPr>
          <w:p w14:paraId="6266EB7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2,803,107.37</w:t>
            </w:r>
          </w:p>
        </w:tc>
        <w:tc>
          <w:tcPr>
            <w:tcW w:w="5367" w:type="dxa"/>
            <w:gridSpan w:val="5"/>
            <w:tcBorders>
              <w:top w:val="nil"/>
              <w:left w:val="nil"/>
              <w:bottom w:val="single" w:color="000000" w:sz="4" w:space="0"/>
              <w:right w:val="single" w:color="000000" w:sz="4" w:space="0"/>
            </w:tcBorders>
            <w:shd w:val="clear" w:color="auto" w:fill="auto"/>
            <w:noWrap/>
            <w:vAlign w:val="center"/>
          </w:tcPr>
          <w:p w14:paraId="7C75F8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100" w:type="dxa"/>
            <w:tcBorders>
              <w:top w:val="nil"/>
              <w:left w:val="nil"/>
              <w:bottom w:val="single" w:color="000000" w:sz="4" w:space="0"/>
              <w:right w:val="single" w:color="000000" w:sz="4" w:space="0"/>
            </w:tcBorders>
            <w:shd w:val="clear" w:color="auto" w:fill="auto"/>
            <w:noWrap/>
            <w:vAlign w:val="center"/>
          </w:tcPr>
          <w:p w14:paraId="7FD97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527,988.04</w:t>
            </w:r>
          </w:p>
        </w:tc>
      </w:tr>
      <w:tr w14:paraId="4067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35" w:type="dxa"/>
            <w:gridSpan w:val="9"/>
            <w:tcBorders>
              <w:top w:val="nil"/>
              <w:left w:val="nil"/>
              <w:bottom w:val="single" w:color="auto" w:sz="4" w:space="0"/>
              <w:right w:val="nil"/>
            </w:tcBorders>
            <w:shd w:val="clear" w:color="auto" w:fill="auto"/>
            <w:vAlign w:val="center"/>
          </w:tcPr>
          <w:p w14:paraId="58753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7372880E">
      <w:pPr>
        <w:rPr>
          <w:rFonts w:hint="default"/>
          <w:lang w:val="en-US" w:eastAsia="zh-CN"/>
        </w:rPr>
      </w:pPr>
    </w:p>
    <w:p w14:paraId="5CB79719">
      <w:pPr>
        <w:tabs>
          <w:tab w:val="left" w:pos="620"/>
        </w:tabs>
        <w:bidi w:val="0"/>
        <w:jc w:val="left"/>
        <w:rPr>
          <w:rFonts w:hint="eastAsia"/>
          <w:lang w:val="en-US" w:eastAsia="zh-CN"/>
        </w:rPr>
      </w:pPr>
      <w:r>
        <w:rPr>
          <w:rFonts w:hint="eastAsia"/>
          <w:lang w:val="en-US" w:eastAsia="zh-CN"/>
        </w:rPr>
        <w:t>附件7</w:t>
      </w:r>
    </w:p>
    <w:tbl>
      <w:tblPr>
        <w:tblStyle w:val="3"/>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5"/>
        <w:gridCol w:w="1269"/>
        <w:gridCol w:w="881"/>
        <w:gridCol w:w="750"/>
        <w:gridCol w:w="683"/>
        <w:gridCol w:w="667"/>
        <w:gridCol w:w="850"/>
        <w:gridCol w:w="1250"/>
      </w:tblGrid>
      <w:tr w14:paraId="4131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985" w:type="dxa"/>
            <w:gridSpan w:val="8"/>
            <w:tcBorders>
              <w:top w:val="nil"/>
              <w:left w:val="nil"/>
              <w:bottom w:val="nil"/>
              <w:right w:val="nil"/>
            </w:tcBorders>
            <w:shd w:val="clear" w:color="auto" w:fill="auto"/>
            <w:noWrap/>
            <w:vAlign w:val="bottom"/>
          </w:tcPr>
          <w:p w14:paraId="2B5E7A0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p w14:paraId="19A4AA9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p w14:paraId="2AC1102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49E68CA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91D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28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81" w:type="dxa"/>
            <w:vMerge w:val="restart"/>
            <w:tcBorders>
              <w:top w:val="single" w:color="000000" w:sz="4" w:space="0"/>
              <w:left w:val="nil"/>
              <w:bottom w:val="single" w:color="000000" w:sz="4" w:space="0"/>
              <w:right w:val="single" w:color="000000" w:sz="4" w:space="0"/>
            </w:tcBorders>
            <w:shd w:val="clear" w:color="auto" w:fill="auto"/>
            <w:vAlign w:val="center"/>
          </w:tcPr>
          <w:p w14:paraId="77F50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94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200" w:type="dxa"/>
            <w:gridSpan w:val="3"/>
            <w:tcBorders>
              <w:top w:val="single" w:color="000000" w:sz="4" w:space="0"/>
              <w:left w:val="nil"/>
              <w:bottom w:val="single" w:color="000000" w:sz="4" w:space="0"/>
              <w:right w:val="single" w:color="000000" w:sz="4" w:space="0"/>
            </w:tcBorders>
            <w:shd w:val="clear" w:color="auto" w:fill="auto"/>
            <w:vAlign w:val="center"/>
          </w:tcPr>
          <w:p w14:paraId="3E65F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E5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BCF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5" w:type="dxa"/>
            <w:vMerge w:val="restart"/>
            <w:tcBorders>
              <w:top w:val="single" w:color="000000" w:sz="4" w:space="0"/>
              <w:left w:val="single" w:color="000000" w:sz="4" w:space="0"/>
              <w:bottom w:val="single" w:color="000000" w:sz="4" w:space="0"/>
              <w:right w:val="nil"/>
            </w:tcBorders>
            <w:shd w:val="clear" w:color="auto" w:fill="auto"/>
            <w:vAlign w:val="center"/>
          </w:tcPr>
          <w:p w14:paraId="16812C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E8E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881" w:type="dxa"/>
            <w:vMerge w:val="continue"/>
            <w:tcBorders>
              <w:top w:val="single" w:color="000000" w:sz="4" w:space="0"/>
              <w:left w:val="nil"/>
              <w:bottom w:val="single" w:color="000000" w:sz="4" w:space="0"/>
              <w:right w:val="single" w:color="000000" w:sz="4" w:space="0"/>
            </w:tcBorders>
            <w:shd w:val="clear" w:color="auto" w:fill="auto"/>
            <w:vAlign w:val="center"/>
          </w:tcPr>
          <w:p w14:paraId="0DE0FC36">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E0B4">
            <w:pPr>
              <w:jc w:val="center"/>
              <w:rPr>
                <w:rFonts w:hint="eastAsia" w:ascii="宋体" w:hAnsi="宋体" w:eastAsia="宋体" w:cs="宋体"/>
                <w:b/>
                <w:bCs/>
                <w:i w:val="0"/>
                <w:iCs w:val="0"/>
                <w:color w:val="000000"/>
                <w:sz w:val="22"/>
                <w:szCs w:val="22"/>
                <w:u w:val="none"/>
              </w:rPr>
            </w:pPr>
          </w:p>
        </w:tc>
        <w:tc>
          <w:tcPr>
            <w:tcW w:w="683" w:type="dxa"/>
            <w:vMerge w:val="restart"/>
            <w:tcBorders>
              <w:top w:val="nil"/>
              <w:left w:val="nil"/>
              <w:bottom w:val="single" w:color="000000" w:sz="4" w:space="0"/>
              <w:right w:val="single" w:color="000000" w:sz="4" w:space="0"/>
            </w:tcBorders>
            <w:shd w:val="clear" w:color="auto" w:fill="auto"/>
            <w:vAlign w:val="center"/>
          </w:tcPr>
          <w:p w14:paraId="21F0B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67" w:type="dxa"/>
            <w:vMerge w:val="restart"/>
            <w:tcBorders>
              <w:top w:val="nil"/>
              <w:left w:val="nil"/>
              <w:bottom w:val="single" w:color="000000" w:sz="4" w:space="0"/>
              <w:right w:val="single" w:color="000000" w:sz="4" w:space="0"/>
            </w:tcBorders>
            <w:shd w:val="clear" w:color="auto" w:fill="auto"/>
            <w:vAlign w:val="center"/>
          </w:tcPr>
          <w:p w14:paraId="7D529C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50" w:type="dxa"/>
            <w:vMerge w:val="restart"/>
            <w:tcBorders>
              <w:top w:val="nil"/>
              <w:left w:val="nil"/>
              <w:bottom w:val="single" w:color="000000" w:sz="4" w:space="0"/>
              <w:right w:val="single" w:color="000000" w:sz="4" w:space="0"/>
            </w:tcBorders>
            <w:shd w:val="clear" w:color="auto" w:fill="auto"/>
            <w:vAlign w:val="center"/>
          </w:tcPr>
          <w:p w14:paraId="4FDDD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3D3A">
            <w:pPr>
              <w:jc w:val="center"/>
              <w:rPr>
                <w:rFonts w:hint="eastAsia" w:ascii="宋体" w:hAnsi="宋体" w:eastAsia="宋体" w:cs="宋体"/>
                <w:b/>
                <w:bCs/>
                <w:i w:val="0"/>
                <w:iCs w:val="0"/>
                <w:color w:val="000000"/>
                <w:sz w:val="22"/>
                <w:szCs w:val="22"/>
                <w:u w:val="none"/>
              </w:rPr>
            </w:pPr>
          </w:p>
        </w:tc>
      </w:tr>
      <w:tr w14:paraId="3222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35" w:type="dxa"/>
            <w:vMerge w:val="continue"/>
            <w:tcBorders>
              <w:top w:val="single" w:color="000000" w:sz="4" w:space="0"/>
              <w:left w:val="single" w:color="000000" w:sz="4" w:space="0"/>
              <w:bottom w:val="single" w:color="000000" w:sz="4" w:space="0"/>
              <w:right w:val="nil"/>
            </w:tcBorders>
            <w:shd w:val="clear" w:color="auto" w:fill="auto"/>
            <w:vAlign w:val="center"/>
          </w:tcPr>
          <w:p w14:paraId="5725F691">
            <w:pPr>
              <w:jc w:val="center"/>
              <w:rPr>
                <w:rFonts w:hint="eastAsia" w:ascii="宋体" w:hAnsi="宋体" w:eastAsia="宋体" w:cs="宋体"/>
                <w:b/>
                <w:bCs/>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182F">
            <w:pPr>
              <w:jc w:val="center"/>
              <w:rPr>
                <w:rFonts w:hint="eastAsia" w:ascii="宋体" w:hAnsi="宋体" w:eastAsia="宋体" w:cs="宋体"/>
                <w:b/>
                <w:bCs/>
                <w:i w:val="0"/>
                <w:iCs w:val="0"/>
                <w:color w:val="000000"/>
                <w:sz w:val="22"/>
                <w:szCs w:val="22"/>
                <w:u w:val="none"/>
              </w:rPr>
            </w:pPr>
          </w:p>
        </w:tc>
        <w:tc>
          <w:tcPr>
            <w:tcW w:w="881" w:type="dxa"/>
            <w:vMerge w:val="continue"/>
            <w:tcBorders>
              <w:top w:val="single" w:color="000000" w:sz="4" w:space="0"/>
              <w:left w:val="nil"/>
              <w:bottom w:val="single" w:color="000000" w:sz="4" w:space="0"/>
              <w:right w:val="single" w:color="000000" w:sz="4" w:space="0"/>
            </w:tcBorders>
            <w:shd w:val="clear" w:color="auto" w:fill="auto"/>
            <w:vAlign w:val="center"/>
          </w:tcPr>
          <w:p w14:paraId="227A3159">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8DAD">
            <w:pPr>
              <w:jc w:val="center"/>
              <w:rPr>
                <w:rFonts w:hint="eastAsia" w:ascii="宋体" w:hAnsi="宋体" w:eastAsia="宋体" w:cs="宋体"/>
                <w:b/>
                <w:bCs/>
                <w:i w:val="0"/>
                <w:iCs w:val="0"/>
                <w:color w:val="000000"/>
                <w:sz w:val="22"/>
                <w:szCs w:val="22"/>
                <w:u w:val="none"/>
              </w:rPr>
            </w:pPr>
          </w:p>
        </w:tc>
        <w:tc>
          <w:tcPr>
            <w:tcW w:w="683" w:type="dxa"/>
            <w:vMerge w:val="continue"/>
            <w:tcBorders>
              <w:top w:val="nil"/>
              <w:left w:val="nil"/>
              <w:bottom w:val="single" w:color="000000" w:sz="4" w:space="0"/>
              <w:right w:val="single" w:color="000000" w:sz="4" w:space="0"/>
            </w:tcBorders>
            <w:shd w:val="clear" w:color="auto" w:fill="auto"/>
            <w:vAlign w:val="center"/>
          </w:tcPr>
          <w:p w14:paraId="013294B3">
            <w:pPr>
              <w:jc w:val="center"/>
              <w:rPr>
                <w:rFonts w:hint="eastAsia" w:ascii="宋体" w:hAnsi="宋体" w:eastAsia="宋体" w:cs="宋体"/>
                <w:b/>
                <w:bCs/>
                <w:i w:val="0"/>
                <w:iCs w:val="0"/>
                <w:color w:val="000000"/>
                <w:sz w:val="22"/>
                <w:szCs w:val="22"/>
                <w:u w:val="none"/>
              </w:rPr>
            </w:pPr>
          </w:p>
        </w:tc>
        <w:tc>
          <w:tcPr>
            <w:tcW w:w="667" w:type="dxa"/>
            <w:vMerge w:val="continue"/>
            <w:tcBorders>
              <w:top w:val="nil"/>
              <w:left w:val="nil"/>
              <w:bottom w:val="single" w:color="000000" w:sz="4" w:space="0"/>
              <w:right w:val="single" w:color="000000" w:sz="4" w:space="0"/>
            </w:tcBorders>
            <w:shd w:val="clear" w:color="auto" w:fill="auto"/>
            <w:vAlign w:val="center"/>
          </w:tcPr>
          <w:p w14:paraId="399CAE15">
            <w:pPr>
              <w:jc w:val="center"/>
              <w:rPr>
                <w:rFonts w:hint="eastAsia" w:ascii="宋体" w:hAnsi="宋体" w:eastAsia="宋体" w:cs="宋体"/>
                <w:b/>
                <w:bCs/>
                <w:i w:val="0"/>
                <w:iCs w:val="0"/>
                <w:color w:val="000000"/>
                <w:sz w:val="22"/>
                <w:szCs w:val="22"/>
                <w:u w:val="none"/>
              </w:rPr>
            </w:pPr>
          </w:p>
        </w:tc>
        <w:tc>
          <w:tcPr>
            <w:tcW w:w="850" w:type="dxa"/>
            <w:vMerge w:val="continue"/>
            <w:tcBorders>
              <w:top w:val="nil"/>
              <w:left w:val="nil"/>
              <w:bottom w:val="single" w:color="000000" w:sz="4" w:space="0"/>
              <w:right w:val="single" w:color="000000" w:sz="4" w:space="0"/>
            </w:tcBorders>
            <w:shd w:val="clear" w:color="auto" w:fill="auto"/>
            <w:vAlign w:val="center"/>
          </w:tcPr>
          <w:p w14:paraId="56089773">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6AA7">
            <w:pPr>
              <w:jc w:val="center"/>
              <w:rPr>
                <w:rFonts w:hint="eastAsia" w:ascii="宋体" w:hAnsi="宋体" w:eastAsia="宋体" w:cs="宋体"/>
                <w:b/>
                <w:bCs/>
                <w:i w:val="0"/>
                <w:iCs w:val="0"/>
                <w:color w:val="000000"/>
                <w:sz w:val="22"/>
                <w:szCs w:val="22"/>
                <w:u w:val="none"/>
              </w:rPr>
            </w:pPr>
          </w:p>
        </w:tc>
      </w:tr>
      <w:tr w14:paraId="4867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635" w:type="dxa"/>
            <w:vMerge w:val="continue"/>
            <w:tcBorders>
              <w:top w:val="single" w:color="000000" w:sz="4" w:space="0"/>
              <w:left w:val="single" w:color="000000" w:sz="4" w:space="0"/>
              <w:bottom w:val="single" w:color="000000" w:sz="4" w:space="0"/>
              <w:right w:val="nil"/>
            </w:tcBorders>
            <w:shd w:val="clear" w:color="auto" w:fill="auto"/>
            <w:vAlign w:val="center"/>
          </w:tcPr>
          <w:p w14:paraId="6AAB99AC">
            <w:pPr>
              <w:jc w:val="center"/>
              <w:rPr>
                <w:rFonts w:hint="eastAsia" w:ascii="宋体" w:hAnsi="宋体" w:eastAsia="宋体" w:cs="宋体"/>
                <w:b/>
                <w:bCs/>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0FEB">
            <w:pPr>
              <w:jc w:val="center"/>
              <w:rPr>
                <w:rFonts w:hint="eastAsia" w:ascii="宋体" w:hAnsi="宋体" w:eastAsia="宋体" w:cs="宋体"/>
                <w:b/>
                <w:bCs/>
                <w:i w:val="0"/>
                <w:iCs w:val="0"/>
                <w:color w:val="000000"/>
                <w:sz w:val="22"/>
                <w:szCs w:val="22"/>
                <w:u w:val="none"/>
              </w:rPr>
            </w:pPr>
          </w:p>
        </w:tc>
        <w:tc>
          <w:tcPr>
            <w:tcW w:w="881" w:type="dxa"/>
            <w:vMerge w:val="continue"/>
            <w:tcBorders>
              <w:top w:val="single" w:color="000000" w:sz="4" w:space="0"/>
              <w:left w:val="nil"/>
              <w:bottom w:val="single" w:color="000000" w:sz="4" w:space="0"/>
              <w:right w:val="single" w:color="000000" w:sz="4" w:space="0"/>
            </w:tcBorders>
            <w:shd w:val="clear" w:color="auto" w:fill="auto"/>
            <w:vAlign w:val="center"/>
          </w:tcPr>
          <w:p w14:paraId="09A15C0A">
            <w:pPr>
              <w:jc w:val="center"/>
              <w:rPr>
                <w:rFonts w:hint="eastAsia" w:ascii="宋体" w:hAnsi="宋体" w:eastAsia="宋体" w:cs="宋体"/>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3F53">
            <w:pPr>
              <w:jc w:val="center"/>
              <w:rPr>
                <w:rFonts w:hint="eastAsia" w:ascii="宋体" w:hAnsi="宋体" w:eastAsia="宋体" w:cs="宋体"/>
                <w:b/>
                <w:bCs/>
                <w:i w:val="0"/>
                <w:iCs w:val="0"/>
                <w:color w:val="000000"/>
                <w:sz w:val="22"/>
                <w:szCs w:val="22"/>
                <w:u w:val="none"/>
              </w:rPr>
            </w:pPr>
          </w:p>
        </w:tc>
        <w:tc>
          <w:tcPr>
            <w:tcW w:w="683" w:type="dxa"/>
            <w:vMerge w:val="continue"/>
            <w:tcBorders>
              <w:top w:val="nil"/>
              <w:left w:val="nil"/>
              <w:bottom w:val="single" w:color="000000" w:sz="4" w:space="0"/>
              <w:right w:val="single" w:color="000000" w:sz="4" w:space="0"/>
            </w:tcBorders>
            <w:shd w:val="clear" w:color="auto" w:fill="auto"/>
            <w:vAlign w:val="center"/>
          </w:tcPr>
          <w:p w14:paraId="3CA19B52">
            <w:pPr>
              <w:jc w:val="center"/>
              <w:rPr>
                <w:rFonts w:hint="eastAsia" w:ascii="宋体" w:hAnsi="宋体" w:eastAsia="宋体" w:cs="宋体"/>
                <w:b/>
                <w:bCs/>
                <w:i w:val="0"/>
                <w:iCs w:val="0"/>
                <w:color w:val="000000"/>
                <w:sz w:val="22"/>
                <w:szCs w:val="22"/>
                <w:u w:val="none"/>
              </w:rPr>
            </w:pPr>
          </w:p>
        </w:tc>
        <w:tc>
          <w:tcPr>
            <w:tcW w:w="667" w:type="dxa"/>
            <w:vMerge w:val="continue"/>
            <w:tcBorders>
              <w:top w:val="nil"/>
              <w:left w:val="nil"/>
              <w:bottom w:val="single" w:color="000000" w:sz="4" w:space="0"/>
              <w:right w:val="single" w:color="000000" w:sz="4" w:space="0"/>
            </w:tcBorders>
            <w:shd w:val="clear" w:color="auto" w:fill="auto"/>
            <w:vAlign w:val="center"/>
          </w:tcPr>
          <w:p w14:paraId="35375BD6">
            <w:pPr>
              <w:jc w:val="center"/>
              <w:rPr>
                <w:rFonts w:hint="eastAsia" w:ascii="宋体" w:hAnsi="宋体" w:eastAsia="宋体" w:cs="宋体"/>
                <w:b/>
                <w:bCs/>
                <w:i w:val="0"/>
                <w:iCs w:val="0"/>
                <w:color w:val="000000"/>
                <w:sz w:val="22"/>
                <w:szCs w:val="22"/>
                <w:u w:val="none"/>
              </w:rPr>
            </w:pPr>
          </w:p>
        </w:tc>
        <w:tc>
          <w:tcPr>
            <w:tcW w:w="850" w:type="dxa"/>
            <w:vMerge w:val="continue"/>
            <w:tcBorders>
              <w:top w:val="nil"/>
              <w:left w:val="nil"/>
              <w:bottom w:val="single" w:color="000000" w:sz="4" w:space="0"/>
              <w:right w:val="single" w:color="000000" w:sz="4" w:space="0"/>
            </w:tcBorders>
            <w:shd w:val="clear" w:color="auto" w:fill="auto"/>
            <w:vAlign w:val="center"/>
          </w:tcPr>
          <w:p w14:paraId="4428F983">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D314">
            <w:pPr>
              <w:jc w:val="center"/>
              <w:rPr>
                <w:rFonts w:hint="eastAsia" w:ascii="宋体" w:hAnsi="宋体" w:eastAsia="宋体" w:cs="宋体"/>
                <w:b/>
                <w:bCs/>
                <w:i w:val="0"/>
                <w:iCs w:val="0"/>
                <w:color w:val="000000"/>
                <w:sz w:val="22"/>
                <w:szCs w:val="22"/>
                <w:u w:val="none"/>
              </w:rPr>
            </w:pPr>
          </w:p>
        </w:tc>
      </w:tr>
      <w:tr w14:paraId="1E1C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4" w:type="dxa"/>
            <w:gridSpan w:val="2"/>
            <w:tcBorders>
              <w:top w:val="nil"/>
              <w:left w:val="single" w:color="000000" w:sz="4" w:space="0"/>
              <w:bottom w:val="single" w:color="000000" w:sz="4" w:space="0"/>
              <w:right w:val="single" w:color="000000" w:sz="4" w:space="0"/>
            </w:tcBorders>
            <w:shd w:val="clear" w:color="auto" w:fill="auto"/>
            <w:vAlign w:val="center"/>
          </w:tcPr>
          <w:p w14:paraId="7CD52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81" w:type="dxa"/>
            <w:tcBorders>
              <w:top w:val="nil"/>
              <w:left w:val="nil"/>
              <w:bottom w:val="single" w:color="000000" w:sz="4" w:space="0"/>
              <w:right w:val="single" w:color="000000" w:sz="4" w:space="0"/>
            </w:tcBorders>
            <w:shd w:val="clear" w:color="auto" w:fill="auto"/>
            <w:noWrap/>
            <w:vAlign w:val="center"/>
          </w:tcPr>
          <w:p w14:paraId="3EDD6C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14:paraId="41E59A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vAlign w:val="center"/>
          </w:tcPr>
          <w:p w14:paraId="545130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7" w:type="dxa"/>
            <w:tcBorders>
              <w:top w:val="nil"/>
              <w:left w:val="nil"/>
              <w:bottom w:val="single" w:color="000000" w:sz="4" w:space="0"/>
              <w:right w:val="single" w:color="000000" w:sz="4" w:space="0"/>
            </w:tcBorders>
            <w:shd w:val="clear" w:color="auto" w:fill="auto"/>
            <w:noWrap/>
            <w:vAlign w:val="center"/>
          </w:tcPr>
          <w:p w14:paraId="1C1587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50" w:type="dxa"/>
            <w:tcBorders>
              <w:top w:val="nil"/>
              <w:left w:val="nil"/>
              <w:bottom w:val="single" w:color="000000" w:sz="4" w:space="0"/>
              <w:right w:val="single" w:color="000000" w:sz="4" w:space="0"/>
            </w:tcBorders>
            <w:shd w:val="clear" w:color="auto" w:fill="auto"/>
            <w:noWrap/>
            <w:vAlign w:val="center"/>
          </w:tcPr>
          <w:p w14:paraId="6F28F4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14:paraId="2E00B7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7CA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5" w:type="dxa"/>
            <w:tcBorders>
              <w:top w:val="nil"/>
              <w:left w:val="single" w:color="000000" w:sz="4" w:space="0"/>
              <w:bottom w:val="single" w:color="000000" w:sz="4" w:space="0"/>
              <w:right w:val="single" w:color="000000" w:sz="4" w:space="0"/>
            </w:tcBorders>
            <w:shd w:val="clear" w:color="auto" w:fill="auto"/>
            <w:noWrap/>
            <w:vAlign w:val="center"/>
          </w:tcPr>
          <w:p w14:paraId="38FA4CCE">
            <w:pPr>
              <w:jc w:val="left"/>
              <w:rPr>
                <w:rFonts w:hint="eastAsia" w:ascii="宋体" w:hAnsi="宋体" w:eastAsia="宋体" w:cs="宋体"/>
                <w:b/>
                <w:bCs/>
                <w:i w:val="0"/>
                <w:iCs w:val="0"/>
                <w:color w:val="000000"/>
                <w:sz w:val="22"/>
                <w:szCs w:val="22"/>
                <w:u w:val="none"/>
              </w:rPr>
            </w:pPr>
          </w:p>
        </w:tc>
        <w:tc>
          <w:tcPr>
            <w:tcW w:w="1269" w:type="dxa"/>
            <w:tcBorders>
              <w:top w:val="nil"/>
              <w:left w:val="single" w:color="000000" w:sz="4" w:space="0"/>
              <w:bottom w:val="single" w:color="000000" w:sz="4" w:space="0"/>
              <w:right w:val="single" w:color="000000" w:sz="4" w:space="0"/>
            </w:tcBorders>
            <w:shd w:val="clear" w:color="auto" w:fill="auto"/>
            <w:noWrap/>
            <w:vAlign w:val="center"/>
          </w:tcPr>
          <w:p w14:paraId="3BC61EEA">
            <w:pPr>
              <w:jc w:val="left"/>
              <w:rPr>
                <w:rFonts w:hint="eastAsia" w:ascii="宋体" w:hAnsi="宋体" w:eastAsia="宋体" w:cs="宋体"/>
                <w:b/>
                <w:bCs/>
                <w:i w:val="0"/>
                <w:iCs w:val="0"/>
                <w:color w:val="000000"/>
                <w:sz w:val="22"/>
                <w:szCs w:val="22"/>
                <w:u w:val="none"/>
              </w:rPr>
            </w:pPr>
          </w:p>
        </w:tc>
        <w:tc>
          <w:tcPr>
            <w:tcW w:w="881" w:type="dxa"/>
            <w:tcBorders>
              <w:top w:val="nil"/>
              <w:left w:val="single" w:color="000000" w:sz="4" w:space="0"/>
              <w:bottom w:val="single" w:color="000000" w:sz="4" w:space="0"/>
              <w:right w:val="single" w:color="000000" w:sz="4" w:space="0"/>
            </w:tcBorders>
            <w:shd w:val="clear" w:color="auto" w:fill="auto"/>
            <w:noWrap/>
            <w:vAlign w:val="center"/>
          </w:tcPr>
          <w:p w14:paraId="0376C2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single" w:color="000000" w:sz="4" w:space="0"/>
              <w:bottom w:val="single" w:color="000000" w:sz="4" w:space="0"/>
              <w:right w:val="single" w:color="000000" w:sz="4" w:space="0"/>
            </w:tcBorders>
            <w:shd w:val="clear" w:color="auto" w:fill="auto"/>
            <w:noWrap/>
            <w:vAlign w:val="center"/>
          </w:tcPr>
          <w:p w14:paraId="42A390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3" w:type="dxa"/>
            <w:tcBorders>
              <w:top w:val="nil"/>
              <w:left w:val="single" w:color="000000" w:sz="4" w:space="0"/>
              <w:bottom w:val="single" w:color="000000" w:sz="4" w:space="0"/>
              <w:right w:val="single" w:color="000000" w:sz="4" w:space="0"/>
            </w:tcBorders>
            <w:shd w:val="clear" w:color="auto" w:fill="auto"/>
            <w:noWrap/>
            <w:vAlign w:val="center"/>
          </w:tcPr>
          <w:p w14:paraId="66D204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7" w:type="dxa"/>
            <w:tcBorders>
              <w:top w:val="nil"/>
              <w:left w:val="single" w:color="000000" w:sz="4" w:space="0"/>
              <w:bottom w:val="single" w:color="000000" w:sz="4" w:space="0"/>
              <w:right w:val="single" w:color="000000" w:sz="4" w:space="0"/>
            </w:tcBorders>
            <w:shd w:val="clear" w:color="auto" w:fill="auto"/>
            <w:noWrap/>
            <w:vAlign w:val="center"/>
          </w:tcPr>
          <w:p w14:paraId="657D0C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50" w:type="dxa"/>
            <w:tcBorders>
              <w:top w:val="nil"/>
              <w:left w:val="single" w:color="000000" w:sz="4" w:space="0"/>
              <w:bottom w:val="single" w:color="000000" w:sz="4" w:space="0"/>
              <w:right w:val="single" w:color="000000" w:sz="4" w:space="0"/>
            </w:tcBorders>
            <w:shd w:val="clear" w:color="auto" w:fill="auto"/>
            <w:noWrap/>
            <w:vAlign w:val="center"/>
          </w:tcPr>
          <w:p w14:paraId="327501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50" w:type="dxa"/>
            <w:tcBorders>
              <w:top w:val="nil"/>
              <w:left w:val="single" w:color="000000" w:sz="4" w:space="0"/>
              <w:bottom w:val="single" w:color="000000" w:sz="4" w:space="0"/>
              <w:right w:val="single" w:color="000000" w:sz="4" w:space="0"/>
            </w:tcBorders>
            <w:shd w:val="clear" w:color="auto" w:fill="auto"/>
            <w:noWrap/>
            <w:vAlign w:val="center"/>
          </w:tcPr>
          <w:p w14:paraId="45D2EB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F7E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85" w:type="dxa"/>
            <w:gridSpan w:val="8"/>
            <w:tcBorders>
              <w:top w:val="nil"/>
              <w:left w:val="nil"/>
              <w:bottom w:val="nil"/>
              <w:right w:val="nil"/>
            </w:tcBorders>
            <w:shd w:val="clear" w:color="auto" w:fill="auto"/>
            <w:vAlign w:val="center"/>
          </w:tcPr>
          <w:p w14:paraId="4D30D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20A3D91C">
      <w:pPr>
        <w:tabs>
          <w:tab w:val="left" w:pos="620"/>
        </w:tabs>
        <w:bidi w:val="0"/>
        <w:jc w:val="left"/>
        <w:rPr>
          <w:rFonts w:hint="eastAsia"/>
          <w:lang w:val="en-US" w:eastAsia="zh-CN"/>
        </w:rPr>
      </w:pPr>
    </w:p>
    <w:p w14:paraId="09EA871D">
      <w:pPr>
        <w:tabs>
          <w:tab w:val="left" w:pos="620"/>
        </w:tabs>
        <w:bidi w:val="0"/>
        <w:jc w:val="left"/>
        <w:rPr>
          <w:rFonts w:hint="eastAsia"/>
          <w:lang w:val="en-US" w:eastAsia="zh-CN"/>
        </w:rPr>
      </w:pPr>
    </w:p>
    <w:p w14:paraId="645E0C34">
      <w:pPr>
        <w:tabs>
          <w:tab w:val="left" w:pos="620"/>
        </w:tabs>
        <w:bidi w:val="0"/>
        <w:jc w:val="left"/>
        <w:rPr>
          <w:rFonts w:hint="eastAsia"/>
          <w:lang w:val="en-US" w:eastAsia="zh-CN"/>
        </w:rPr>
      </w:pPr>
    </w:p>
    <w:p w14:paraId="2A3A1F49">
      <w:pPr>
        <w:tabs>
          <w:tab w:val="left" w:pos="620"/>
        </w:tabs>
        <w:bidi w:val="0"/>
        <w:jc w:val="left"/>
        <w:rPr>
          <w:rFonts w:hint="eastAsia"/>
          <w:lang w:val="en-US" w:eastAsia="zh-CN"/>
        </w:rPr>
      </w:pPr>
      <w:r>
        <w:rPr>
          <w:rFonts w:hint="eastAsia"/>
          <w:lang w:val="en-US" w:eastAsia="zh-CN"/>
        </w:rPr>
        <w:t>附件8</w:t>
      </w:r>
    </w:p>
    <w:tbl>
      <w:tblPr>
        <w:tblStyle w:val="3"/>
        <w:tblW w:w="8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6"/>
        <w:gridCol w:w="839"/>
        <w:gridCol w:w="1367"/>
        <w:gridCol w:w="1883"/>
        <w:gridCol w:w="1783"/>
      </w:tblGrid>
      <w:tr w14:paraId="3881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968" w:type="dxa"/>
            <w:gridSpan w:val="5"/>
            <w:tcBorders>
              <w:top w:val="nil"/>
              <w:left w:val="nil"/>
              <w:bottom w:val="nil"/>
              <w:right w:val="nil"/>
            </w:tcBorders>
            <w:shd w:val="clear" w:color="auto" w:fill="auto"/>
            <w:noWrap/>
            <w:vAlign w:val="bottom"/>
          </w:tcPr>
          <w:p w14:paraId="141008D6">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p w14:paraId="68459EC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p w14:paraId="1EC59C3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单位：重庆市九龙坡公证处</w:t>
            </w:r>
          </w:p>
          <w:p w14:paraId="75111AA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B97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7C15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0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01FB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0567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6" w:type="dxa"/>
            <w:vMerge w:val="restart"/>
            <w:tcBorders>
              <w:top w:val="nil"/>
              <w:left w:val="single" w:color="000000" w:sz="4" w:space="0"/>
              <w:bottom w:val="single" w:color="000000" w:sz="4" w:space="0"/>
              <w:right w:val="single" w:color="000000" w:sz="4" w:space="0"/>
            </w:tcBorders>
            <w:shd w:val="clear" w:color="auto" w:fill="auto"/>
            <w:vAlign w:val="center"/>
          </w:tcPr>
          <w:p w14:paraId="1849FF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839" w:type="dxa"/>
            <w:vMerge w:val="restart"/>
            <w:tcBorders>
              <w:top w:val="nil"/>
              <w:left w:val="nil"/>
              <w:bottom w:val="single" w:color="000000" w:sz="4" w:space="0"/>
              <w:right w:val="single" w:color="000000" w:sz="4" w:space="0"/>
            </w:tcBorders>
            <w:shd w:val="clear" w:color="auto" w:fill="auto"/>
            <w:vAlign w:val="center"/>
          </w:tcPr>
          <w:p w14:paraId="7CB80B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367" w:type="dxa"/>
            <w:vMerge w:val="restart"/>
            <w:tcBorders>
              <w:top w:val="nil"/>
              <w:left w:val="single" w:color="000000" w:sz="4" w:space="0"/>
              <w:bottom w:val="single" w:color="000000" w:sz="4" w:space="0"/>
              <w:right w:val="single" w:color="000000" w:sz="4" w:space="0"/>
            </w:tcBorders>
            <w:shd w:val="clear" w:color="auto" w:fill="auto"/>
            <w:vAlign w:val="center"/>
          </w:tcPr>
          <w:p w14:paraId="1D046A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83" w:type="dxa"/>
            <w:vMerge w:val="restart"/>
            <w:tcBorders>
              <w:top w:val="nil"/>
              <w:left w:val="nil"/>
              <w:bottom w:val="single" w:color="000000" w:sz="4" w:space="0"/>
              <w:right w:val="single" w:color="000000" w:sz="4" w:space="0"/>
            </w:tcBorders>
            <w:shd w:val="clear" w:color="auto" w:fill="auto"/>
            <w:vAlign w:val="center"/>
          </w:tcPr>
          <w:p w14:paraId="53156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83" w:type="dxa"/>
            <w:vMerge w:val="restart"/>
            <w:tcBorders>
              <w:top w:val="nil"/>
              <w:left w:val="nil"/>
              <w:bottom w:val="single" w:color="000000" w:sz="4" w:space="0"/>
              <w:right w:val="single" w:color="000000" w:sz="4" w:space="0"/>
            </w:tcBorders>
            <w:shd w:val="clear" w:color="auto" w:fill="auto"/>
            <w:vAlign w:val="center"/>
          </w:tcPr>
          <w:p w14:paraId="21EBB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72C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6" w:type="dxa"/>
            <w:vMerge w:val="continue"/>
            <w:tcBorders>
              <w:top w:val="nil"/>
              <w:left w:val="single" w:color="000000" w:sz="4" w:space="0"/>
              <w:bottom w:val="single" w:color="000000" w:sz="4" w:space="0"/>
              <w:right w:val="single" w:color="000000" w:sz="4" w:space="0"/>
            </w:tcBorders>
            <w:shd w:val="clear" w:color="auto" w:fill="auto"/>
            <w:vAlign w:val="center"/>
          </w:tcPr>
          <w:p w14:paraId="2A58C4D7">
            <w:pPr>
              <w:jc w:val="center"/>
              <w:rPr>
                <w:rFonts w:hint="eastAsia" w:ascii="宋体" w:hAnsi="宋体" w:eastAsia="宋体" w:cs="宋体"/>
                <w:b/>
                <w:bCs/>
                <w:i w:val="0"/>
                <w:iCs w:val="0"/>
                <w:color w:val="000000"/>
                <w:sz w:val="22"/>
                <w:szCs w:val="22"/>
                <w:u w:val="none"/>
              </w:rPr>
            </w:pPr>
          </w:p>
        </w:tc>
        <w:tc>
          <w:tcPr>
            <w:tcW w:w="839" w:type="dxa"/>
            <w:vMerge w:val="continue"/>
            <w:tcBorders>
              <w:top w:val="nil"/>
              <w:left w:val="nil"/>
              <w:bottom w:val="single" w:color="000000" w:sz="4" w:space="0"/>
              <w:right w:val="single" w:color="000000" w:sz="4" w:space="0"/>
            </w:tcBorders>
            <w:shd w:val="clear" w:color="auto" w:fill="auto"/>
            <w:vAlign w:val="center"/>
          </w:tcPr>
          <w:p w14:paraId="36B1FBB1">
            <w:pPr>
              <w:jc w:val="center"/>
              <w:rPr>
                <w:rFonts w:hint="eastAsia" w:ascii="宋体" w:hAnsi="宋体" w:eastAsia="宋体" w:cs="宋体"/>
                <w:b/>
                <w:bCs/>
                <w:i w:val="0"/>
                <w:iCs w:val="0"/>
                <w:color w:val="000000"/>
                <w:sz w:val="22"/>
                <w:szCs w:val="22"/>
                <w:u w:val="none"/>
              </w:rPr>
            </w:pPr>
          </w:p>
        </w:tc>
        <w:tc>
          <w:tcPr>
            <w:tcW w:w="1367" w:type="dxa"/>
            <w:vMerge w:val="continue"/>
            <w:tcBorders>
              <w:top w:val="nil"/>
              <w:left w:val="single" w:color="000000" w:sz="4" w:space="0"/>
              <w:bottom w:val="single" w:color="000000" w:sz="4" w:space="0"/>
              <w:right w:val="single" w:color="000000" w:sz="4" w:space="0"/>
            </w:tcBorders>
            <w:shd w:val="clear" w:color="auto" w:fill="auto"/>
            <w:vAlign w:val="center"/>
          </w:tcPr>
          <w:p w14:paraId="3C23EBCE">
            <w:pPr>
              <w:jc w:val="center"/>
              <w:rPr>
                <w:rFonts w:hint="eastAsia" w:ascii="宋体" w:hAnsi="宋体" w:eastAsia="宋体" w:cs="宋体"/>
                <w:b/>
                <w:bCs/>
                <w:i w:val="0"/>
                <w:iCs w:val="0"/>
                <w:color w:val="000000"/>
                <w:sz w:val="22"/>
                <w:szCs w:val="22"/>
                <w:u w:val="none"/>
              </w:rPr>
            </w:pPr>
          </w:p>
        </w:tc>
        <w:tc>
          <w:tcPr>
            <w:tcW w:w="1883" w:type="dxa"/>
            <w:vMerge w:val="continue"/>
            <w:tcBorders>
              <w:top w:val="nil"/>
              <w:left w:val="nil"/>
              <w:bottom w:val="single" w:color="000000" w:sz="4" w:space="0"/>
              <w:right w:val="single" w:color="000000" w:sz="4" w:space="0"/>
            </w:tcBorders>
            <w:shd w:val="clear" w:color="auto" w:fill="auto"/>
            <w:vAlign w:val="center"/>
          </w:tcPr>
          <w:p w14:paraId="26857EDF">
            <w:pPr>
              <w:jc w:val="center"/>
              <w:rPr>
                <w:rFonts w:hint="eastAsia" w:ascii="宋体" w:hAnsi="宋体" w:eastAsia="宋体" w:cs="宋体"/>
                <w:b/>
                <w:bCs/>
                <w:i w:val="0"/>
                <w:iCs w:val="0"/>
                <w:color w:val="000000"/>
                <w:sz w:val="22"/>
                <w:szCs w:val="22"/>
                <w:u w:val="none"/>
              </w:rPr>
            </w:pPr>
          </w:p>
        </w:tc>
        <w:tc>
          <w:tcPr>
            <w:tcW w:w="1783" w:type="dxa"/>
            <w:vMerge w:val="continue"/>
            <w:tcBorders>
              <w:top w:val="nil"/>
              <w:left w:val="nil"/>
              <w:bottom w:val="single" w:color="000000" w:sz="4" w:space="0"/>
              <w:right w:val="single" w:color="000000" w:sz="4" w:space="0"/>
            </w:tcBorders>
            <w:shd w:val="clear" w:color="auto" w:fill="auto"/>
            <w:vAlign w:val="center"/>
          </w:tcPr>
          <w:p w14:paraId="0F39FE0C">
            <w:pPr>
              <w:jc w:val="center"/>
              <w:rPr>
                <w:rFonts w:hint="eastAsia" w:ascii="宋体" w:hAnsi="宋体" w:eastAsia="宋体" w:cs="宋体"/>
                <w:b/>
                <w:bCs/>
                <w:i w:val="0"/>
                <w:iCs w:val="0"/>
                <w:color w:val="000000"/>
                <w:sz w:val="22"/>
                <w:szCs w:val="22"/>
                <w:u w:val="none"/>
              </w:rPr>
            </w:pPr>
          </w:p>
        </w:tc>
      </w:tr>
      <w:tr w14:paraId="61A1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6" w:type="dxa"/>
            <w:vMerge w:val="continue"/>
            <w:tcBorders>
              <w:top w:val="nil"/>
              <w:left w:val="single" w:color="000000" w:sz="4" w:space="0"/>
              <w:bottom w:val="single" w:color="000000" w:sz="4" w:space="0"/>
              <w:right w:val="single" w:color="000000" w:sz="4" w:space="0"/>
            </w:tcBorders>
            <w:shd w:val="clear" w:color="auto" w:fill="auto"/>
            <w:vAlign w:val="center"/>
          </w:tcPr>
          <w:p w14:paraId="70B00131">
            <w:pPr>
              <w:jc w:val="center"/>
              <w:rPr>
                <w:rFonts w:hint="eastAsia" w:ascii="宋体" w:hAnsi="宋体" w:eastAsia="宋体" w:cs="宋体"/>
                <w:b/>
                <w:bCs/>
                <w:i w:val="0"/>
                <w:iCs w:val="0"/>
                <w:color w:val="000000"/>
                <w:sz w:val="22"/>
                <w:szCs w:val="22"/>
                <w:u w:val="none"/>
              </w:rPr>
            </w:pPr>
          </w:p>
        </w:tc>
        <w:tc>
          <w:tcPr>
            <w:tcW w:w="839" w:type="dxa"/>
            <w:vMerge w:val="continue"/>
            <w:tcBorders>
              <w:top w:val="nil"/>
              <w:left w:val="nil"/>
              <w:bottom w:val="single" w:color="000000" w:sz="4" w:space="0"/>
              <w:right w:val="single" w:color="000000" w:sz="4" w:space="0"/>
            </w:tcBorders>
            <w:shd w:val="clear" w:color="auto" w:fill="auto"/>
            <w:vAlign w:val="center"/>
          </w:tcPr>
          <w:p w14:paraId="253C661D">
            <w:pPr>
              <w:jc w:val="center"/>
              <w:rPr>
                <w:rFonts w:hint="eastAsia" w:ascii="宋体" w:hAnsi="宋体" w:eastAsia="宋体" w:cs="宋体"/>
                <w:b/>
                <w:bCs/>
                <w:i w:val="0"/>
                <w:iCs w:val="0"/>
                <w:color w:val="000000"/>
                <w:sz w:val="22"/>
                <w:szCs w:val="22"/>
                <w:u w:val="none"/>
              </w:rPr>
            </w:pPr>
          </w:p>
        </w:tc>
        <w:tc>
          <w:tcPr>
            <w:tcW w:w="1367" w:type="dxa"/>
            <w:vMerge w:val="continue"/>
            <w:tcBorders>
              <w:top w:val="nil"/>
              <w:left w:val="single" w:color="000000" w:sz="4" w:space="0"/>
              <w:bottom w:val="single" w:color="000000" w:sz="4" w:space="0"/>
              <w:right w:val="single" w:color="000000" w:sz="4" w:space="0"/>
            </w:tcBorders>
            <w:shd w:val="clear" w:color="auto" w:fill="auto"/>
            <w:vAlign w:val="center"/>
          </w:tcPr>
          <w:p w14:paraId="65E838E7">
            <w:pPr>
              <w:jc w:val="center"/>
              <w:rPr>
                <w:rFonts w:hint="eastAsia" w:ascii="宋体" w:hAnsi="宋体" w:eastAsia="宋体" w:cs="宋体"/>
                <w:b/>
                <w:bCs/>
                <w:i w:val="0"/>
                <w:iCs w:val="0"/>
                <w:color w:val="000000"/>
                <w:sz w:val="22"/>
                <w:szCs w:val="22"/>
                <w:u w:val="none"/>
              </w:rPr>
            </w:pPr>
          </w:p>
        </w:tc>
        <w:tc>
          <w:tcPr>
            <w:tcW w:w="1883" w:type="dxa"/>
            <w:vMerge w:val="continue"/>
            <w:tcBorders>
              <w:top w:val="nil"/>
              <w:left w:val="nil"/>
              <w:bottom w:val="single" w:color="000000" w:sz="4" w:space="0"/>
              <w:right w:val="single" w:color="000000" w:sz="4" w:space="0"/>
            </w:tcBorders>
            <w:shd w:val="clear" w:color="auto" w:fill="auto"/>
            <w:vAlign w:val="center"/>
          </w:tcPr>
          <w:p w14:paraId="677FE96C">
            <w:pPr>
              <w:jc w:val="center"/>
              <w:rPr>
                <w:rFonts w:hint="eastAsia" w:ascii="宋体" w:hAnsi="宋体" w:eastAsia="宋体" w:cs="宋体"/>
                <w:b/>
                <w:bCs/>
                <w:i w:val="0"/>
                <w:iCs w:val="0"/>
                <w:color w:val="000000"/>
                <w:sz w:val="22"/>
                <w:szCs w:val="22"/>
                <w:u w:val="none"/>
              </w:rPr>
            </w:pPr>
          </w:p>
        </w:tc>
        <w:tc>
          <w:tcPr>
            <w:tcW w:w="1783" w:type="dxa"/>
            <w:vMerge w:val="continue"/>
            <w:tcBorders>
              <w:top w:val="nil"/>
              <w:left w:val="nil"/>
              <w:bottom w:val="single" w:color="000000" w:sz="4" w:space="0"/>
              <w:right w:val="single" w:color="000000" w:sz="4" w:space="0"/>
            </w:tcBorders>
            <w:shd w:val="clear" w:color="auto" w:fill="auto"/>
            <w:vAlign w:val="center"/>
          </w:tcPr>
          <w:p w14:paraId="2F119B54">
            <w:pPr>
              <w:jc w:val="center"/>
              <w:rPr>
                <w:rFonts w:hint="eastAsia" w:ascii="宋体" w:hAnsi="宋体" w:eastAsia="宋体" w:cs="宋体"/>
                <w:b/>
                <w:bCs/>
                <w:i w:val="0"/>
                <w:iCs w:val="0"/>
                <w:color w:val="000000"/>
                <w:sz w:val="22"/>
                <w:szCs w:val="22"/>
                <w:u w:val="none"/>
              </w:rPr>
            </w:pPr>
          </w:p>
        </w:tc>
      </w:tr>
      <w:tr w14:paraId="0205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96" w:type="dxa"/>
            <w:vMerge w:val="continue"/>
            <w:tcBorders>
              <w:top w:val="nil"/>
              <w:left w:val="single" w:color="000000" w:sz="4" w:space="0"/>
              <w:bottom w:val="single" w:color="000000" w:sz="4" w:space="0"/>
              <w:right w:val="single" w:color="000000" w:sz="4" w:space="0"/>
            </w:tcBorders>
            <w:shd w:val="clear" w:color="auto" w:fill="auto"/>
            <w:vAlign w:val="center"/>
          </w:tcPr>
          <w:p w14:paraId="32BC4065">
            <w:pPr>
              <w:jc w:val="center"/>
              <w:rPr>
                <w:rFonts w:hint="eastAsia" w:ascii="宋体" w:hAnsi="宋体" w:eastAsia="宋体" w:cs="宋体"/>
                <w:b/>
                <w:bCs/>
                <w:i w:val="0"/>
                <w:iCs w:val="0"/>
                <w:color w:val="000000"/>
                <w:sz w:val="22"/>
                <w:szCs w:val="22"/>
                <w:u w:val="none"/>
              </w:rPr>
            </w:pPr>
          </w:p>
        </w:tc>
        <w:tc>
          <w:tcPr>
            <w:tcW w:w="839" w:type="dxa"/>
            <w:vMerge w:val="continue"/>
            <w:tcBorders>
              <w:top w:val="nil"/>
              <w:left w:val="nil"/>
              <w:bottom w:val="single" w:color="000000" w:sz="4" w:space="0"/>
              <w:right w:val="single" w:color="000000" w:sz="4" w:space="0"/>
            </w:tcBorders>
            <w:shd w:val="clear" w:color="auto" w:fill="auto"/>
            <w:vAlign w:val="center"/>
          </w:tcPr>
          <w:p w14:paraId="538D986A">
            <w:pPr>
              <w:jc w:val="center"/>
              <w:rPr>
                <w:rFonts w:hint="eastAsia" w:ascii="宋体" w:hAnsi="宋体" w:eastAsia="宋体" w:cs="宋体"/>
                <w:b/>
                <w:bCs/>
                <w:i w:val="0"/>
                <w:iCs w:val="0"/>
                <w:color w:val="000000"/>
                <w:sz w:val="22"/>
                <w:szCs w:val="22"/>
                <w:u w:val="none"/>
              </w:rPr>
            </w:pPr>
          </w:p>
        </w:tc>
        <w:tc>
          <w:tcPr>
            <w:tcW w:w="1367" w:type="dxa"/>
            <w:vMerge w:val="continue"/>
            <w:tcBorders>
              <w:top w:val="nil"/>
              <w:left w:val="single" w:color="000000" w:sz="4" w:space="0"/>
              <w:bottom w:val="single" w:color="000000" w:sz="4" w:space="0"/>
              <w:right w:val="single" w:color="000000" w:sz="4" w:space="0"/>
            </w:tcBorders>
            <w:shd w:val="clear" w:color="auto" w:fill="auto"/>
            <w:vAlign w:val="center"/>
          </w:tcPr>
          <w:p w14:paraId="79EBAFDC">
            <w:pPr>
              <w:jc w:val="center"/>
              <w:rPr>
                <w:rFonts w:hint="eastAsia" w:ascii="宋体" w:hAnsi="宋体" w:eastAsia="宋体" w:cs="宋体"/>
                <w:b/>
                <w:bCs/>
                <w:i w:val="0"/>
                <w:iCs w:val="0"/>
                <w:color w:val="000000"/>
                <w:sz w:val="22"/>
                <w:szCs w:val="22"/>
                <w:u w:val="none"/>
              </w:rPr>
            </w:pPr>
          </w:p>
        </w:tc>
        <w:tc>
          <w:tcPr>
            <w:tcW w:w="1883" w:type="dxa"/>
            <w:vMerge w:val="continue"/>
            <w:tcBorders>
              <w:top w:val="nil"/>
              <w:left w:val="nil"/>
              <w:bottom w:val="single" w:color="000000" w:sz="4" w:space="0"/>
              <w:right w:val="single" w:color="000000" w:sz="4" w:space="0"/>
            </w:tcBorders>
            <w:shd w:val="clear" w:color="auto" w:fill="auto"/>
            <w:vAlign w:val="center"/>
          </w:tcPr>
          <w:p w14:paraId="539545EF">
            <w:pPr>
              <w:jc w:val="center"/>
              <w:rPr>
                <w:rFonts w:hint="eastAsia" w:ascii="宋体" w:hAnsi="宋体" w:eastAsia="宋体" w:cs="宋体"/>
                <w:b/>
                <w:bCs/>
                <w:i w:val="0"/>
                <w:iCs w:val="0"/>
                <w:color w:val="000000"/>
                <w:sz w:val="22"/>
                <w:szCs w:val="22"/>
                <w:u w:val="none"/>
              </w:rPr>
            </w:pPr>
          </w:p>
        </w:tc>
        <w:tc>
          <w:tcPr>
            <w:tcW w:w="1783" w:type="dxa"/>
            <w:vMerge w:val="continue"/>
            <w:tcBorders>
              <w:top w:val="nil"/>
              <w:left w:val="nil"/>
              <w:bottom w:val="single" w:color="000000" w:sz="4" w:space="0"/>
              <w:right w:val="single" w:color="000000" w:sz="4" w:space="0"/>
            </w:tcBorders>
            <w:shd w:val="clear" w:color="auto" w:fill="auto"/>
            <w:vAlign w:val="center"/>
          </w:tcPr>
          <w:p w14:paraId="59344076">
            <w:pPr>
              <w:jc w:val="center"/>
              <w:rPr>
                <w:rFonts w:hint="eastAsia" w:ascii="宋体" w:hAnsi="宋体" w:eastAsia="宋体" w:cs="宋体"/>
                <w:b/>
                <w:bCs/>
                <w:i w:val="0"/>
                <w:iCs w:val="0"/>
                <w:color w:val="000000"/>
                <w:sz w:val="22"/>
                <w:szCs w:val="22"/>
                <w:u w:val="none"/>
              </w:rPr>
            </w:pPr>
          </w:p>
        </w:tc>
      </w:tr>
      <w:tr w14:paraId="7AE0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71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67" w:type="dxa"/>
            <w:tcBorders>
              <w:top w:val="nil"/>
              <w:left w:val="nil"/>
              <w:bottom w:val="single" w:color="000000" w:sz="4" w:space="0"/>
              <w:right w:val="single" w:color="000000" w:sz="4" w:space="0"/>
            </w:tcBorders>
            <w:shd w:val="clear" w:color="auto" w:fill="auto"/>
            <w:noWrap/>
            <w:vAlign w:val="center"/>
          </w:tcPr>
          <w:p w14:paraId="3EA8AC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83" w:type="dxa"/>
            <w:tcBorders>
              <w:top w:val="nil"/>
              <w:left w:val="nil"/>
              <w:bottom w:val="single" w:color="000000" w:sz="4" w:space="0"/>
              <w:right w:val="single" w:color="000000" w:sz="4" w:space="0"/>
            </w:tcBorders>
            <w:shd w:val="clear" w:color="auto" w:fill="auto"/>
            <w:noWrap/>
            <w:vAlign w:val="center"/>
          </w:tcPr>
          <w:p w14:paraId="7640D76A">
            <w:pPr>
              <w:jc w:val="right"/>
              <w:rPr>
                <w:rFonts w:hint="eastAsia" w:ascii="宋体" w:hAnsi="宋体" w:eastAsia="宋体" w:cs="宋体"/>
                <w:b/>
                <w:bCs/>
                <w:i w:val="0"/>
                <w:iCs w:val="0"/>
                <w:color w:val="000000"/>
                <w:sz w:val="22"/>
                <w:szCs w:val="22"/>
                <w:u w:val="none"/>
              </w:rPr>
            </w:pPr>
          </w:p>
        </w:tc>
        <w:tc>
          <w:tcPr>
            <w:tcW w:w="1783" w:type="dxa"/>
            <w:tcBorders>
              <w:top w:val="nil"/>
              <w:left w:val="nil"/>
              <w:bottom w:val="single" w:color="000000" w:sz="4" w:space="0"/>
              <w:right w:val="single" w:color="000000" w:sz="4" w:space="0"/>
            </w:tcBorders>
            <w:shd w:val="clear" w:color="auto" w:fill="auto"/>
            <w:noWrap/>
            <w:vAlign w:val="center"/>
          </w:tcPr>
          <w:p w14:paraId="05F4EF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A13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6" w:type="dxa"/>
            <w:tcBorders>
              <w:top w:val="nil"/>
              <w:left w:val="single" w:color="000000" w:sz="4" w:space="0"/>
              <w:bottom w:val="single" w:color="000000" w:sz="4" w:space="0"/>
              <w:right w:val="single" w:color="000000" w:sz="4" w:space="0"/>
            </w:tcBorders>
            <w:shd w:val="clear" w:color="auto" w:fill="auto"/>
            <w:noWrap/>
            <w:vAlign w:val="center"/>
          </w:tcPr>
          <w:p w14:paraId="6E1762C2">
            <w:pPr>
              <w:jc w:val="left"/>
              <w:rPr>
                <w:rFonts w:hint="eastAsia" w:ascii="宋体" w:hAnsi="宋体" w:eastAsia="宋体" w:cs="宋体"/>
                <w:b/>
                <w:bCs/>
                <w:i w:val="0"/>
                <w:iCs w:val="0"/>
                <w:color w:val="000000"/>
                <w:sz w:val="22"/>
                <w:szCs w:val="22"/>
                <w:u w:val="none"/>
              </w:rPr>
            </w:pPr>
          </w:p>
        </w:tc>
        <w:tc>
          <w:tcPr>
            <w:tcW w:w="839" w:type="dxa"/>
            <w:tcBorders>
              <w:top w:val="nil"/>
              <w:left w:val="single" w:color="000000" w:sz="4" w:space="0"/>
              <w:bottom w:val="single" w:color="000000" w:sz="4" w:space="0"/>
              <w:right w:val="single" w:color="000000" w:sz="4" w:space="0"/>
            </w:tcBorders>
            <w:shd w:val="clear" w:color="auto" w:fill="auto"/>
            <w:noWrap/>
            <w:vAlign w:val="center"/>
          </w:tcPr>
          <w:p w14:paraId="4B32FB90">
            <w:pPr>
              <w:jc w:val="left"/>
              <w:rPr>
                <w:rFonts w:hint="eastAsia" w:ascii="宋体" w:hAnsi="宋体" w:eastAsia="宋体" w:cs="宋体"/>
                <w:b/>
                <w:bCs/>
                <w:i w:val="0"/>
                <w:iCs w:val="0"/>
                <w:color w:val="000000"/>
                <w:sz w:val="22"/>
                <w:szCs w:val="22"/>
                <w:u w:val="none"/>
              </w:rPr>
            </w:pPr>
          </w:p>
        </w:tc>
        <w:tc>
          <w:tcPr>
            <w:tcW w:w="1367" w:type="dxa"/>
            <w:tcBorders>
              <w:top w:val="nil"/>
              <w:left w:val="single" w:color="000000" w:sz="4" w:space="0"/>
              <w:bottom w:val="single" w:color="000000" w:sz="4" w:space="0"/>
              <w:right w:val="single" w:color="000000" w:sz="4" w:space="0"/>
            </w:tcBorders>
            <w:shd w:val="clear" w:color="auto" w:fill="auto"/>
            <w:noWrap/>
            <w:vAlign w:val="center"/>
          </w:tcPr>
          <w:p w14:paraId="757376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83" w:type="dxa"/>
            <w:tcBorders>
              <w:top w:val="nil"/>
              <w:left w:val="nil"/>
              <w:bottom w:val="single" w:color="000000" w:sz="4" w:space="0"/>
              <w:right w:val="single" w:color="000000" w:sz="4" w:space="0"/>
            </w:tcBorders>
            <w:shd w:val="clear" w:color="auto" w:fill="auto"/>
            <w:noWrap/>
            <w:vAlign w:val="center"/>
          </w:tcPr>
          <w:p w14:paraId="04CCA517">
            <w:pPr>
              <w:jc w:val="right"/>
              <w:rPr>
                <w:rFonts w:hint="eastAsia" w:ascii="宋体" w:hAnsi="宋体" w:eastAsia="宋体" w:cs="宋体"/>
                <w:b/>
                <w:bCs/>
                <w:i w:val="0"/>
                <w:iCs w:val="0"/>
                <w:color w:val="000000"/>
                <w:sz w:val="22"/>
                <w:szCs w:val="22"/>
                <w:u w:val="none"/>
              </w:rPr>
            </w:pP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03CDF8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C48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68" w:type="dxa"/>
            <w:gridSpan w:val="5"/>
            <w:tcBorders>
              <w:top w:val="nil"/>
              <w:left w:val="nil"/>
              <w:bottom w:val="nil"/>
              <w:right w:val="nil"/>
            </w:tcBorders>
            <w:shd w:val="clear" w:color="auto" w:fill="auto"/>
            <w:vAlign w:val="center"/>
          </w:tcPr>
          <w:p w14:paraId="37421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130DCCEC">
      <w:pPr>
        <w:tabs>
          <w:tab w:val="left" w:pos="620"/>
        </w:tabs>
        <w:bidi w:val="0"/>
        <w:jc w:val="left"/>
        <w:rPr>
          <w:rFonts w:hint="default"/>
          <w:lang w:val="en-US" w:eastAsia="zh-CN"/>
        </w:rPr>
      </w:pPr>
    </w:p>
    <w:p w14:paraId="2DDC6E33">
      <w:pPr>
        <w:tabs>
          <w:tab w:val="left" w:pos="620"/>
        </w:tabs>
        <w:bidi w:val="0"/>
        <w:jc w:val="left"/>
        <w:rPr>
          <w:rFonts w:hint="eastAsia"/>
          <w:lang w:val="en-US" w:eastAsia="zh-CN"/>
        </w:rPr>
      </w:pPr>
      <w:r>
        <w:rPr>
          <w:rFonts w:hint="eastAsia"/>
          <w:lang w:val="en-US" w:eastAsia="zh-CN"/>
        </w:rPr>
        <w:t>附件9</w:t>
      </w:r>
    </w:p>
    <w:tbl>
      <w:tblPr>
        <w:tblStyle w:val="3"/>
        <w:tblW w:w="90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8"/>
        <w:gridCol w:w="927"/>
        <w:gridCol w:w="883"/>
        <w:gridCol w:w="2840"/>
        <w:gridCol w:w="1344"/>
      </w:tblGrid>
      <w:tr w14:paraId="7678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9052" w:type="dxa"/>
            <w:gridSpan w:val="5"/>
            <w:tcBorders>
              <w:top w:val="nil"/>
              <w:left w:val="nil"/>
              <w:bottom w:val="nil"/>
              <w:right w:val="nil"/>
            </w:tcBorders>
            <w:shd w:val="clear" w:color="auto" w:fill="auto"/>
            <w:noWrap/>
            <w:vAlign w:val="bottom"/>
          </w:tcPr>
          <w:p w14:paraId="057AF624">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机构运行信息表</w:t>
            </w:r>
          </w:p>
          <w:p w14:paraId="795E3EE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p w14:paraId="753CC3AF">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单位：重庆市九龙坡公证处</w:t>
            </w:r>
          </w:p>
          <w:p w14:paraId="24DCD20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745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1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8E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8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715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6C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A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5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E8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64E2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AA0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16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A115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96DB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A0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18C1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FF8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1A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192C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DA39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B0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5F5A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BDB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A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7B5B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DCD5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2B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D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0A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76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B6D8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562D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CC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7C85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E70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D5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4E24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044F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1F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28E8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67BA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1B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16A0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5DD4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4D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78D9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395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7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F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B278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E9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21C0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58A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7A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D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6F14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72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8F5A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955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11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6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CC83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3B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DDF0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D68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B1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C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41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6D59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2B3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9D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E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FE9F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28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CA53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BD4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9D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AA6D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9F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CF60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7AD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D6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8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563B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6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801F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A67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07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664B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82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0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D33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A2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2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288C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94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D466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3CD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3A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A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E485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F3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E584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14D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B9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3B29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7D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F23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E24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CA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D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CC7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04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9D65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5054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ACC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4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1274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9E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2487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BD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52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E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922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DD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612D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486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B0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F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999D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4A42">
            <w:pPr>
              <w:jc w:val="lef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822F2">
            <w:pPr>
              <w:jc w:val="right"/>
              <w:rPr>
                <w:rFonts w:hint="default" w:ascii="Arial" w:hAnsi="Arial" w:eastAsia="宋体" w:cs="Arial"/>
                <w:i w:val="0"/>
                <w:iCs w:val="0"/>
                <w:color w:val="000000"/>
                <w:sz w:val="20"/>
                <w:szCs w:val="20"/>
                <w:u w:val="none"/>
              </w:rPr>
            </w:pPr>
          </w:p>
        </w:tc>
      </w:tr>
      <w:tr w14:paraId="224A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C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9E28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5F76">
            <w:pPr>
              <w:jc w:val="lef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14136">
            <w:pPr>
              <w:jc w:val="right"/>
              <w:rPr>
                <w:rFonts w:hint="default" w:ascii="Arial" w:hAnsi="Arial" w:eastAsia="宋体" w:cs="Arial"/>
                <w:i w:val="0"/>
                <w:iCs w:val="0"/>
                <w:color w:val="000000"/>
                <w:sz w:val="20"/>
                <w:szCs w:val="20"/>
                <w:u w:val="none"/>
              </w:rPr>
            </w:pPr>
          </w:p>
        </w:tc>
      </w:tr>
      <w:tr w14:paraId="05EE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65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F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A32D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2261">
            <w:pPr>
              <w:jc w:val="left"/>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9F0C7">
            <w:pPr>
              <w:jc w:val="right"/>
              <w:rPr>
                <w:rFonts w:hint="default" w:ascii="Arial" w:hAnsi="Arial" w:eastAsia="宋体" w:cs="Arial"/>
                <w:i w:val="0"/>
                <w:iCs w:val="0"/>
                <w:color w:val="000000"/>
                <w:sz w:val="20"/>
                <w:szCs w:val="20"/>
                <w:u w:val="none"/>
              </w:rPr>
            </w:pPr>
          </w:p>
        </w:tc>
      </w:tr>
      <w:tr w14:paraId="49F8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052" w:type="dxa"/>
            <w:gridSpan w:val="5"/>
            <w:tcBorders>
              <w:top w:val="nil"/>
              <w:left w:val="nil"/>
              <w:bottom w:val="nil"/>
              <w:right w:val="nil"/>
            </w:tcBorders>
            <w:shd w:val="clear" w:color="auto" w:fill="auto"/>
            <w:vAlign w:val="center"/>
          </w:tcPr>
          <w:p w14:paraId="36C31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备注：本表反映部门本年度财政拨款“三公”经费支出预决算情况。本部门无相关数据，故本表为空。</w:t>
            </w:r>
          </w:p>
        </w:tc>
      </w:tr>
    </w:tbl>
    <w:p w14:paraId="3CC7CCF8">
      <w:pPr>
        <w:tabs>
          <w:tab w:val="left" w:pos="620"/>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6BA61"/>
    <w:multiLevelType w:val="singleLevel"/>
    <w:tmpl w:val="8366BA61"/>
    <w:lvl w:ilvl="0" w:tentative="0">
      <w:start w:val="5"/>
      <w:numFmt w:val="chineseCounting"/>
      <w:suff w:val="nothing"/>
      <w:lvlText w:val="%1、"/>
      <w:lvlJc w:val="left"/>
      <w:rPr>
        <w:rFonts w:hint="eastAsia"/>
      </w:rPr>
    </w:lvl>
  </w:abstractNum>
  <w:abstractNum w:abstractNumId="1">
    <w:nsid w:val="7C7B2442"/>
    <w:multiLevelType w:val="singleLevel"/>
    <w:tmpl w:val="7C7B244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22824"/>
    <w:rsid w:val="012A6F31"/>
    <w:rsid w:val="0187488A"/>
    <w:rsid w:val="02201D8C"/>
    <w:rsid w:val="02315D47"/>
    <w:rsid w:val="02317AF5"/>
    <w:rsid w:val="03345AEF"/>
    <w:rsid w:val="04116597"/>
    <w:rsid w:val="04394E31"/>
    <w:rsid w:val="06392765"/>
    <w:rsid w:val="0A081A83"/>
    <w:rsid w:val="0A3463D4"/>
    <w:rsid w:val="0B93537C"/>
    <w:rsid w:val="0C180B87"/>
    <w:rsid w:val="0CBD33D0"/>
    <w:rsid w:val="0D2E74EE"/>
    <w:rsid w:val="10023D78"/>
    <w:rsid w:val="10BB784F"/>
    <w:rsid w:val="10E16B8A"/>
    <w:rsid w:val="12BA7692"/>
    <w:rsid w:val="13D76715"/>
    <w:rsid w:val="15822824"/>
    <w:rsid w:val="19D2287C"/>
    <w:rsid w:val="1A0A7151"/>
    <w:rsid w:val="1B9A285C"/>
    <w:rsid w:val="1C56042C"/>
    <w:rsid w:val="1E015170"/>
    <w:rsid w:val="1E2A7DC2"/>
    <w:rsid w:val="1EA9518B"/>
    <w:rsid w:val="1EE6396C"/>
    <w:rsid w:val="21203C5B"/>
    <w:rsid w:val="22347461"/>
    <w:rsid w:val="2303032F"/>
    <w:rsid w:val="23D974BB"/>
    <w:rsid w:val="25AC3E5D"/>
    <w:rsid w:val="28F90ABD"/>
    <w:rsid w:val="29C84B9D"/>
    <w:rsid w:val="2A257EAA"/>
    <w:rsid w:val="2BB1567F"/>
    <w:rsid w:val="2E3D0BEE"/>
    <w:rsid w:val="2F4A2072"/>
    <w:rsid w:val="2F8F3F29"/>
    <w:rsid w:val="2F923A19"/>
    <w:rsid w:val="2FC00586"/>
    <w:rsid w:val="30B874AF"/>
    <w:rsid w:val="31264D64"/>
    <w:rsid w:val="34A35D81"/>
    <w:rsid w:val="35244DAB"/>
    <w:rsid w:val="355C665B"/>
    <w:rsid w:val="35E13004"/>
    <w:rsid w:val="38404012"/>
    <w:rsid w:val="396B34A1"/>
    <w:rsid w:val="3A806F4A"/>
    <w:rsid w:val="3A9C58F4"/>
    <w:rsid w:val="3D424389"/>
    <w:rsid w:val="401C35B7"/>
    <w:rsid w:val="402C1320"/>
    <w:rsid w:val="40B42554"/>
    <w:rsid w:val="42324E73"/>
    <w:rsid w:val="446C43E1"/>
    <w:rsid w:val="47A804A2"/>
    <w:rsid w:val="49331971"/>
    <w:rsid w:val="4A7162AD"/>
    <w:rsid w:val="4E0F3B92"/>
    <w:rsid w:val="4F4E3BC1"/>
    <w:rsid w:val="50C35389"/>
    <w:rsid w:val="51037E7B"/>
    <w:rsid w:val="52C06024"/>
    <w:rsid w:val="53FF795D"/>
    <w:rsid w:val="543071D9"/>
    <w:rsid w:val="56782492"/>
    <w:rsid w:val="57CB5143"/>
    <w:rsid w:val="592761E0"/>
    <w:rsid w:val="59D16D68"/>
    <w:rsid w:val="5A7A11AE"/>
    <w:rsid w:val="5C1B251D"/>
    <w:rsid w:val="5CCF7CFF"/>
    <w:rsid w:val="5EEB2B94"/>
    <w:rsid w:val="603E67DA"/>
    <w:rsid w:val="67B83316"/>
    <w:rsid w:val="687B6ABA"/>
    <w:rsid w:val="6B2140B1"/>
    <w:rsid w:val="6B2C67AF"/>
    <w:rsid w:val="6C9D2ADA"/>
    <w:rsid w:val="6CF812CB"/>
    <w:rsid w:val="6DDD7793"/>
    <w:rsid w:val="6E292877"/>
    <w:rsid w:val="6EB1755F"/>
    <w:rsid w:val="6FC62348"/>
    <w:rsid w:val="70E92792"/>
    <w:rsid w:val="71D76A8E"/>
    <w:rsid w:val="7271224F"/>
    <w:rsid w:val="762322A2"/>
    <w:rsid w:val="763444AF"/>
    <w:rsid w:val="767B7AF5"/>
    <w:rsid w:val="7B310FBD"/>
    <w:rsid w:val="7C07564D"/>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3848</Words>
  <Characters>4251</Characters>
  <Lines>0</Lines>
  <Paragraphs>0</Paragraphs>
  <TotalTime>3</TotalTime>
  <ScaleCrop>false</ScaleCrop>
  <LinksUpToDate>false</LinksUpToDate>
  <CharactersWithSpaces>4269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2025-10-21T02:53:00Z</dcterms:created>
  <dc:creator>WPS_1697511278</dc:creator>
  <cp:lastModifiedBy>WPS_1697511278</cp:lastModifiedBy>
  <dcterms:modified xsi:type="dcterms:W3CDTF">2025-10-23T07:55:16Z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87AA59264E9F4D398354269039759544_11</vt:lpwstr>
  </property>
  <property fmtid="{D5CDD505-2E9C-101B-9397-08002B2CF9AE}" pid="4" name="KSOTemplateDocerSaveRecord">
    <vt:lpwstr>eyJoZGlkIjoiMzQ5ZTg5MmQ5MDZmY2QwNWE2MmZhMzRhYTQ3ZGU2MDMiLCJ1c2VySWQiOiIxNTUwNjIwMDU3In0=</vt:lpwstr>
  </property>
</Properties>
</file>