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6A1AB">
      <w:pPr>
        <w:widowControl w:val="0"/>
        <w:adjustRightInd w:val="0"/>
        <w:snapToGrid w:val="0"/>
        <w:spacing w:line="600" w:lineRule="exact"/>
        <w:jc w:val="center"/>
        <w:rPr>
          <w:rFonts w:hint="default" w:ascii="Times New Roman" w:hAnsi="Times New Roman" w:eastAsia="方正小标宋_GBK"/>
          <w:kern w:val="2"/>
          <w:sz w:val="44"/>
          <w:szCs w:val="54"/>
        </w:rPr>
      </w:pPr>
      <w:r>
        <w:rPr>
          <w:rFonts w:ascii="Times New Roman" w:hAnsi="Times New Roman" w:eastAsia="方正小标宋_GBK"/>
          <w:kern w:val="2"/>
          <w:sz w:val="44"/>
          <w:szCs w:val="54"/>
        </w:rPr>
        <w:t>重庆市九龙坡区石桥铺实验幼儿园</w:t>
      </w:r>
    </w:p>
    <w:p w14:paraId="2AA96C6A">
      <w:pPr>
        <w:widowControl w:val="0"/>
        <w:adjustRightInd w:val="0"/>
        <w:snapToGrid w:val="0"/>
        <w:spacing w:line="600" w:lineRule="exact"/>
        <w:ind w:firstLine="1760" w:firstLineChars="400"/>
        <w:jc w:val="both"/>
        <w:rPr>
          <w:rFonts w:hint="default" w:ascii="Times New Roman" w:hAnsi="Times New Roman" w:eastAsia="方正小标宋_GBK"/>
          <w:kern w:val="2"/>
          <w:sz w:val="20"/>
          <w:szCs w:val="20"/>
        </w:rPr>
      </w:pPr>
      <w:r>
        <w:rPr>
          <w:rFonts w:ascii="Times New Roman" w:hAnsi="Times New Roman" w:eastAsia="方正小标宋_GBK"/>
          <w:kern w:val="2"/>
          <w:sz w:val="44"/>
          <w:szCs w:val="54"/>
        </w:rPr>
        <w:t>202</w:t>
      </w:r>
      <w:r>
        <w:rPr>
          <w:rFonts w:hint="default" w:ascii="Times New Roman" w:hAnsi="Times New Roman" w:eastAsia="方正小标宋_GBK"/>
          <w:kern w:val="2"/>
          <w:sz w:val="44"/>
          <w:szCs w:val="54"/>
        </w:rPr>
        <w:t>4</w:t>
      </w:r>
      <w:r>
        <w:rPr>
          <w:rFonts w:ascii="Times New Roman" w:hAnsi="Times New Roman" w:eastAsia="方正小标宋_GBK"/>
          <w:kern w:val="2"/>
          <w:sz w:val="44"/>
          <w:szCs w:val="54"/>
        </w:rPr>
        <w:t>年度</w:t>
      </w:r>
      <w:r>
        <w:rPr>
          <w:rFonts w:hint="eastAsia" w:ascii="Times New Roman" w:hAnsi="Times New Roman" w:eastAsia="方正小标宋_GBK"/>
          <w:kern w:val="2"/>
          <w:sz w:val="44"/>
          <w:szCs w:val="54"/>
          <w:lang w:val="en-US" w:eastAsia="zh-CN"/>
        </w:rPr>
        <w:t>单位</w:t>
      </w:r>
      <w:r>
        <w:rPr>
          <w:rFonts w:ascii="Times New Roman" w:hAnsi="Times New Roman" w:eastAsia="方正小标宋_GBK"/>
          <w:kern w:val="2"/>
          <w:sz w:val="44"/>
          <w:szCs w:val="54"/>
        </w:rPr>
        <w:t>决算情况说明</w:t>
      </w:r>
    </w:p>
    <w:p w14:paraId="387D59DF">
      <w:pPr>
        <w:widowControl w:val="0"/>
        <w:spacing w:line="600" w:lineRule="exact"/>
        <w:ind w:firstLine="640" w:firstLineChars="200"/>
        <w:jc w:val="both"/>
        <w:rPr>
          <w:rFonts w:ascii="Times New Roman" w:hAnsi="Times New Roman" w:eastAsia="方正黑体_GBK" w:cs="宋体"/>
          <w:bCs/>
          <w:sz w:val="32"/>
          <w:szCs w:val="20"/>
        </w:rPr>
      </w:pPr>
    </w:p>
    <w:p w14:paraId="313C966C">
      <w:pPr>
        <w:widowControl w:val="0"/>
        <w:spacing w:line="600" w:lineRule="exact"/>
        <w:ind w:firstLine="640" w:firstLineChars="200"/>
        <w:jc w:val="both"/>
        <w:rPr>
          <w:rFonts w:hint="default" w:ascii="Times New Roman" w:hAnsi="Times New Roman" w:eastAsia="方正黑体_GBK" w:cs="宋体"/>
          <w:b/>
          <w:sz w:val="32"/>
          <w:szCs w:val="32"/>
        </w:rPr>
      </w:pPr>
      <w:r>
        <w:rPr>
          <w:rFonts w:ascii="Times New Roman" w:hAnsi="Times New Roman" w:eastAsia="方正黑体_GBK" w:cs="宋体"/>
          <w:bCs/>
          <w:sz w:val="32"/>
          <w:szCs w:val="20"/>
        </w:rPr>
        <w:t>一、单位基本情况</w:t>
      </w:r>
    </w:p>
    <w:p w14:paraId="20EB980B">
      <w:pPr>
        <w:widowControl w:val="0"/>
        <w:adjustRightInd w:val="0"/>
        <w:snapToGrid w:val="0"/>
        <w:spacing w:line="600" w:lineRule="exact"/>
        <w:ind w:left="1120" w:leftChars="200" w:hanging="640" w:hanging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（一）职能职责</w:t>
      </w:r>
    </w:p>
    <w:p w14:paraId="6B1A60FC">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开展保育教育服务；开展基本卫生保健服务；维护园区安全；提供后勤保障服务。</w:t>
      </w:r>
    </w:p>
    <w:p w14:paraId="27B9418D">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（二）机构设置</w:t>
      </w:r>
    </w:p>
    <w:p w14:paraId="35AA6114">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本单位是财政全额拨款的事业单位。2024年末，我园有8个教学班，幼儿人数265人、教职工34人。内设有行政办公室、保教办公室、卫生保健办公室、后勤办公室、财务室等机构。</w:t>
      </w:r>
    </w:p>
    <w:p w14:paraId="47EDA049">
      <w:pPr>
        <w:widowControl w:val="0"/>
        <w:spacing w:line="600" w:lineRule="exact"/>
        <w:ind w:firstLine="640" w:firstLineChars="200"/>
        <w:jc w:val="both"/>
        <w:rPr>
          <w:rFonts w:hint="default" w:ascii="Times New Roman" w:hAnsi="Times New Roman" w:eastAsia="方正黑体_GBK" w:cs="宋体"/>
          <w:b/>
          <w:sz w:val="32"/>
          <w:szCs w:val="32"/>
        </w:rPr>
      </w:pPr>
      <w:r>
        <w:rPr>
          <w:rFonts w:ascii="Times New Roman" w:hAnsi="Times New Roman" w:eastAsia="方正黑体_GBK" w:cs="宋体"/>
          <w:bCs/>
          <w:sz w:val="32"/>
          <w:szCs w:val="20"/>
        </w:rPr>
        <w:t>二、部门决算情况说明</w:t>
      </w:r>
    </w:p>
    <w:p w14:paraId="6A0E3A5A">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（一）收入支出决算总体情况说明</w:t>
      </w:r>
    </w:p>
    <w:p w14:paraId="746F9F3B">
      <w:pPr>
        <w:widowControl w:val="0"/>
        <w:spacing w:line="600" w:lineRule="exact"/>
        <w:ind w:firstLine="630" w:firstLineChars="196"/>
        <w:jc w:val="both"/>
        <w:rPr>
          <w:rFonts w:hint="default" w:ascii="Times New Roman" w:hAnsi="Times New Roman" w:eastAsia="方正仿宋_GBK" w:cs="宋体"/>
          <w:sz w:val="32"/>
          <w:szCs w:val="32"/>
        </w:rPr>
      </w:pPr>
      <w:r>
        <w:rPr>
          <w:rFonts w:ascii="Times New Roman" w:hAnsi="Times New Roman" w:eastAsia="方正仿宋_GBK" w:cs="宋体"/>
          <w:b/>
          <w:bCs/>
          <w:sz w:val="32"/>
          <w:szCs w:val="20"/>
        </w:rPr>
        <w:t>1.总体情况</w:t>
      </w:r>
      <w:r>
        <w:rPr>
          <w:rFonts w:ascii="Times New Roman" w:hAnsi="Times New Roman" w:eastAsia="方正仿宋_GBK" w:cs="宋体"/>
          <w:sz w:val="32"/>
          <w:szCs w:val="32"/>
        </w:rPr>
        <w:t>。2024年度收入总计292.49万元，支出总计292.49万元。收、支与2023年度相比，增加64.53万元，增长28.3%，主要原因是</w:t>
      </w:r>
      <w:r>
        <w:rPr>
          <w:rFonts w:hint="eastAsia" w:ascii="Times New Roman" w:hAnsi="Times New Roman" w:eastAsia="方正仿宋_GBK" w:cs="宋体"/>
          <w:sz w:val="32"/>
          <w:szCs w:val="32"/>
          <w:lang w:val="en-US" w:eastAsia="zh-CN"/>
        </w:rPr>
        <w:t>师生人数增加，人员及公用经费增加</w:t>
      </w:r>
      <w:r>
        <w:rPr>
          <w:rFonts w:ascii="Times New Roman" w:hAnsi="Times New Roman" w:eastAsia="方正仿宋_GBK" w:cs="宋体"/>
          <w:sz w:val="32"/>
          <w:szCs w:val="32"/>
        </w:rPr>
        <w:t>。</w:t>
      </w:r>
    </w:p>
    <w:p w14:paraId="6E8D71FD">
      <w:pPr>
        <w:widowControl w:val="0"/>
        <w:spacing w:line="600" w:lineRule="exact"/>
        <w:ind w:firstLine="630" w:firstLineChars="196"/>
        <w:jc w:val="both"/>
        <w:rPr>
          <w:rFonts w:hint="eastAsia" w:ascii="Times New Roman" w:hAnsi="Times New Roman" w:eastAsia="方正仿宋_GBK" w:cs="宋体"/>
          <w:sz w:val="32"/>
          <w:szCs w:val="32"/>
          <w:lang w:eastAsia="zh-CN"/>
        </w:rPr>
      </w:pPr>
      <w:r>
        <w:rPr>
          <w:rFonts w:ascii="Times New Roman" w:hAnsi="Times New Roman" w:eastAsia="方正仿宋_GBK" w:cs="宋体"/>
          <w:b/>
          <w:bCs/>
          <w:sz w:val="32"/>
          <w:szCs w:val="20"/>
        </w:rPr>
        <w:t>2.收入情况。</w:t>
      </w:r>
      <w:r>
        <w:rPr>
          <w:rFonts w:ascii="Times New Roman" w:hAnsi="Times New Roman" w:eastAsia="方正仿宋_GBK" w:cs="宋体"/>
          <w:sz w:val="32"/>
          <w:szCs w:val="32"/>
        </w:rPr>
        <w:t>2024年度收入合计292.49万元，与2023年度相比，增加64.53万元，增长28.3%，主要原因是</w:t>
      </w:r>
      <w:r>
        <w:rPr>
          <w:rFonts w:hint="eastAsia" w:ascii="Times New Roman" w:hAnsi="Times New Roman" w:eastAsia="方正仿宋_GBK" w:cs="宋体"/>
          <w:sz w:val="32"/>
          <w:szCs w:val="32"/>
          <w:lang w:val="en-US" w:eastAsia="zh-CN"/>
        </w:rPr>
        <w:t>师生人数增加，人员及公用经费增加</w:t>
      </w:r>
      <w:r>
        <w:rPr>
          <w:rFonts w:ascii="Times New Roman" w:hAnsi="Times New Roman" w:eastAsia="方正仿宋_GBK" w:cs="宋体"/>
          <w:sz w:val="32"/>
          <w:szCs w:val="32"/>
        </w:rPr>
        <w:t>。其中：财政拨款收入165.49万元，占56.58%；事业收入127.00万元，占43.42%</w:t>
      </w:r>
      <w:r>
        <w:rPr>
          <w:rFonts w:hint="eastAsia" w:ascii="Times New Roman" w:hAnsi="Times New Roman" w:eastAsia="方正仿宋_GBK" w:cs="宋体"/>
          <w:sz w:val="32"/>
          <w:szCs w:val="32"/>
          <w:lang w:eastAsia="zh-CN"/>
        </w:rPr>
        <w:t>。</w:t>
      </w:r>
    </w:p>
    <w:p w14:paraId="510FFD5D">
      <w:pPr>
        <w:widowControl w:val="0"/>
        <w:spacing w:line="600" w:lineRule="exact"/>
        <w:ind w:firstLine="630" w:firstLineChars="196"/>
        <w:jc w:val="both"/>
        <w:rPr>
          <w:rFonts w:hint="default" w:ascii="Times New Roman" w:hAnsi="Times New Roman" w:eastAsia="方正仿宋_GBK" w:cs="宋体"/>
          <w:sz w:val="32"/>
          <w:szCs w:val="32"/>
        </w:rPr>
      </w:pPr>
      <w:r>
        <w:rPr>
          <w:rFonts w:ascii="Times New Roman" w:hAnsi="Times New Roman" w:eastAsia="方正仿宋_GBK" w:cs="宋体"/>
          <w:b/>
          <w:bCs/>
          <w:sz w:val="32"/>
          <w:szCs w:val="20"/>
        </w:rPr>
        <w:t>3.支出情况。</w:t>
      </w:r>
      <w:r>
        <w:rPr>
          <w:rFonts w:ascii="Times New Roman" w:hAnsi="Times New Roman" w:eastAsia="方正仿宋_GBK" w:cs="宋体"/>
          <w:sz w:val="32"/>
          <w:szCs w:val="32"/>
        </w:rPr>
        <w:t>2024年度支出合计292.49万元，与2023年度相比，增加64.53万元，增长28.3%，主要原因是</w:t>
      </w:r>
      <w:r>
        <w:rPr>
          <w:rFonts w:hint="eastAsia" w:ascii="Times New Roman" w:hAnsi="Times New Roman" w:eastAsia="方正仿宋_GBK" w:cs="宋体"/>
          <w:sz w:val="32"/>
          <w:szCs w:val="32"/>
          <w:lang w:val="en-US" w:eastAsia="zh-CN"/>
        </w:rPr>
        <w:t>师生人数增加，人员及公用经费增加。</w:t>
      </w:r>
      <w:r>
        <w:rPr>
          <w:rFonts w:ascii="Times New Roman" w:hAnsi="Times New Roman" w:eastAsia="方正仿宋_GBK" w:cs="宋体"/>
          <w:sz w:val="32"/>
          <w:szCs w:val="32"/>
        </w:rPr>
        <w:t>其中：基本支出34.40万元，占11.76%；项目支出258.09万元，占88.24%。</w:t>
      </w:r>
    </w:p>
    <w:p w14:paraId="247368D1">
      <w:pPr>
        <w:widowControl w:val="0"/>
        <w:spacing w:line="600" w:lineRule="exact"/>
        <w:ind w:firstLine="630" w:firstLineChars="196"/>
        <w:jc w:val="both"/>
        <w:rPr>
          <w:rFonts w:hint="default" w:ascii="Times New Roman" w:hAnsi="Times New Roman" w:eastAsia="方正仿宋_GBK" w:cs="宋体"/>
          <w:sz w:val="32"/>
          <w:szCs w:val="32"/>
        </w:rPr>
      </w:pPr>
      <w:r>
        <w:rPr>
          <w:rFonts w:ascii="Times New Roman" w:hAnsi="Times New Roman" w:eastAsia="方正仿宋_GBK" w:cs="宋体"/>
          <w:b/>
          <w:bCs/>
          <w:sz w:val="32"/>
          <w:szCs w:val="20"/>
        </w:rPr>
        <w:t>4.结转结余情况。</w:t>
      </w:r>
      <w:r>
        <w:rPr>
          <w:rFonts w:ascii="Times New Roman" w:hAnsi="Times New Roman" w:eastAsia="方正仿宋_GBK" w:cs="宋体"/>
          <w:sz w:val="32"/>
          <w:szCs w:val="32"/>
        </w:rPr>
        <w:t>2024年度年末结转和结余0.00万元，与2023年度相比，无增减，主要原因是</w:t>
      </w:r>
      <w:r>
        <w:rPr>
          <w:rFonts w:hint="eastAsia" w:ascii="Times New Roman" w:hAnsi="Times New Roman" w:eastAsia="方正仿宋_GBK" w:cs="宋体"/>
          <w:sz w:val="32"/>
          <w:szCs w:val="32"/>
          <w:lang w:val="en-US" w:eastAsia="zh-CN"/>
        </w:rPr>
        <w:t>收支平衡，无结转结余</w:t>
      </w:r>
      <w:r>
        <w:rPr>
          <w:rFonts w:ascii="Times New Roman" w:hAnsi="Times New Roman" w:eastAsia="方正仿宋_GBK" w:cs="宋体"/>
          <w:sz w:val="32"/>
          <w:szCs w:val="32"/>
        </w:rPr>
        <w:t>。</w:t>
      </w:r>
    </w:p>
    <w:p w14:paraId="5D244C77">
      <w:pPr>
        <w:widowControl w:val="0"/>
        <w:spacing w:line="600" w:lineRule="exact"/>
        <w:ind w:firstLine="627" w:firstLineChars="196"/>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（二）财政拨款收入支出决算总体情况说明</w:t>
      </w:r>
    </w:p>
    <w:p w14:paraId="3BFC77F4">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2024年度财政拨款收、支总计165.49万元。与2023年相比，财政拨款收、支总计各减少21.97万元，下降11.7%。主要原因是2023年</w:t>
      </w:r>
      <w:r>
        <w:rPr>
          <w:rFonts w:hint="eastAsia" w:ascii="Times New Roman" w:hAnsi="Times New Roman" w:eastAsia="方正仿宋_GBK" w:cs="宋体"/>
          <w:sz w:val="32"/>
          <w:szCs w:val="32"/>
          <w:lang w:val="en-US" w:eastAsia="zh-CN"/>
        </w:rPr>
        <w:t>因</w:t>
      </w:r>
      <w:r>
        <w:rPr>
          <w:rFonts w:ascii="Times New Roman" w:hAnsi="Times New Roman" w:eastAsia="方正仿宋_GBK" w:cs="宋体"/>
          <w:sz w:val="32"/>
          <w:szCs w:val="32"/>
        </w:rPr>
        <w:t>新建幼儿园</w:t>
      </w:r>
      <w:r>
        <w:rPr>
          <w:rFonts w:hint="eastAsia" w:ascii="Times New Roman" w:hAnsi="Times New Roman" w:eastAsia="方正仿宋_GBK" w:cs="宋体"/>
          <w:sz w:val="32"/>
          <w:szCs w:val="32"/>
          <w:lang w:val="en-US" w:eastAsia="zh-CN"/>
        </w:rPr>
        <w:t>购置</w:t>
      </w:r>
      <w:r>
        <w:rPr>
          <w:rFonts w:ascii="Times New Roman" w:hAnsi="Times New Roman" w:eastAsia="方正仿宋_GBK" w:cs="宋体"/>
          <w:sz w:val="32"/>
          <w:szCs w:val="32"/>
        </w:rPr>
        <w:t>设施设备，2024年无此项目拨款。</w:t>
      </w:r>
    </w:p>
    <w:p w14:paraId="7A005168">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（三）一般公共预算财政拨款支出决算情况说明</w:t>
      </w:r>
    </w:p>
    <w:p w14:paraId="570D1055">
      <w:pPr>
        <w:widowControl w:val="0"/>
        <w:spacing w:line="600" w:lineRule="exact"/>
        <w:ind w:firstLine="630" w:firstLineChars="196"/>
        <w:jc w:val="both"/>
        <w:rPr>
          <w:rFonts w:hint="default" w:ascii="Times New Roman" w:hAnsi="Times New Roman" w:eastAsia="方正仿宋_GBK" w:cs="宋体"/>
          <w:sz w:val="32"/>
          <w:szCs w:val="32"/>
        </w:rPr>
      </w:pPr>
      <w:r>
        <w:rPr>
          <w:rFonts w:ascii="Times New Roman" w:hAnsi="Times New Roman" w:eastAsia="方正仿宋_GBK" w:cs="宋体"/>
          <w:b/>
          <w:bCs/>
          <w:sz w:val="32"/>
          <w:szCs w:val="20"/>
        </w:rPr>
        <w:t>1.收入情况。</w:t>
      </w:r>
      <w:r>
        <w:rPr>
          <w:rFonts w:ascii="Times New Roman" w:hAnsi="Times New Roman" w:eastAsia="方正仿宋_GBK" w:cs="宋体"/>
          <w:sz w:val="32"/>
          <w:szCs w:val="32"/>
        </w:rPr>
        <w:t>2024年度一般公共预算财政拨款收入165.49万元，与2023年度相比，减少21.97万元，下降11.7%。主要原因是2</w:t>
      </w:r>
      <w:r>
        <w:rPr>
          <w:rFonts w:hint="default" w:ascii="Times New Roman" w:hAnsi="Times New Roman" w:eastAsia="方正仿宋_GBK" w:cs="宋体"/>
          <w:sz w:val="32"/>
          <w:szCs w:val="32"/>
        </w:rPr>
        <w:t>023</w:t>
      </w:r>
      <w:r>
        <w:rPr>
          <w:rFonts w:ascii="Times New Roman" w:hAnsi="Times New Roman" w:eastAsia="方正仿宋_GBK" w:cs="宋体"/>
          <w:sz w:val="32"/>
          <w:szCs w:val="32"/>
        </w:rPr>
        <w:t>年因新建幼儿园购置设施设备，2024年无此项目拨款。较年初预算数增加38.00万元，增长29.8%。主要原因是</w:t>
      </w:r>
      <w:r>
        <w:rPr>
          <w:rFonts w:hint="eastAsia" w:ascii="Times New Roman" w:hAnsi="Times New Roman" w:eastAsia="方正仿宋_GBK" w:cs="宋体"/>
          <w:sz w:val="32"/>
          <w:szCs w:val="32"/>
          <w:lang w:val="en-US" w:eastAsia="zh-CN"/>
        </w:rPr>
        <w:t>师生人数增加，人员及公用经费增加</w:t>
      </w:r>
      <w:r>
        <w:rPr>
          <w:rFonts w:ascii="Times New Roman" w:hAnsi="Times New Roman" w:eastAsia="方正仿宋_GBK" w:cs="宋体"/>
          <w:sz w:val="32"/>
          <w:szCs w:val="32"/>
        </w:rPr>
        <w:t>。此外，年初财政拨款结转和结余0.00万元。</w:t>
      </w:r>
    </w:p>
    <w:p w14:paraId="67A1C6FA">
      <w:pPr>
        <w:widowControl w:val="0"/>
        <w:spacing w:line="600" w:lineRule="exact"/>
        <w:ind w:firstLine="630" w:firstLineChars="196"/>
        <w:jc w:val="both"/>
        <w:rPr>
          <w:rFonts w:hint="default" w:ascii="Times New Roman" w:hAnsi="Times New Roman" w:eastAsia="方正仿宋_GBK" w:cs="宋体"/>
          <w:sz w:val="32"/>
          <w:szCs w:val="32"/>
        </w:rPr>
      </w:pPr>
      <w:r>
        <w:rPr>
          <w:rFonts w:ascii="Times New Roman" w:hAnsi="Times New Roman" w:eastAsia="方正仿宋_GBK" w:cs="宋体"/>
          <w:b/>
          <w:bCs/>
          <w:sz w:val="32"/>
          <w:szCs w:val="20"/>
        </w:rPr>
        <w:t>2.支出情况。</w:t>
      </w:r>
      <w:r>
        <w:rPr>
          <w:rFonts w:ascii="Times New Roman" w:hAnsi="Times New Roman" w:eastAsia="方正仿宋_GBK" w:cs="宋体"/>
          <w:sz w:val="32"/>
          <w:szCs w:val="32"/>
        </w:rPr>
        <w:t>2024年度一般公共预算财政拨款支出165.49万元，与2023年度相比，减少21.97万元，下降11.7%。主要原因是2</w:t>
      </w:r>
      <w:r>
        <w:rPr>
          <w:rFonts w:hint="default" w:ascii="Times New Roman" w:hAnsi="Times New Roman" w:eastAsia="方正仿宋_GBK" w:cs="宋体"/>
          <w:sz w:val="32"/>
          <w:szCs w:val="32"/>
        </w:rPr>
        <w:t>023</w:t>
      </w:r>
      <w:r>
        <w:rPr>
          <w:rFonts w:ascii="Times New Roman" w:hAnsi="Times New Roman" w:eastAsia="方正仿宋_GBK" w:cs="宋体"/>
          <w:sz w:val="32"/>
          <w:szCs w:val="32"/>
        </w:rPr>
        <w:t>年因新建幼儿园购置设施设备，2024年无此项目拨款。较年初预算数增加38.00万元，增长29.8%。主要原因</w:t>
      </w:r>
      <w:r>
        <w:rPr>
          <w:rFonts w:hint="eastAsia" w:ascii="Times New Roman" w:hAnsi="Times New Roman" w:eastAsia="方正仿宋_GBK" w:cs="宋体"/>
          <w:sz w:val="32"/>
          <w:szCs w:val="32"/>
          <w:lang w:eastAsia="zh-CN"/>
        </w:rPr>
        <w:t>是</w:t>
      </w:r>
      <w:r>
        <w:rPr>
          <w:rFonts w:hint="eastAsia" w:ascii="Times New Roman" w:hAnsi="Times New Roman" w:eastAsia="方正仿宋_GBK" w:cs="宋体"/>
          <w:sz w:val="32"/>
          <w:szCs w:val="32"/>
          <w:lang w:val="en-US" w:eastAsia="zh-CN"/>
        </w:rPr>
        <w:t>师生人数增加，人员及公用经费增加</w:t>
      </w:r>
      <w:r>
        <w:rPr>
          <w:rFonts w:ascii="Times New Roman" w:hAnsi="Times New Roman" w:eastAsia="方正仿宋_GBK" w:cs="宋体"/>
          <w:sz w:val="32"/>
          <w:szCs w:val="32"/>
        </w:rPr>
        <w:t>。</w:t>
      </w:r>
    </w:p>
    <w:p w14:paraId="1714839B">
      <w:pPr>
        <w:widowControl w:val="0"/>
        <w:spacing w:line="600" w:lineRule="exact"/>
        <w:ind w:firstLine="630" w:firstLineChars="196"/>
        <w:jc w:val="both"/>
        <w:rPr>
          <w:rFonts w:hint="default" w:ascii="Times New Roman" w:hAnsi="Times New Roman" w:eastAsia="方正仿宋_GBK" w:cs="宋体"/>
          <w:sz w:val="32"/>
          <w:szCs w:val="32"/>
        </w:rPr>
      </w:pPr>
      <w:r>
        <w:rPr>
          <w:rFonts w:ascii="Times New Roman" w:hAnsi="Times New Roman" w:eastAsia="方正仿宋_GBK" w:cs="宋体"/>
          <w:b/>
          <w:bCs/>
          <w:sz w:val="32"/>
          <w:szCs w:val="20"/>
        </w:rPr>
        <w:t>3.结转结余情况。</w:t>
      </w:r>
      <w:r>
        <w:rPr>
          <w:rFonts w:ascii="Times New Roman" w:hAnsi="Times New Roman" w:eastAsia="方正仿宋_GBK" w:cs="宋体"/>
          <w:sz w:val="32"/>
          <w:szCs w:val="32"/>
        </w:rPr>
        <w:t>2024年度年末一般公共预算财政拨款结转和结余0.00万元，与2023年度相比，无增减，主要原因是2024年本单位无结转结余。</w:t>
      </w:r>
    </w:p>
    <w:p w14:paraId="25C245A8">
      <w:pPr>
        <w:widowControl w:val="0"/>
        <w:spacing w:line="600" w:lineRule="exact"/>
        <w:ind w:firstLine="630" w:firstLineChars="196"/>
        <w:jc w:val="both"/>
        <w:rPr>
          <w:rFonts w:hint="default" w:ascii="Times New Roman" w:hAnsi="Times New Roman" w:eastAsia="方正仿宋_GBK" w:cs="宋体"/>
          <w:sz w:val="32"/>
          <w:szCs w:val="32"/>
        </w:rPr>
      </w:pPr>
      <w:r>
        <w:rPr>
          <w:rFonts w:ascii="Times New Roman" w:hAnsi="Times New Roman" w:eastAsia="方正仿宋_GBK" w:cs="宋体"/>
          <w:b/>
          <w:bCs/>
          <w:sz w:val="32"/>
          <w:szCs w:val="20"/>
        </w:rPr>
        <w:t>4.比较情况</w:t>
      </w:r>
      <w:r>
        <w:rPr>
          <w:rFonts w:ascii="Times New Roman" w:hAnsi="Times New Roman" w:eastAsia="方正仿宋_GBK" w:cs="宋体"/>
          <w:sz w:val="32"/>
          <w:szCs w:val="32"/>
        </w:rPr>
        <w:t>。本单位2024年度一般公共预算财政拨款支出主要用于以下几个方面：</w:t>
      </w:r>
    </w:p>
    <w:p w14:paraId="011508F3">
      <w:pPr>
        <w:widowControl w:val="0"/>
        <w:spacing w:line="600" w:lineRule="exact"/>
        <w:ind w:firstLine="627" w:firstLineChars="196"/>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（1）教育支出159.47万元，占96.36%，较年初预算数增加36.87万元，增长30.1%，主要原因是</w:t>
      </w:r>
      <w:r>
        <w:rPr>
          <w:rFonts w:hint="eastAsia" w:ascii="Times New Roman" w:hAnsi="Times New Roman" w:eastAsia="方正仿宋_GBK" w:cs="宋体"/>
          <w:sz w:val="32"/>
          <w:szCs w:val="32"/>
          <w:lang w:val="en-US" w:eastAsia="zh-CN"/>
        </w:rPr>
        <w:t>师生人数增加，教育投入加大</w:t>
      </w:r>
      <w:r>
        <w:rPr>
          <w:rFonts w:ascii="Times New Roman" w:hAnsi="Times New Roman" w:eastAsia="方正仿宋_GBK" w:cs="宋体"/>
          <w:sz w:val="32"/>
          <w:szCs w:val="32"/>
        </w:rPr>
        <w:t>。</w:t>
      </w:r>
    </w:p>
    <w:p w14:paraId="2CF13811">
      <w:pPr>
        <w:widowControl w:val="0"/>
        <w:spacing w:line="600" w:lineRule="exact"/>
        <w:ind w:firstLine="627" w:firstLineChars="196"/>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（2）社会保障与就业支出2.87万元，占1.74%，较年初预算数增加0.93万元，增长47.9%，主要原因是缴费基数调整。</w:t>
      </w:r>
    </w:p>
    <w:p w14:paraId="7D5EAA06">
      <w:pPr>
        <w:widowControl w:val="0"/>
        <w:spacing w:line="600" w:lineRule="exact"/>
        <w:ind w:firstLine="627" w:firstLineChars="196"/>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（3）卫生健康支出0.96万元，占0.58%，较年初预算数减少0.01万元，下降1.0%，主要原因是缴费基数调整。</w:t>
      </w:r>
    </w:p>
    <w:p w14:paraId="73B320CD">
      <w:pPr>
        <w:widowControl w:val="0"/>
        <w:spacing w:line="600" w:lineRule="exact"/>
        <w:ind w:firstLine="627" w:firstLineChars="196"/>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（4）住房保障支出2.19万元，占1.32%，较年初预算数增加0.22万元，增长11.2%，主要原因是缴费基数调整。</w:t>
      </w:r>
    </w:p>
    <w:p w14:paraId="4D51A33C">
      <w:pPr>
        <w:widowControl w:val="0"/>
        <w:spacing w:line="600" w:lineRule="exact"/>
        <w:ind w:firstLine="627" w:firstLineChars="196"/>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（四）一般公共预算财政拨款基本支出决算情况说明</w:t>
      </w:r>
    </w:p>
    <w:p w14:paraId="13331057">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2024年度一般公共财政拨款基本支出34.40万元。其中：人员经费19.71万元，与2023年度相比，增加3.05万元，增长18.3%，主要原因是</w:t>
      </w:r>
      <w:r>
        <w:rPr>
          <w:rFonts w:hint="eastAsia" w:ascii="Times New Roman" w:hAnsi="Times New Roman" w:eastAsia="方正仿宋_GBK" w:cs="宋体"/>
          <w:sz w:val="32"/>
          <w:szCs w:val="32"/>
          <w:lang w:val="en-US" w:eastAsia="zh-CN"/>
        </w:rPr>
        <w:t>增人增资</w:t>
      </w:r>
      <w:r>
        <w:rPr>
          <w:rFonts w:ascii="Times New Roman" w:hAnsi="Times New Roman" w:eastAsia="方正仿宋_GBK" w:cs="宋体"/>
          <w:sz w:val="32"/>
          <w:szCs w:val="32"/>
        </w:rPr>
        <w:t>。人员经费用途主要包括基本工资、津贴补贴、绩效工资、机关事业单位基本养老保险缴费、职业年金缴费、职工基本医疗保险缴费、职工基本医疗保险缴费、其他社会保障缴费、住房公积金、医疗费。公用经费14.69万元，与2023年度相比，增加4.42万元，增长43.0%，主要原因是学生人数增加</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lang w:val="en-US" w:eastAsia="zh-CN"/>
        </w:rPr>
        <w:t>公用经费增加</w:t>
      </w:r>
      <w:r>
        <w:rPr>
          <w:rFonts w:ascii="Times New Roman" w:hAnsi="Times New Roman" w:eastAsia="方正仿宋_GBK" w:cs="宋体"/>
          <w:sz w:val="32"/>
          <w:szCs w:val="32"/>
        </w:rPr>
        <w:t>。公用经费用途主要包括办公费、印刷费、水费、电费、邮电费、物业管理费、差旅费、维修（护）费、培训费、专用材料费、劳务费、工会经费、福利费、其他商品和服务支出。</w:t>
      </w:r>
    </w:p>
    <w:p w14:paraId="484F3A4E">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（五）政府性基金预算收支决算情况说明</w:t>
      </w:r>
    </w:p>
    <w:p w14:paraId="19FF1C52">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本单位2024年度无政府性基金预算财政拨款收支。</w:t>
      </w:r>
    </w:p>
    <w:p w14:paraId="38D6925C">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（六）国有资本经营预算财政拨款支出决算情况说明</w:t>
      </w:r>
    </w:p>
    <w:p w14:paraId="52AE4B71">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本单位2024年度无国有资本经营预算财政拨款支出。</w:t>
      </w:r>
    </w:p>
    <w:p w14:paraId="3BDEBCE3">
      <w:pPr>
        <w:widowControl w:val="0"/>
        <w:spacing w:line="600" w:lineRule="exact"/>
        <w:ind w:firstLine="640" w:firstLineChars="200"/>
        <w:jc w:val="both"/>
        <w:rPr>
          <w:rFonts w:hint="default" w:ascii="Times New Roman" w:hAnsi="Times New Roman" w:eastAsia="方正黑体_GBK" w:cs="宋体"/>
          <w:b/>
          <w:sz w:val="32"/>
          <w:szCs w:val="32"/>
        </w:rPr>
      </w:pPr>
      <w:r>
        <w:rPr>
          <w:rFonts w:ascii="Times New Roman" w:hAnsi="Times New Roman" w:eastAsia="方正黑体_GBK" w:cs="宋体"/>
          <w:bCs/>
          <w:sz w:val="32"/>
          <w:szCs w:val="20"/>
        </w:rPr>
        <w:t>三、“三公”经费情况说明</w:t>
      </w:r>
    </w:p>
    <w:p w14:paraId="1D478BDE">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（一）“三公”经费支出总体情况说明</w:t>
      </w:r>
    </w:p>
    <w:p w14:paraId="1C775757">
      <w:pPr>
        <w:widowControl w:val="0"/>
        <w:spacing w:line="600" w:lineRule="exact"/>
        <w:ind w:firstLine="640" w:firstLineChars="200"/>
        <w:jc w:val="both"/>
        <w:rPr>
          <w:rFonts w:hint="default" w:ascii="Times New Roman" w:hAnsi="Times New Roman" w:eastAsia="方正仿宋_GBK" w:cs="宋体"/>
          <w:sz w:val="32"/>
          <w:szCs w:val="32"/>
          <w:lang w:val="en-US" w:eastAsia="zh-CN"/>
        </w:rPr>
      </w:pPr>
      <w:r>
        <w:rPr>
          <w:rFonts w:ascii="Times New Roman" w:hAnsi="Times New Roman" w:eastAsia="方正仿宋_GBK" w:cs="宋体"/>
          <w:sz w:val="32"/>
          <w:szCs w:val="32"/>
        </w:rPr>
        <w:t>2024年度“三公”经费支出共计0.00万元，较年初预算数无增减，较上年支出数无增减，主要原因是本单位2024年无“三公”经费支出</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lang w:val="en-US" w:eastAsia="zh-CN"/>
        </w:rPr>
        <w:t>与上年决算数持平。</w:t>
      </w:r>
    </w:p>
    <w:p w14:paraId="554D5990">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（二）“三公”经费分项支出情况</w:t>
      </w:r>
    </w:p>
    <w:p w14:paraId="31F3AD56">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2024年度本单位因公出国（境）费用0.00万元。费用支出较年初预算数无增减，</w:t>
      </w:r>
      <w:r>
        <w:rPr>
          <w:rFonts w:hint="eastAsia" w:ascii="Times New Roman" w:hAnsi="Times New Roman" w:eastAsia="方正仿宋_GBK" w:cs="宋体"/>
          <w:sz w:val="32"/>
          <w:szCs w:val="32"/>
          <w:lang w:val="en-US" w:eastAsia="zh-CN"/>
        </w:rPr>
        <w:t>较</w:t>
      </w:r>
      <w:r>
        <w:rPr>
          <w:rFonts w:ascii="Times New Roman" w:hAnsi="Times New Roman" w:eastAsia="方正仿宋_GBK" w:cs="宋体"/>
          <w:sz w:val="32"/>
          <w:szCs w:val="32"/>
        </w:rPr>
        <w:t>上年支出数无增减，主要原因是本单位2024年未发生“三公”经费支出</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lang w:val="en-US" w:eastAsia="zh-CN"/>
        </w:rPr>
        <w:t>与上年决算数持平。</w:t>
      </w:r>
    </w:p>
    <w:p w14:paraId="1E0A78A9">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公务车购置费0.00万元。费用支出较年初预算数无增减，较上年支出数无增减，主要原因是本单位2024年未发生公务车购置费</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lang w:val="en-US" w:eastAsia="zh-CN"/>
        </w:rPr>
        <w:t>与上年决算数持平。</w:t>
      </w:r>
    </w:p>
    <w:p w14:paraId="5E02A54C">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公务车运行维护费0.00万元。费用支出较年初预算数无增减，较上年支出数无增减，主要原因是本单位2024年未发生公务车运行维护费</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lang w:val="en-US" w:eastAsia="zh-CN"/>
        </w:rPr>
        <w:t>与上年决算数持平。</w:t>
      </w:r>
    </w:p>
    <w:p w14:paraId="49D59D3E">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公务接待费0.00万元。费用支出较年初预算数无增减，较上年支出数无增减，主要原因是本单位2024年未发生公务接待费</w:t>
      </w:r>
      <w:r>
        <w:rPr>
          <w:rFonts w:hint="eastAsia" w:ascii="Times New Roman" w:hAnsi="Times New Roman" w:eastAsia="方正仿宋_GBK" w:cs="宋体"/>
          <w:sz w:val="32"/>
          <w:szCs w:val="32"/>
          <w:lang w:eastAsia="zh-CN"/>
        </w:rPr>
        <w:t>，</w:t>
      </w:r>
      <w:r>
        <w:rPr>
          <w:rFonts w:hint="eastAsia" w:ascii="Times New Roman" w:hAnsi="Times New Roman" w:eastAsia="方正仿宋_GBK" w:cs="宋体"/>
          <w:sz w:val="32"/>
          <w:szCs w:val="32"/>
          <w:lang w:val="en-US" w:eastAsia="zh-CN"/>
        </w:rPr>
        <w:t>与上年决算数持平。</w:t>
      </w:r>
    </w:p>
    <w:p w14:paraId="0B00DBAF">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（三）“三公”经费实物量情况</w:t>
      </w:r>
    </w:p>
    <w:p w14:paraId="4C75974C">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060306DE">
      <w:pPr>
        <w:widowControl w:val="0"/>
        <w:spacing w:line="600" w:lineRule="exact"/>
        <w:ind w:firstLine="640" w:firstLineChars="200"/>
        <w:jc w:val="both"/>
        <w:rPr>
          <w:rFonts w:hint="default" w:ascii="Times New Roman" w:hAnsi="Times New Roman" w:eastAsia="方正黑体_GBK" w:cs="宋体"/>
          <w:b/>
          <w:sz w:val="32"/>
          <w:szCs w:val="32"/>
        </w:rPr>
      </w:pPr>
      <w:r>
        <w:rPr>
          <w:rFonts w:ascii="Times New Roman" w:hAnsi="Times New Roman" w:eastAsia="方正黑体_GBK" w:cs="宋体"/>
          <w:bCs/>
          <w:sz w:val="32"/>
          <w:szCs w:val="20"/>
        </w:rPr>
        <w:t>四、其他需要说明的事项</w:t>
      </w:r>
    </w:p>
    <w:p w14:paraId="3B057D41">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（一）一般公共预算财政拨款会议费和培训费情况说明</w:t>
      </w:r>
    </w:p>
    <w:p w14:paraId="2B123F56">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本年度会议费支出0.00万元，与2023年度相比，无增减，主要原因是本单位未发生会议费支出。本年度培训费支出2.83万元，与2023年度相比，增加1.50万元，增长112.8%，主要原因是</w:t>
      </w:r>
      <w:r>
        <w:rPr>
          <w:rFonts w:hint="eastAsia" w:ascii="Times New Roman" w:hAnsi="Times New Roman" w:eastAsia="方正仿宋_GBK" w:cs="宋体"/>
          <w:sz w:val="32"/>
          <w:szCs w:val="32"/>
          <w:lang w:val="en-US" w:eastAsia="zh-CN"/>
        </w:rPr>
        <w:t>教师人数增加，培训人次增加</w:t>
      </w:r>
      <w:r>
        <w:rPr>
          <w:rFonts w:ascii="Times New Roman" w:hAnsi="Times New Roman" w:eastAsia="方正仿宋_GBK" w:cs="宋体"/>
          <w:sz w:val="32"/>
          <w:szCs w:val="32"/>
        </w:rPr>
        <w:t>。</w:t>
      </w:r>
    </w:p>
    <w:p w14:paraId="7394C66D">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（二）机关运行经费情况说明</w:t>
      </w:r>
    </w:p>
    <w:p w14:paraId="3FB707C7">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按照</w:t>
      </w:r>
      <w:r>
        <w:rPr>
          <w:rFonts w:hint="eastAsia" w:ascii="Times New Roman" w:hAnsi="Times New Roman" w:eastAsia="方正仿宋_GBK" w:cs="宋体"/>
          <w:sz w:val="32"/>
          <w:szCs w:val="32"/>
          <w:lang w:val="en-US" w:eastAsia="zh-CN"/>
        </w:rPr>
        <w:t>部门</w:t>
      </w:r>
      <w:r>
        <w:rPr>
          <w:rFonts w:ascii="Times New Roman" w:hAnsi="Times New Roman" w:eastAsia="方正仿宋_GBK" w:cs="宋体"/>
          <w:sz w:val="32"/>
          <w:szCs w:val="32"/>
        </w:rPr>
        <w:t>决算列报口径，我单位不在机关运行经费统计范围之内。</w:t>
      </w:r>
    </w:p>
    <w:p w14:paraId="5EA07C3E">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（三）国有资产占用情况说明</w:t>
      </w:r>
    </w:p>
    <w:p w14:paraId="39713A51">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EB8EC08">
      <w:pPr>
        <w:widowControl w:val="0"/>
        <w:spacing w:line="600" w:lineRule="exact"/>
        <w:ind w:firstLine="640" w:firstLineChars="200"/>
        <w:jc w:val="both"/>
        <w:rPr>
          <w:rFonts w:hint="default" w:ascii="Times New Roman" w:hAnsi="Times New Roman" w:eastAsia="方正楷体_GBK" w:cs="宋体"/>
          <w:b/>
          <w:sz w:val="32"/>
          <w:szCs w:val="32"/>
        </w:rPr>
      </w:pPr>
      <w:r>
        <w:rPr>
          <w:rFonts w:ascii="Times New Roman" w:hAnsi="Times New Roman" w:eastAsia="方正楷体_GBK" w:cs="宋体"/>
          <w:bCs/>
          <w:sz w:val="32"/>
          <w:szCs w:val="20"/>
        </w:rPr>
        <w:t>（四）政府采购支出情况说明</w:t>
      </w:r>
    </w:p>
    <w:p w14:paraId="43601477">
      <w:pPr>
        <w:widowControl w:val="0"/>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2024年度本单位政府采购支出总额2.96万元，其中：政府采购货物支出2.96万元、政府采购工程支出0.00万元、政府采购服务支出0.00万元。授予中小企业合同金额2.96万元，占政府采购支出总额的100.00%，其中：授予小微企业合同金额2.96万元，占政府采购支出总额的100.00 %。主要用于采购复印纸、办公电脑。</w:t>
      </w:r>
    </w:p>
    <w:p w14:paraId="1003A641">
      <w:pPr>
        <w:widowControl w:val="0"/>
        <w:spacing w:line="600" w:lineRule="exact"/>
        <w:ind w:firstLine="640" w:firstLineChars="200"/>
        <w:jc w:val="both"/>
        <w:rPr>
          <w:rFonts w:hint="default" w:ascii="Times New Roman" w:hAnsi="Times New Roman" w:eastAsia="方正黑体_GBK" w:cs="宋体"/>
          <w:b/>
          <w:sz w:val="32"/>
          <w:szCs w:val="32"/>
        </w:rPr>
      </w:pPr>
      <w:r>
        <w:rPr>
          <w:rFonts w:ascii="Times New Roman" w:hAnsi="Times New Roman" w:eastAsia="方正黑体_GBK" w:cs="宋体"/>
          <w:bCs/>
          <w:sz w:val="32"/>
          <w:szCs w:val="20"/>
        </w:rPr>
        <w:t>五、预算绩效管理情况说明</w:t>
      </w:r>
    </w:p>
    <w:p w14:paraId="67E76540">
      <w:pPr>
        <w:widowControl w:val="0"/>
        <w:tabs>
          <w:tab w:val="center" w:pos="4153"/>
          <w:tab w:val="left" w:pos="7275"/>
        </w:tabs>
        <w:spacing w:line="600" w:lineRule="exact"/>
        <w:ind w:firstLine="640" w:firstLineChars="200"/>
        <w:jc w:val="both"/>
        <w:rPr>
          <w:rFonts w:hint="default" w:ascii="Times New Roman" w:hAnsi="Times New Roman" w:eastAsia="方正楷体_GBK" w:cs="宋体"/>
          <w:sz w:val="32"/>
          <w:szCs w:val="32"/>
        </w:rPr>
      </w:pPr>
      <w:r>
        <w:rPr>
          <w:rFonts w:ascii="Times New Roman" w:hAnsi="Times New Roman" w:eastAsia="方正楷体_GBK" w:cs="宋体"/>
          <w:sz w:val="32"/>
          <w:szCs w:val="32"/>
        </w:rPr>
        <w:t>（一）单位自评情况</w:t>
      </w:r>
    </w:p>
    <w:p w14:paraId="4C798830">
      <w:pPr>
        <w:widowControl w:val="0"/>
        <w:tabs>
          <w:tab w:val="center" w:pos="4153"/>
          <w:tab w:val="left" w:pos="7275"/>
        </w:tabs>
        <w:spacing w:line="600" w:lineRule="exact"/>
        <w:ind w:firstLine="640" w:firstLineChars="200"/>
        <w:jc w:val="both"/>
        <w:rPr>
          <w:rFonts w:ascii="Times New Roman" w:hAnsi="Times New Roman" w:eastAsia="方正仿宋_GBK" w:cs="宋体"/>
          <w:sz w:val="32"/>
          <w:szCs w:val="32"/>
        </w:rPr>
      </w:pPr>
      <w:r>
        <w:rPr>
          <w:rFonts w:ascii="Times New Roman" w:hAnsi="Times New Roman" w:eastAsia="方正仿宋_GBK" w:cs="宋体"/>
          <w:sz w:val="32"/>
          <w:szCs w:val="32"/>
        </w:rPr>
        <w:t>根据预算绩效管理要求，我单位对5个项目开展了绩效自评，涉及财政拨款项目支出</w:t>
      </w:r>
      <w:r>
        <w:rPr>
          <w:rFonts w:hint="default" w:ascii="Times New Roman" w:hAnsi="Times New Roman" w:eastAsia="方正仿宋_GBK" w:cs="宋体"/>
          <w:sz w:val="32"/>
          <w:szCs w:val="32"/>
        </w:rPr>
        <w:t>131.09</w:t>
      </w:r>
      <w:r>
        <w:rPr>
          <w:rFonts w:ascii="Times New Roman" w:hAnsi="Times New Roman" w:eastAsia="方正仿宋_GBK" w:cs="宋体"/>
          <w:sz w:val="32"/>
          <w:szCs w:val="32"/>
        </w:rPr>
        <w:t>万元。</w:t>
      </w:r>
    </w:p>
    <w:p w14:paraId="254CD774">
      <w:pPr>
        <w:widowControl w:val="0"/>
        <w:tabs>
          <w:tab w:val="center" w:pos="4153"/>
          <w:tab w:val="left" w:pos="7275"/>
        </w:tabs>
        <w:spacing w:line="600" w:lineRule="exact"/>
        <w:jc w:val="center"/>
        <w:rPr>
          <w:rFonts w:hint="eastAsia" w:ascii="Times New Roman" w:hAnsi="Times New Roman" w:eastAsia="方正小标宋_GBK" w:cs="方正小标宋_GBK"/>
          <w:sz w:val="28"/>
          <w:szCs w:val="28"/>
        </w:rPr>
      </w:pPr>
      <w:r>
        <w:rPr>
          <w:rFonts w:hint="eastAsia" w:ascii="Times New Roman" w:hAnsi="Times New Roman" w:eastAsia="方正小标宋_GBK" w:cs="方正小标宋_GBK"/>
          <w:sz w:val="28"/>
          <w:szCs w:val="28"/>
        </w:rPr>
        <w:t>重庆市九龙坡区石桥铺实验幼儿园2024年度项目支出绩效自评表</w:t>
      </w:r>
    </w:p>
    <w:tbl>
      <w:tblPr>
        <w:tblStyle w:val="9"/>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728"/>
        <w:gridCol w:w="1300"/>
        <w:gridCol w:w="800"/>
        <w:gridCol w:w="766"/>
        <w:gridCol w:w="734"/>
        <w:gridCol w:w="683"/>
        <w:gridCol w:w="1133"/>
        <w:gridCol w:w="650"/>
        <w:gridCol w:w="667"/>
        <w:gridCol w:w="1002"/>
      </w:tblGrid>
      <w:tr w14:paraId="1226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12" w:type="pct"/>
            <w:tcBorders>
              <w:top w:val="single" w:color="auto" w:sz="4" w:space="0"/>
            </w:tcBorders>
            <w:vAlign w:val="center"/>
          </w:tcPr>
          <w:p w14:paraId="5E28C7A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序号</w:t>
            </w:r>
          </w:p>
        </w:tc>
        <w:tc>
          <w:tcPr>
            <w:tcW w:w="411" w:type="pct"/>
            <w:tcBorders>
              <w:top w:val="single" w:color="auto" w:sz="4" w:space="0"/>
            </w:tcBorders>
            <w:vAlign w:val="center"/>
          </w:tcPr>
          <w:p w14:paraId="585091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项目名称</w:t>
            </w:r>
          </w:p>
        </w:tc>
        <w:tc>
          <w:tcPr>
            <w:tcW w:w="735" w:type="pct"/>
            <w:tcBorders>
              <w:top w:val="single" w:color="auto" w:sz="4" w:space="0"/>
            </w:tcBorders>
            <w:vAlign w:val="center"/>
          </w:tcPr>
          <w:p w14:paraId="66C8E15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指标名称</w:t>
            </w:r>
          </w:p>
        </w:tc>
        <w:tc>
          <w:tcPr>
            <w:tcW w:w="452" w:type="pct"/>
            <w:tcBorders>
              <w:top w:val="single" w:color="auto" w:sz="4" w:space="0"/>
            </w:tcBorders>
            <w:vAlign w:val="center"/>
          </w:tcPr>
          <w:p w14:paraId="66E0295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指标性质</w:t>
            </w:r>
          </w:p>
        </w:tc>
        <w:tc>
          <w:tcPr>
            <w:tcW w:w="433" w:type="pct"/>
            <w:tcBorders>
              <w:top w:val="single" w:color="auto" w:sz="4" w:space="0"/>
            </w:tcBorders>
            <w:vAlign w:val="center"/>
          </w:tcPr>
          <w:p w14:paraId="6DE4AD3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指标值</w:t>
            </w:r>
          </w:p>
        </w:tc>
        <w:tc>
          <w:tcPr>
            <w:tcW w:w="415" w:type="pct"/>
            <w:tcBorders>
              <w:top w:val="single" w:color="auto" w:sz="4" w:space="0"/>
            </w:tcBorders>
            <w:vAlign w:val="center"/>
          </w:tcPr>
          <w:p w14:paraId="6591B6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计量单位</w:t>
            </w:r>
          </w:p>
        </w:tc>
        <w:tc>
          <w:tcPr>
            <w:tcW w:w="386" w:type="pct"/>
            <w:tcBorders>
              <w:top w:val="single" w:color="auto" w:sz="4" w:space="0"/>
            </w:tcBorders>
            <w:vAlign w:val="center"/>
          </w:tcPr>
          <w:p w14:paraId="347C6D8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指标权重</w:t>
            </w:r>
          </w:p>
        </w:tc>
        <w:tc>
          <w:tcPr>
            <w:tcW w:w="640" w:type="pct"/>
            <w:tcBorders>
              <w:top w:val="single" w:color="auto" w:sz="4" w:space="0"/>
            </w:tcBorders>
            <w:vAlign w:val="center"/>
          </w:tcPr>
          <w:p w14:paraId="67DD63E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全年完成值</w:t>
            </w:r>
          </w:p>
        </w:tc>
        <w:tc>
          <w:tcPr>
            <w:tcW w:w="367" w:type="pct"/>
            <w:tcBorders>
              <w:top w:val="single" w:color="auto" w:sz="4" w:space="0"/>
            </w:tcBorders>
            <w:vAlign w:val="center"/>
          </w:tcPr>
          <w:p w14:paraId="4FA728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指标得分</w:t>
            </w:r>
          </w:p>
        </w:tc>
        <w:tc>
          <w:tcPr>
            <w:tcW w:w="377" w:type="pct"/>
            <w:tcBorders>
              <w:top w:val="single" w:color="auto" w:sz="4" w:space="0"/>
            </w:tcBorders>
            <w:vAlign w:val="center"/>
          </w:tcPr>
          <w:p w14:paraId="7BA9D5C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说明</w:t>
            </w:r>
          </w:p>
        </w:tc>
        <w:tc>
          <w:tcPr>
            <w:tcW w:w="566" w:type="pct"/>
            <w:tcBorders>
              <w:top w:val="single" w:color="auto" w:sz="4" w:space="0"/>
            </w:tcBorders>
            <w:vAlign w:val="center"/>
          </w:tcPr>
          <w:p w14:paraId="38BA27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eastAsia="方正黑体_GBK" w:cs="方正黑体_GBK"/>
                <w:color w:val="000000"/>
                <w:sz w:val="20"/>
                <w:szCs w:val="21"/>
              </w:rPr>
            </w:pPr>
            <w:r>
              <w:rPr>
                <w:rFonts w:eastAsia="方正黑体_GBK" w:cs="方正黑体_GBK"/>
                <w:color w:val="000000"/>
                <w:sz w:val="20"/>
                <w:szCs w:val="21"/>
                <w:lang w:bidi="ar"/>
              </w:rPr>
              <w:t>自评得分</w:t>
            </w:r>
          </w:p>
        </w:tc>
      </w:tr>
      <w:tr w14:paraId="4853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2" w:type="pct"/>
            <w:vMerge w:val="restart"/>
            <w:noWrap/>
            <w:vAlign w:val="center"/>
          </w:tcPr>
          <w:p w14:paraId="102FD86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olor w:val="000000"/>
                <w:sz w:val="20"/>
                <w:szCs w:val="21"/>
              </w:rPr>
            </w:pPr>
            <w:r>
              <w:rPr>
                <w:color w:val="000000"/>
                <w:sz w:val="20"/>
                <w:szCs w:val="21"/>
                <w:lang w:bidi="ar"/>
              </w:rPr>
              <w:t>1</w:t>
            </w:r>
          </w:p>
        </w:tc>
        <w:tc>
          <w:tcPr>
            <w:tcW w:w="411" w:type="pct"/>
            <w:vMerge w:val="restart"/>
            <w:noWrap/>
            <w:vAlign w:val="center"/>
          </w:tcPr>
          <w:p w14:paraId="1FE3514F">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rFonts w:hint="default" w:cs="宋体"/>
                <w:color w:val="000000"/>
                <w:sz w:val="20"/>
                <w:szCs w:val="21"/>
              </w:rPr>
              <w:t>2024年学前教育家庭经济困难幼儿资助专项经费</w:t>
            </w:r>
          </w:p>
        </w:tc>
        <w:tc>
          <w:tcPr>
            <w:tcW w:w="735" w:type="pct"/>
            <w:noWrap/>
            <w:vAlign w:val="center"/>
          </w:tcPr>
          <w:p w14:paraId="71A20945">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rFonts w:cs="宋体"/>
                <w:color w:val="000000"/>
                <w:sz w:val="20"/>
                <w:szCs w:val="21"/>
              </w:rPr>
              <w:t>资助学生数量</w:t>
            </w:r>
            <w:r>
              <w:rPr>
                <w:rFonts w:hint="default" w:cs="宋体"/>
                <w:color w:val="000000"/>
                <w:sz w:val="20"/>
                <w:szCs w:val="21"/>
              </w:rPr>
              <w:t>jlp</w:t>
            </w:r>
          </w:p>
        </w:tc>
        <w:tc>
          <w:tcPr>
            <w:tcW w:w="452" w:type="pct"/>
            <w:tcBorders>
              <w:top w:val="nil"/>
              <w:left w:val="single" w:color="auto" w:sz="4" w:space="0"/>
              <w:bottom w:val="single" w:color="auto" w:sz="4" w:space="0"/>
              <w:right w:val="single" w:color="auto" w:sz="4" w:space="0"/>
            </w:tcBorders>
            <w:shd w:val="clear" w:color="auto" w:fill="auto"/>
            <w:noWrap/>
            <w:vAlign w:val="center"/>
          </w:tcPr>
          <w:p w14:paraId="1DCDE291">
            <w:pPr>
              <w:keepNext w:val="0"/>
              <w:keepLines w:val="0"/>
              <w:pageBreakBefore w:val="0"/>
              <w:widowControl/>
              <w:kinsoku/>
              <w:wordWrap/>
              <w:overflowPunct/>
              <w:topLinePunct w:val="0"/>
              <w:autoSpaceDE/>
              <w:autoSpaceDN/>
              <w:bidi w:val="0"/>
              <w:adjustRightInd/>
              <w:snapToGrid/>
              <w:spacing w:line="240" w:lineRule="exact"/>
              <w:rPr>
                <w:rFonts w:hint="default"/>
                <w:color w:val="000000"/>
                <w:sz w:val="20"/>
                <w:szCs w:val="20"/>
              </w:rPr>
            </w:pPr>
            <w:r>
              <w:rPr>
                <w:color w:val="000000"/>
                <w:sz w:val="20"/>
                <w:szCs w:val="20"/>
              </w:rPr>
              <w:t>≥</w:t>
            </w:r>
          </w:p>
        </w:tc>
        <w:tc>
          <w:tcPr>
            <w:tcW w:w="433" w:type="pct"/>
            <w:tcBorders>
              <w:top w:val="nil"/>
              <w:left w:val="nil"/>
              <w:bottom w:val="single" w:color="auto" w:sz="4" w:space="0"/>
              <w:right w:val="single" w:color="auto" w:sz="4" w:space="0"/>
            </w:tcBorders>
            <w:shd w:val="clear" w:color="auto" w:fill="auto"/>
            <w:noWrap/>
            <w:vAlign w:val="center"/>
          </w:tcPr>
          <w:p w14:paraId="1D4BEF8D">
            <w:pPr>
              <w:keepNext w:val="0"/>
              <w:keepLines w:val="0"/>
              <w:pageBreakBefore w:val="0"/>
              <w:widowControl/>
              <w:kinsoku/>
              <w:wordWrap/>
              <w:overflowPunct/>
              <w:topLinePunct w:val="0"/>
              <w:autoSpaceDE/>
              <w:autoSpaceDN/>
              <w:bidi w:val="0"/>
              <w:adjustRightInd/>
              <w:snapToGrid/>
              <w:spacing w:line="240" w:lineRule="exact"/>
              <w:jc w:val="center"/>
              <w:rPr>
                <w:rFonts w:hint="default"/>
                <w:color w:val="000000"/>
                <w:sz w:val="20"/>
                <w:szCs w:val="20"/>
              </w:rPr>
            </w:pPr>
            <w:r>
              <w:rPr>
                <w:color w:val="000000"/>
                <w:sz w:val="20"/>
                <w:szCs w:val="20"/>
              </w:rPr>
              <w:t>3</w:t>
            </w:r>
          </w:p>
        </w:tc>
        <w:tc>
          <w:tcPr>
            <w:tcW w:w="415" w:type="pct"/>
            <w:tcBorders>
              <w:top w:val="nil"/>
              <w:left w:val="nil"/>
              <w:bottom w:val="single" w:color="auto" w:sz="4" w:space="0"/>
              <w:right w:val="single" w:color="auto" w:sz="4" w:space="0"/>
            </w:tcBorders>
            <w:shd w:val="clear" w:color="auto" w:fill="auto"/>
            <w:noWrap/>
            <w:vAlign w:val="center"/>
          </w:tcPr>
          <w:p w14:paraId="6A9E9BD5">
            <w:pPr>
              <w:keepNext w:val="0"/>
              <w:keepLines w:val="0"/>
              <w:pageBreakBefore w:val="0"/>
              <w:widowControl/>
              <w:kinsoku/>
              <w:wordWrap/>
              <w:overflowPunct/>
              <w:topLinePunct w:val="0"/>
              <w:autoSpaceDE/>
              <w:autoSpaceDN/>
              <w:bidi w:val="0"/>
              <w:adjustRightInd/>
              <w:snapToGrid/>
              <w:spacing w:line="240" w:lineRule="exact"/>
              <w:jc w:val="center"/>
              <w:rPr>
                <w:rFonts w:hint="default"/>
                <w:color w:val="000000"/>
                <w:sz w:val="20"/>
                <w:szCs w:val="20"/>
              </w:rPr>
            </w:pPr>
            <w:r>
              <w:rPr>
                <w:color w:val="000000"/>
                <w:sz w:val="20"/>
                <w:szCs w:val="20"/>
              </w:rPr>
              <w:t>人次</w:t>
            </w:r>
          </w:p>
        </w:tc>
        <w:tc>
          <w:tcPr>
            <w:tcW w:w="386" w:type="pct"/>
            <w:tcBorders>
              <w:top w:val="nil"/>
              <w:left w:val="nil"/>
              <w:bottom w:val="single" w:color="auto" w:sz="4" w:space="0"/>
              <w:right w:val="single" w:color="auto" w:sz="4" w:space="0"/>
            </w:tcBorders>
            <w:shd w:val="clear" w:color="auto" w:fill="auto"/>
            <w:noWrap/>
            <w:vAlign w:val="center"/>
          </w:tcPr>
          <w:p w14:paraId="078D646A">
            <w:pPr>
              <w:keepNext w:val="0"/>
              <w:keepLines w:val="0"/>
              <w:pageBreakBefore w:val="0"/>
              <w:widowControl/>
              <w:kinsoku/>
              <w:wordWrap/>
              <w:overflowPunct/>
              <w:topLinePunct w:val="0"/>
              <w:autoSpaceDE/>
              <w:autoSpaceDN/>
              <w:bidi w:val="0"/>
              <w:adjustRightInd/>
              <w:snapToGrid/>
              <w:spacing w:line="240" w:lineRule="exact"/>
              <w:rPr>
                <w:rFonts w:hint="default"/>
                <w:color w:val="000000"/>
                <w:sz w:val="20"/>
                <w:szCs w:val="20"/>
              </w:rPr>
            </w:pPr>
            <w:r>
              <w:rPr>
                <w:color w:val="000000"/>
                <w:sz w:val="20"/>
                <w:szCs w:val="20"/>
              </w:rPr>
              <w:t>15</w:t>
            </w:r>
          </w:p>
        </w:tc>
        <w:tc>
          <w:tcPr>
            <w:tcW w:w="640" w:type="pct"/>
            <w:tcBorders>
              <w:top w:val="nil"/>
              <w:left w:val="nil"/>
              <w:bottom w:val="single" w:color="auto" w:sz="4" w:space="0"/>
              <w:right w:val="single" w:color="auto" w:sz="4" w:space="0"/>
            </w:tcBorders>
            <w:shd w:val="clear" w:color="auto" w:fill="auto"/>
            <w:noWrap/>
            <w:vAlign w:val="center"/>
          </w:tcPr>
          <w:p w14:paraId="6C6BD9BC">
            <w:pPr>
              <w:keepNext w:val="0"/>
              <w:keepLines w:val="0"/>
              <w:pageBreakBefore w:val="0"/>
              <w:widowControl/>
              <w:kinsoku/>
              <w:wordWrap/>
              <w:overflowPunct/>
              <w:topLinePunct w:val="0"/>
              <w:autoSpaceDE/>
              <w:autoSpaceDN/>
              <w:bidi w:val="0"/>
              <w:adjustRightInd/>
              <w:snapToGrid/>
              <w:spacing w:line="240" w:lineRule="exact"/>
              <w:jc w:val="center"/>
              <w:rPr>
                <w:rFonts w:hint="default"/>
                <w:color w:val="000000"/>
                <w:sz w:val="20"/>
                <w:szCs w:val="20"/>
              </w:rPr>
            </w:pPr>
            <w:r>
              <w:rPr>
                <w:color w:val="000000"/>
                <w:sz w:val="20"/>
                <w:szCs w:val="20"/>
              </w:rPr>
              <w:t>3</w:t>
            </w:r>
          </w:p>
        </w:tc>
        <w:tc>
          <w:tcPr>
            <w:tcW w:w="367" w:type="pct"/>
            <w:tcBorders>
              <w:top w:val="nil"/>
              <w:left w:val="nil"/>
              <w:bottom w:val="single" w:color="auto" w:sz="4" w:space="0"/>
              <w:right w:val="single" w:color="auto" w:sz="4" w:space="0"/>
            </w:tcBorders>
            <w:shd w:val="clear" w:color="auto" w:fill="auto"/>
            <w:noWrap/>
            <w:vAlign w:val="center"/>
          </w:tcPr>
          <w:p w14:paraId="011FFC8F">
            <w:pPr>
              <w:keepNext w:val="0"/>
              <w:keepLines w:val="0"/>
              <w:pageBreakBefore w:val="0"/>
              <w:widowControl/>
              <w:kinsoku/>
              <w:wordWrap/>
              <w:overflowPunct/>
              <w:topLinePunct w:val="0"/>
              <w:autoSpaceDE/>
              <w:autoSpaceDN/>
              <w:bidi w:val="0"/>
              <w:adjustRightInd/>
              <w:snapToGrid/>
              <w:spacing w:line="240" w:lineRule="exact"/>
              <w:jc w:val="center"/>
              <w:rPr>
                <w:rFonts w:hint="default"/>
                <w:color w:val="000000"/>
                <w:sz w:val="20"/>
                <w:szCs w:val="20"/>
              </w:rPr>
            </w:pPr>
            <w:r>
              <w:rPr>
                <w:color w:val="000000"/>
                <w:sz w:val="20"/>
                <w:szCs w:val="20"/>
              </w:rPr>
              <w:t>15</w:t>
            </w:r>
          </w:p>
        </w:tc>
        <w:tc>
          <w:tcPr>
            <w:tcW w:w="377" w:type="pct"/>
            <w:tcBorders>
              <w:top w:val="nil"/>
              <w:left w:val="single" w:color="auto" w:sz="8" w:space="0"/>
              <w:bottom w:val="single" w:color="auto" w:sz="4" w:space="0"/>
              <w:right w:val="nil"/>
            </w:tcBorders>
            <w:shd w:val="clear" w:color="auto" w:fill="auto"/>
            <w:noWrap/>
            <w:vAlign w:val="center"/>
          </w:tcPr>
          <w:p w14:paraId="51F67CB6">
            <w:pPr>
              <w:keepNext w:val="0"/>
              <w:keepLines w:val="0"/>
              <w:pageBreakBefore w:val="0"/>
              <w:widowControl/>
              <w:kinsoku/>
              <w:wordWrap/>
              <w:overflowPunct/>
              <w:topLinePunct w:val="0"/>
              <w:autoSpaceDE/>
              <w:autoSpaceDN/>
              <w:bidi w:val="0"/>
              <w:adjustRightInd/>
              <w:snapToGrid/>
              <w:spacing w:line="240" w:lineRule="exact"/>
              <w:rPr>
                <w:rFonts w:hint="default"/>
                <w:color w:val="000000"/>
                <w:sz w:val="18"/>
                <w:szCs w:val="18"/>
              </w:rPr>
            </w:pPr>
            <w:r>
              <w:rPr>
                <w:color w:val="000000"/>
                <w:sz w:val="18"/>
                <w:szCs w:val="18"/>
              </w:rPr>
              <w:t>　</w:t>
            </w:r>
          </w:p>
        </w:tc>
        <w:tc>
          <w:tcPr>
            <w:tcW w:w="566" w:type="pct"/>
            <w:vMerge w:val="restart"/>
            <w:tcBorders>
              <w:top w:val="nil"/>
              <w:left w:val="single" w:color="auto" w:sz="4" w:space="0"/>
              <w:bottom w:val="single" w:color="auto" w:sz="4" w:space="0"/>
              <w:right w:val="single" w:color="auto" w:sz="4" w:space="0"/>
            </w:tcBorders>
            <w:shd w:val="clear" w:color="auto" w:fill="auto"/>
            <w:noWrap/>
            <w:vAlign w:val="center"/>
          </w:tcPr>
          <w:p w14:paraId="23ACD819">
            <w:pPr>
              <w:keepNext w:val="0"/>
              <w:keepLines w:val="0"/>
              <w:pageBreakBefore w:val="0"/>
              <w:widowControl/>
              <w:kinsoku/>
              <w:wordWrap/>
              <w:overflowPunct/>
              <w:topLinePunct w:val="0"/>
              <w:autoSpaceDE/>
              <w:autoSpaceDN/>
              <w:bidi w:val="0"/>
              <w:adjustRightInd/>
              <w:snapToGrid/>
              <w:spacing w:line="240" w:lineRule="exact"/>
              <w:jc w:val="center"/>
              <w:rPr>
                <w:rFonts w:hint="default"/>
                <w:color w:val="000000"/>
                <w:sz w:val="18"/>
                <w:szCs w:val="18"/>
              </w:rPr>
            </w:pPr>
            <w:r>
              <w:rPr>
                <w:color w:val="000000"/>
                <w:sz w:val="18"/>
                <w:szCs w:val="18"/>
              </w:rPr>
              <w:t>100</w:t>
            </w:r>
          </w:p>
        </w:tc>
      </w:tr>
      <w:tr w14:paraId="0DD9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2" w:type="pct"/>
            <w:vMerge w:val="continue"/>
            <w:noWrap/>
            <w:vAlign w:val="center"/>
          </w:tcPr>
          <w:p w14:paraId="142DAFE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olor w:val="000000"/>
                <w:sz w:val="20"/>
                <w:szCs w:val="21"/>
              </w:rPr>
            </w:pPr>
          </w:p>
        </w:tc>
        <w:tc>
          <w:tcPr>
            <w:tcW w:w="411" w:type="pct"/>
            <w:vMerge w:val="continue"/>
            <w:noWrap/>
            <w:vAlign w:val="center"/>
          </w:tcPr>
          <w:p w14:paraId="46492B4B">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c>
          <w:tcPr>
            <w:tcW w:w="735" w:type="pct"/>
            <w:noWrap/>
            <w:vAlign w:val="center"/>
          </w:tcPr>
          <w:p w14:paraId="15FF0456">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rFonts w:cs="宋体"/>
                <w:color w:val="000000"/>
                <w:sz w:val="20"/>
                <w:szCs w:val="21"/>
              </w:rPr>
              <w:t>补助合格率</w:t>
            </w:r>
            <w:r>
              <w:rPr>
                <w:rFonts w:hint="default" w:cs="宋体"/>
                <w:color w:val="000000"/>
                <w:sz w:val="20"/>
                <w:szCs w:val="21"/>
              </w:rPr>
              <w:t>jlp</w:t>
            </w:r>
          </w:p>
        </w:tc>
        <w:tc>
          <w:tcPr>
            <w:tcW w:w="452" w:type="pct"/>
            <w:tcBorders>
              <w:top w:val="nil"/>
              <w:left w:val="single" w:color="auto" w:sz="4" w:space="0"/>
              <w:bottom w:val="single" w:color="auto" w:sz="4" w:space="0"/>
              <w:right w:val="single" w:color="auto" w:sz="4" w:space="0"/>
            </w:tcBorders>
            <w:shd w:val="clear" w:color="auto" w:fill="auto"/>
            <w:noWrap/>
            <w:vAlign w:val="center"/>
          </w:tcPr>
          <w:p w14:paraId="4C289337">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w:t>
            </w:r>
          </w:p>
        </w:tc>
        <w:tc>
          <w:tcPr>
            <w:tcW w:w="433" w:type="pct"/>
            <w:tcBorders>
              <w:top w:val="nil"/>
              <w:left w:val="nil"/>
              <w:bottom w:val="single" w:color="auto" w:sz="4" w:space="0"/>
              <w:right w:val="single" w:color="auto" w:sz="4" w:space="0"/>
            </w:tcBorders>
            <w:shd w:val="clear" w:color="auto" w:fill="auto"/>
            <w:noWrap/>
            <w:vAlign w:val="center"/>
          </w:tcPr>
          <w:p w14:paraId="7F1803F9">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100</w:t>
            </w:r>
          </w:p>
        </w:tc>
        <w:tc>
          <w:tcPr>
            <w:tcW w:w="415" w:type="pct"/>
            <w:tcBorders>
              <w:top w:val="nil"/>
              <w:left w:val="nil"/>
              <w:bottom w:val="single" w:color="auto" w:sz="4" w:space="0"/>
              <w:right w:val="single" w:color="auto" w:sz="4" w:space="0"/>
            </w:tcBorders>
            <w:shd w:val="clear" w:color="auto" w:fill="auto"/>
            <w:noWrap/>
            <w:vAlign w:val="center"/>
          </w:tcPr>
          <w:p w14:paraId="174464E8">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w:t>
            </w:r>
          </w:p>
        </w:tc>
        <w:tc>
          <w:tcPr>
            <w:tcW w:w="386" w:type="pct"/>
            <w:tcBorders>
              <w:top w:val="nil"/>
              <w:left w:val="nil"/>
              <w:bottom w:val="single" w:color="auto" w:sz="4" w:space="0"/>
              <w:right w:val="single" w:color="auto" w:sz="4" w:space="0"/>
            </w:tcBorders>
            <w:shd w:val="clear" w:color="auto" w:fill="auto"/>
            <w:noWrap/>
            <w:vAlign w:val="center"/>
          </w:tcPr>
          <w:p w14:paraId="7242A853">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15</w:t>
            </w:r>
          </w:p>
        </w:tc>
        <w:tc>
          <w:tcPr>
            <w:tcW w:w="640" w:type="pct"/>
            <w:tcBorders>
              <w:top w:val="nil"/>
              <w:left w:val="nil"/>
              <w:bottom w:val="single" w:color="auto" w:sz="4" w:space="0"/>
              <w:right w:val="single" w:color="auto" w:sz="4" w:space="0"/>
            </w:tcBorders>
            <w:shd w:val="clear" w:color="auto" w:fill="auto"/>
            <w:noWrap/>
            <w:vAlign w:val="center"/>
          </w:tcPr>
          <w:p w14:paraId="771E5E7D">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100</w:t>
            </w:r>
          </w:p>
        </w:tc>
        <w:tc>
          <w:tcPr>
            <w:tcW w:w="367" w:type="pct"/>
            <w:tcBorders>
              <w:top w:val="nil"/>
              <w:left w:val="nil"/>
              <w:bottom w:val="single" w:color="auto" w:sz="4" w:space="0"/>
              <w:right w:val="single" w:color="auto" w:sz="4" w:space="0"/>
            </w:tcBorders>
            <w:shd w:val="clear" w:color="auto" w:fill="auto"/>
            <w:noWrap/>
            <w:vAlign w:val="center"/>
          </w:tcPr>
          <w:p w14:paraId="1D65490F">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15</w:t>
            </w:r>
          </w:p>
        </w:tc>
        <w:tc>
          <w:tcPr>
            <w:tcW w:w="377" w:type="pct"/>
            <w:tcBorders>
              <w:top w:val="nil"/>
              <w:left w:val="single" w:color="auto" w:sz="8" w:space="0"/>
              <w:bottom w:val="single" w:color="auto" w:sz="8" w:space="0"/>
              <w:right w:val="nil"/>
            </w:tcBorders>
            <w:shd w:val="clear" w:color="auto" w:fill="auto"/>
            <w:noWrap/>
            <w:vAlign w:val="center"/>
          </w:tcPr>
          <w:p w14:paraId="72C99A9A">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sz w:val="20"/>
                <w:szCs w:val="21"/>
              </w:rPr>
            </w:pPr>
            <w:r>
              <w:rPr>
                <w:color w:val="000000"/>
                <w:sz w:val="18"/>
                <w:szCs w:val="18"/>
              </w:rPr>
              <w:t>　</w:t>
            </w:r>
          </w:p>
        </w:tc>
        <w:tc>
          <w:tcPr>
            <w:tcW w:w="566" w:type="pct"/>
            <w:vMerge w:val="continue"/>
            <w:tcBorders>
              <w:top w:val="nil"/>
              <w:left w:val="single" w:color="auto" w:sz="4" w:space="0"/>
              <w:bottom w:val="single" w:color="auto" w:sz="4" w:space="0"/>
              <w:right w:val="single" w:color="auto" w:sz="4" w:space="0"/>
            </w:tcBorders>
            <w:noWrap/>
            <w:vAlign w:val="center"/>
          </w:tcPr>
          <w:p w14:paraId="110951B9">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r>
      <w:tr w14:paraId="0925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2" w:type="pct"/>
            <w:vMerge w:val="continue"/>
            <w:noWrap/>
            <w:vAlign w:val="center"/>
          </w:tcPr>
          <w:p w14:paraId="67B313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olor w:val="000000"/>
                <w:sz w:val="20"/>
                <w:szCs w:val="21"/>
              </w:rPr>
            </w:pPr>
          </w:p>
        </w:tc>
        <w:tc>
          <w:tcPr>
            <w:tcW w:w="411" w:type="pct"/>
            <w:vMerge w:val="continue"/>
            <w:noWrap/>
            <w:vAlign w:val="center"/>
          </w:tcPr>
          <w:p w14:paraId="6C4FE6F1">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c>
          <w:tcPr>
            <w:tcW w:w="735" w:type="pct"/>
            <w:noWrap/>
            <w:vAlign w:val="center"/>
          </w:tcPr>
          <w:p w14:paraId="4713B351">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rFonts w:cs="宋体"/>
                <w:color w:val="000000"/>
                <w:sz w:val="20"/>
                <w:szCs w:val="21"/>
              </w:rPr>
              <w:t>资助到位时间</w:t>
            </w:r>
            <w:r>
              <w:rPr>
                <w:rFonts w:hint="default" w:cs="宋体"/>
                <w:color w:val="000000"/>
                <w:sz w:val="20"/>
                <w:szCs w:val="21"/>
              </w:rPr>
              <w:t>jlp</w:t>
            </w:r>
          </w:p>
        </w:tc>
        <w:tc>
          <w:tcPr>
            <w:tcW w:w="452" w:type="pct"/>
            <w:tcBorders>
              <w:top w:val="nil"/>
              <w:left w:val="single" w:color="auto" w:sz="4" w:space="0"/>
              <w:bottom w:val="single" w:color="auto" w:sz="4" w:space="0"/>
              <w:right w:val="single" w:color="auto" w:sz="4" w:space="0"/>
            </w:tcBorders>
            <w:shd w:val="clear" w:color="auto" w:fill="auto"/>
            <w:noWrap/>
            <w:vAlign w:val="center"/>
          </w:tcPr>
          <w:p w14:paraId="0A339201">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w:t>
            </w:r>
          </w:p>
        </w:tc>
        <w:tc>
          <w:tcPr>
            <w:tcW w:w="433" w:type="pct"/>
            <w:tcBorders>
              <w:top w:val="nil"/>
              <w:left w:val="nil"/>
              <w:bottom w:val="single" w:color="auto" w:sz="4" w:space="0"/>
              <w:right w:val="single" w:color="auto" w:sz="4" w:space="0"/>
            </w:tcBorders>
            <w:shd w:val="clear" w:color="auto" w:fill="auto"/>
            <w:noWrap/>
            <w:vAlign w:val="center"/>
          </w:tcPr>
          <w:p w14:paraId="4DCF1FA3">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50</w:t>
            </w:r>
          </w:p>
        </w:tc>
        <w:tc>
          <w:tcPr>
            <w:tcW w:w="415" w:type="pct"/>
            <w:tcBorders>
              <w:top w:val="nil"/>
              <w:left w:val="nil"/>
              <w:bottom w:val="single" w:color="auto" w:sz="4" w:space="0"/>
              <w:right w:val="single" w:color="auto" w:sz="4" w:space="0"/>
            </w:tcBorders>
            <w:shd w:val="clear" w:color="auto" w:fill="auto"/>
            <w:noWrap/>
            <w:vAlign w:val="center"/>
          </w:tcPr>
          <w:p w14:paraId="7BBD9D21">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天</w:t>
            </w:r>
          </w:p>
        </w:tc>
        <w:tc>
          <w:tcPr>
            <w:tcW w:w="386" w:type="pct"/>
            <w:tcBorders>
              <w:top w:val="nil"/>
              <w:left w:val="nil"/>
              <w:bottom w:val="single" w:color="auto" w:sz="4" w:space="0"/>
              <w:right w:val="single" w:color="auto" w:sz="4" w:space="0"/>
            </w:tcBorders>
            <w:shd w:val="clear" w:color="auto" w:fill="auto"/>
            <w:noWrap/>
            <w:vAlign w:val="center"/>
          </w:tcPr>
          <w:p w14:paraId="75B11F7E">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15</w:t>
            </w:r>
          </w:p>
        </w:tc>
        <w:tc>
          <w:tcPr>
            <w:tcW w:w="640" w:type="pct"/>
            <w:tcBorders>
              <w:top w:val="nil"/>
              <w:left w:val="nil"/>
              <w:bottom w:val="single" w:color="auto" w:sz="4" w:space="0"/>
              <w:right w:val="single" w:color="auto" w:sz="4" w:space="0"/>
            </w:tcBorders>
            <w:shd w:val="clear" w:color="auto" w:fill="auto"/>
            <w:noWrap/>
            <w:vAlign w:val="center"/>
          </w:tcPr>
          <w:p w14:paraId="0F16BF6A">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50</w:t>
            </w:r>
          </w:p>
        </w:tc>
        <w:tc>
          <w:tcPr>
            <w:tcW w:w="367" w:type="pct"/>
            <w:tcBorders>
              <w:top w:val="nil"/>
              <w:left w:val="nil"/>
              <w:bottom w:val="single" w:color="auto" w:sz="4" w:space="0"/>
              <w:right w:val="single" w:color="auto" w:sz="4" w:space="0"/>
            </w:tcBorders>
            <w:shd w:val="clear" w:color="auto" w:fill="auto"/>
            <w:noWrap/>
            <w:vAlign w:val="center"/>
          </w:tcPr>
          <w:p w14:paraId="3F601288">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15</w:t>
            </w:r>
          </w:p>
        </w:tc>
        <w:tc>
          <w:tcPr>
            <w:tcW w:w="377" w:type="pct"/>
            <w:tcBorders>
              <w:top w:val="nil"/>
              <w:left w:val="nil"/>
              <w:bottom w:val="single" w:color="auto" w:sz="8" w:space="0"/>
              <w:right w:val="nil"/>
            </w:tcBorders>
            <w:shd w:val="clear" w:color="auto" w:fill="auto"/>
            <w:noWrap/>
            <w:vAlign w:val="center"/>
          </w:tcPr>
          <w:p w14:paraId="0215520F">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sz w:val="20"/>
                <w:szCs w:val="21"/>
              </w:rPr>
            </w:pPr>
            <w:r>
              <w:rPr>
                <w:color w:val="000000"/>
                <w:sz w:val="18"/>
                <w:szCs w:val="18"/>
              </w:rPr>
              <w:t>　</w:t>
            </w:r>
          </w:p>
        </w:tc>
        <w:tc>
          <w:tcPr>
            <w:tcW w:w="566" w:type="pct"/>
            <w:vMerge w:val="continue"/>
            <w:tcBorders>
              <w:top w:val="nil"/>
              <w:left w:val="single" w:color="auto" w:sz="4" w:space="0"/>
              <w:bottom w:val="single" w:color="auto" w:sz="4" w:space="0"/>
              <w:right w:val="single" w:color="auto" w:sz="4" w:space="0"/>
            </w:tcBorders>
            <w:noWrap/>
            <w:vAlign w:val="center"/>
          </w:tcPr>
          <w:p w14:paraId="0655B169">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r>
      <w:tr w14:paraId="1466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2" w:type="pct"/>
            <w:vMerge w:val="continue"/>
            <w:noWrap/>
            <w:vAlign w:val="center"/>
          </w:tcPr>
          <w:p w14:paraId="590C1FA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olor w:val="000000"/>
                <w:sz w:val="20"/>
                <w:szCs w:val="21"/>
              </w:rPr>
            </w:pPr>
          </w:p>
        </w:tc>
        <w:tc>
          <w:tcPr>
            <w:tcW w:w="411" w:type="pct"/>
            <w:vMerge w:val="continue"/>
            <w:noWrap/>
            <w:vAlign w:val="center"/>
          </w:tcPr>
          <w:p w14:paraId="107F7ABB">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c>
          <w:tcPr>
            <w:tcW w:w="735" w:type="pct"/>
            <w:noWrap/>
            <w:vAlign w:val="center"/>
          </w:tcPr>
          <w:p w14:paraId="49EEB08E">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rFonts w:cs="宋体"/>
                <w:color w:val="000000"/>
                <w:sz w:val="20"/>
                <w:szCs w:val="21"/>
              </w:rPr>
              <w:t>资助事项公示率</w:t>
            </w:r>
            <w:r>
              <w:rPr>
                <w:rFonts w:hint="default" w:cs="宋体"/>
                <w:color w:val="000000"/>
                <w:sz w:val="20"/>
                <w:szCs w:val="21"/>
              </w:rPr>
              <w:t>jlp</w:t>
            </w:r>
          </w:p>
        </w:tc>
        <w:tc>
          <w:tcPr>
            <w:tcW w:w="452" w:type="pct"/>
            <w:tcBorders>
              <w:top w:val="nil"/>
              <w:left w:val="single" w:color="auto" w:sz="4" w:space="0"/>
              <w:bottom w:val="single" w:color="auto" w:sz="4" w:space="0"/>
              <w:right w:val="single" w:color="auto" w:sz="4" w:space="0"/>
            </w:tcBorders>
            <w:shd w:val="clear" w:color="auto" w:fill="auto"/>
            <w:noWrap/>
            <w:vAlign w:val="center"/>
          </w:tcPr>
          <w:p w14:paraId="05B67567">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w:t>
            </w:r>
          </w:p>
        </w:tc>
        <w:tc>
          <w:tcPr>
            <w:tcW w:w="433" w:type="pct"/>
            <w:tcBorders>
              <w:top w:val="nil"/>
              <w:left w:val="nil"/>
              <w:bottom w:val="single" w:color="auto" w:sz="4" w:space="0"/>
              <w:right w:val="single" w:color="auto" w:sz="4" w:space="0"/>
            </w:tcBorders>
            <w:shd w:val="clear" w:color="auto" w:fill="auto"/>
            <w:noWrap/>
            <w:vAlign w:val="center"/>
          </w:tcPr>
          <w:p w14:paraId="63148A9D">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100</w:t>
            </w:r>
          </w:p>
        </w:tc>
        <w:tc>
          <w:tcPr>
            <w:tcW w:w="415" w:type="pct"/>
            <w:tcBorders>
              <w:top w:val="nil"/>
              <w:left w:val="nil"/>
              <w:bottom w:val="single" w:color="auto" w:sz="4" w:space="0"/>
              <w:right w:val="single" w:color="auto" w:sz="4" w:space="0"/>
            </w:tcBorders>
            <w:shd w:val="clear" w:color="auto" w:fill="auto"/>
            <w:noWrap/>
            <w:vAlign w:val="center"/>
          </w:tcPr>
          <w:p w14:paraId="69DAB546">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w:t>
            </w:r>
          </w:p>
        </w:tc>
        <w:tc>
          <w:tcPr>
            <w:tcW w:w="386" w:type="pct"/>
            <w:tcBorders>
              <w:top w:val="nil"/>
              <w:left w:val="nil"/>
              <w:bottom w:val="single" w:color="auto" w:sz="4" w:space="0"/>
              <w:right w:val="single" w:color="auto" w:sz="4" w:space="0"/>
            </w:tcBorders>
            <w:shd w:val="clear" w:color="auto" w:fill="auto"/>
            <w:noWrap/>
            <w:vAlign w:val="center"/>
          </w:tcPr>
          <w:p w14:paraId="38A1D3C7">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15</w:t>
            </w:r>
          </w:p>
        </w:tc>
        <w:tc>
          <w:tcPr>
            <w:tcW w:w="640" w:type="pct"/>
            <w:tcBorders>
              <w:top w:val="nil"/>
              <w:left w:val="nil"/>
              <w:bottom w:val="single" w:color="auto" w:sz="4" w:space="0"/>
              <w:right w:val="single" w:color="auto" w:sz="4" w:space="0"/>
            </w:tcBorders>
            <w:shd w:val="clear" w:color="auto" w:fill="auto"/>
            <w:noWrap/>
            <w:vAlign w:val="center"/>
          </w:tcPr>
          <w:p w14:paraId="46BC8197">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100</w:t>
            </w:r>
          </w:p>
        </w:tc>
        <w:tc>
          <w:tcPr>
            <w:tcW w:w="367" w:type="pct"/>
            <w:tcBorders>
              <w:top w:val="nil"/>
              <w:left w:val="nil"/>
              <w:bottom w:val="single" w:color="auto" w:sz="4" w:space="0"/>
              <w:right w:val="single" w:color="auto" w:sz="4" w:space="0"/>
            </w:tcBorders>
            <w:shd w:val="clear" w:color="auto" w:fill="auto"/>
            <w:noWrap/>
            <w:vAlign w:val="center"/>
          </w:tcPr>
          <w:p w14:paraId="10DBFBB1">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15</w:t>
            </w:r>
          </w:p>
        </w:tc>
        <w:tc>
          <w:tcPr>
            <w:tcW w:w="377" w:type="pct"/>
            <w:tcBorders>
              <w:top w:val="nil"/>
              <w:left w:val="nil"/>
              <w:bottom w:val="single" w:color="auto" w:sz="8" w:space="0"/>
              <w:right w:val="nil"/>
            </w:tcBorders>
            <w:shd w:val="clear" w:color="auto" w:fill="auto"/>
            <w:noWrap/>
            <w:vAlign w:val="center"/>
          </w:tcPr>
          <w:p w14:paraId="1C36E9E6">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sz w:val="20"/>
                <w:szCs w:val="21"/>
              </w:rPr>
            </w:pPr>
            <w:r>
              <w:rPr>
                <w:color w:val="000000"/>
                <w:sz w:val="18"/>
                <w:szCs w:val="18"/>
              </w:rPr>
              <w:t>　</w:t>
            </w:r>
          </w:p>
        </w:tc>
        <w:tc>
          <w:tcPr>
            <w:tcW w:w="566" w:type="pct"/>
            <w:vMerge w:val="continue"/>
            <w:tcBorders>
              <w:top w:val="nil"/>
              <w:left w:val="single" w:color="auto" w:sz="4" w:space="0"/>
              <w:bottom w:val="single" w:color="auto" w:sz="4" w:space="0"/>
              <w:right w:val="single" w:color="auto" w:sz="4" w:space="0"/>
            </w:tcBorders>
            <w:noWrap/>
            <w:vAlign w:val="center"/>
          </w:tcPr>
          <w:p w14:paraId="5A567768">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r>
      <w:tr w14:paraId="0807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2" w:type="pct"/>
            <w:vMerge w:val="continue"/>
            <w:noWrap/>
            <w:vAlign w:val="center"/>
          </w:tcPr>
          <w:p w14:paraId="149213E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olor w:val="000000"/>
                <w:sz w:val="20"/>
                <w:szCs w:val="21"/>
              </w:rPr>
            </w:pPr>
          </w:p>
        </w:tc>
        <w:tc>
          <w:tcPr>
            <w:tcW w:w="411" w:type="pct"/>
            <w:vMerge w:val="continue"/>
            <w:noWrap/>
            <w:vAlign w:val="center"/>
          </w:tcPr>
          <w:p w14:paraId="73A05235">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c>
          <w:tcPr>
            <w:tcW w:w="735" w:type="pct"/>
            <w:noWrap/>
            <w:vAlign w:val="center"/>
          </w:tcPr>
          <w:p w14:paraId="4BD2698E">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rFonts w:cs="宋体"/>
                <w:color w:val="000000"/>
                <w:sz w:val="20"/>
                <w:szCs w:val="21"/>
              </w:rPr>
              <w:t>减轻困难家庭负担</w:t>
            </w:r>
          </w:p>
        </w:tc>
        <w:tc>
          <w:tcPr>
            <w:tcW w:w="452" w:type="pct"/>
            <w:tcBorders>
              <w:top w:val="nil"/>
              <w:left w:val="single" w:color="auto" w:sz="4" w:space="0"/>
              <w:bottom w:val="single" w:color="auto" w:sz="4" w:space="0"/>
              <w:right w:val="single" w:color="auto" w:sz="4" w:space="0"/>
            </w:tcBorders>
            <w:shd w:val="clear" w:color="auto" w:fill="auto"/>
            <w:noWrap/>
            <w:vAlign w:val="center"/>
          </w:tcPr>
          <w:p w14:paraId="3FB0CF9E">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w:t>
            </w:r>
          </w:p>
        </w:tc>
        <w:tc>
          <w:tcPr>
            <w:tcW w:w="433" w:type="pct"/>
            <w:tcBorders>
              <w:top w:val="nil"/>
              <w:left w:val="nil"/>
              <w:bottom w:val="single" w:color="auto" w:sz="4" w:space="0"/>
              <w:right w:val="single" w:color="auto" w:sz="4" w:space="0"/>
            </w:tcBorders>
            <w:shd w:val="clear" w:color="auto" w:fill="auto"/>
            <w:noWrap/>
            <w:vAlign w:val="center"/>
          </w:tcPr>
          <w:p w14:paraId="2DC33CC9">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100</w:t>
            </w:r>
          </w:p>
        </w:tc>
        <w:tc>
          <w:tcPr>
            <w:tcW w:w="415" w:type="pct"/>
            <w:tcBorders>
              <w:top w:val="nil"/>
              <w:left w:val="nil"/>
              <w:bottom w:val="single" w:color="auto" w:sz="4" w:space="0"/>
              <w:right w:val="single" w:color="auto" w:sz="4" w:space="0"/>
            </w:tcBorders>
            <w:shd w:val="clear" w:color="auto" w:fill="auto"/>
            <w:noWrap/>
            <w:vAlign w:val="center"/>
          </w:tcPr>
          <w:p w14:paraId="2A2B7732">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w:t>
            </w:r>
          </w:p>
        </w:tc>
        <w:tc>
          <w:tcPr>
            <w:tcW w:w="386" w:type="pct"/>
            <w:tcBorders>
              <w:top w:val="nil"/>
              <w:left w:val="nil"/>
              <w:bottom w:val="single" w:color="auto" w:sz="4" w:space="0"/>
              <w:right w:val="single" w:color="auto" w:sz="4" w:space="0"/>
            </w:tcBorders>
            <w:shd w:val="clear" w:color="auto" w:fill="auto"/>
            <w:noWrap/>
            <w:vAlign w:val="center"/>
          </w:tcPr>
          <w:p w14:paraId="376406C9">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20</w:t>
            </w:r>
          </w:p>
        </w:tc>
        <w:tc>
          <w:tcPr>
            <w:tcW w:w="640" w:type="pct"/>
            <w:tcBorders>
              <w:top w:val="nil"/>
              <w:left w:val="nil"/>
              <w:bottom w:val="single" w:color="auto" w:sz="4" w:space="0"/>
              <w:right w:val="single" w:color="auto" w:sz="4" w:space="0"/>
            </w:tcBorders>
            <w:shd w:val="clear" w:color="auto" w:fill="auto"/>
            <w:noWrap/>
            <w:vAlign w:val="center"/>
          </w:tcPr>
          <w:p w14:paraId="753D574E">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100</w:t>
            </w:r>
          </w:p>
        </w:tc>
        <w:tc>
          <w:tcPr>
            <w:tcW w:w="367" w:type="pct"/>
            <w:tcBorders>
              <w:top w:val="nil"/>
              <w:left w:val="nil"/>
              <w:bottom w:val="single" w:color="auto" w:sz="4" w:space="0"/>
              <w:right w:val="single" w:color="auto" w:sz="4" w:space="0"/>
            </w:tcBorders>
            <w:shd w:val="clear" w:color="auto" w:fill="auto"/>
            <w:noWrap/>
            <w:vAlign w:val="center"/>
          </w:tcPr>
          <w:p w14:paraId="097F6E97">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20</w:t>
            </w:r>
          </w:p>
        </w:tc>
        <w:tc>
          <w:tcPr>
            <w:tcW w:w="377" w:type="pct"/>
            <w:tcBorders>
              <w:top w:val="nil"/>
              <w:left w:val="nil"/>
              <w:bottom w:val="single" w:color="auto" w:sz="8" w:space="0"/>
              <w:right w:val="nil"/>
            </w:tcBorders>
            <w:shd w:val="clear" w:color="auto" w:fill="auto"/>
            <w:noWrap/>
            <w:vAlign w:val="center"/>
          </w:tcPr>
          <w:p w14:paraId="1C326C43">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sz w:val="20"/>
                <w:szCs w:val="21"/>
              </w:rPr>
            </w:pPr>
            <w:r>
              <w:rPr>
                <w:color w:val="000000"/>
                <w:sz w:val="18"/>
                <w:szCs w:val="18"/>
              </w:rPr>
              <w:t>　</w:t>
            </w:r>
          </w:p>
        </w:tc>
        <w:tc>
          <w:tcPr>
            <w:tcW w:w="566" w:type="pct"/>
            <w:vMerge w:val="continue"/>
            <w:tcBorders>
              <w:top w:val="nil"/>
              <w:left w:val="single" w:color="auto" w:sz="4" w:space="0"/>
              <w:bottom w:val="single" w:color="auto" w:sz="4" w:space="0"/>
              <w:right w:val="single" w:color="auto" w:sz="4" w:space="0"/>
            </w:tcBorders>
            <w:noWrap/>
            <w:vAlign w:val="center"/>
          </w:tcPr>
          <w:p w14:paraId="5A29D1D6">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r>
      <w:tr w14:paraId="7BCD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2" w:type="pct"/>
            <w:vMerge w:val="continue"/>
            <w:noWrap/>
            <w:vAlign w:val="center"/>
          </w:tcPr>
          <w:p w14:paraId="5E4159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olor w:val="000000"/>
                <w:sz w:val="20"/>
                <w:szCs w:val="21"/>
              </w:rPr>
            </w:pPr>
          </w:p>
        </w:tc>
        <w:tc>
          <w:tcPr>
            <w:tcW w:w="411" w:type="pct"/>
            <w:vMerge w:val="continue"/>
            <w:noWrap/>
            <w:vAlign w:val="center"/>
          </w:tcPr>
          <w:p w14:paraId="2F6B1A0D">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c>
          <w:tcPr>
            <w:tcW w:w="735" w:type="pct"/>
            <w:noWrap/>
            <w:vAlign w:val="center"/>
          </w:tcPr>
          <w:p w14:paraId="34E2069F">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rFonts w:cs="宋体"/>
                <w:color w:val="000000"/>
                <w:sz w:val="20"/>
                <w:szCs w:val="21"/>
              </w:rPr>
              <w:t>受助学生满意度</w:t>
            </w:r>
          </w:p>
        </w:tc>
        <w:tc>
          <w:tcPr>
            <w:tcW w:w="452" w:type="pct"/>
            <w:tcBorders>
              <w:top w:val="nil"/>
              <w:left w:val="single" w:color="auto" w:sz="4" w:space="0"/>
              <w:bottom w:val="single" w:color="auto" w:sz="4" w:space="0"/>
              <w:right w:val="single" w:color="auto" w:sz="4" w:space="0"/>
            </w:tcBorders>
            <w:shd w:val="clear" w:color="auto" w:fill="auto"/>
            <w:noWrap/>
            <w:vAlign w:val="center"/>
          </w:tcPr>
          <w:p w14:paraId="39FAA589">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w:t>
            </w:r>
          </w:p>
        </w:tc>
        <w:tc>
          <w:tcPr>
            <w:tcW w:w="433" w:type="pct"/>
            <w:tcBorders>
              <w:top w:val="nil"/>
              <w:left w:val="nil"/>
              <w:bottom w:val="single" w:color="auto" w:sz="4" w:space="0"/>
              <w:right w:val="single" w:color="auto" w:sz="4" w:space="0"/>
            </w:tcBorders>
            <w:shd w:val="clear" w:color="auto" w:fill="auto"/>
            <w:noWrap/>
            <w:vAlign w:val="center"/>
          </w:tcPr>
          <w:p w14:paraId="57C7A926">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98</w:t>
            </w:r>
          </w:p>
        </w:tc>
        <w:tc>
          <w:tcPr>
            <w:tcW w:w="415" w:type="pct"/>
            <w:tcBorders>
              <w:top w:val="nil"/>
              <w:left w:val="nil"/>
              <w:bottom w:val="single" w:color="auto" w:sz="4" w:space="0"/>
              <w:right w:val="single" w:color="auto" w:sz="4" w:space="0"/>
            </w:tcBorders>
            <w:shd w:val="clear" w:color="auto" w:fill="auto"/>
            <w:noWrap/>
            <w:vAlign w:val="center"/>
          </w:tcPr>
          <w:p w14:paraId="24226639">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w:t>
            </w:r>
          </w:p>
        </w:tc>
        <w:tc>
          <w:tcPr>
            <w:tcW w:w="386" w:type="pct"/>
            <w:tcBorders>
              <w:top w:val="nil"/>
              <w:left w:val="nil"/>
              <w:bottom w:val="single" w:color="auto" w:sz="4" w:space="0"/>
              <w:right w:val="single" w:color="auto" w:sz="4" w:space="0"/>
            </w:tcBorders>
            <w:shd w:val="clear" w:color="auto" w:fill="auto"/>
            <w:noWrap/>
            <w:vAlign w:val="center"/>
          </w:tcPr>
          <w:p w14:paraId="26F2C31C">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10</w:t>
            </w:r>
          </w:p>
        </w:tc>
        <w:tc>
          <w:tcPr>
            <w:tcW w:w="640" w:type="pct"/>
            <w:tcBorders>
              <w:top w:val="nil"/>
              <w:left w:val="nil"/>
              <w:bottom w:val="single" w:color="auto" w:sz="4" w:space="0"/>
              <w:right w:val="single" w:color="auto" w:sz="4" w:space="0"/>
            </w:tcBorders>
            <w:shd w:val="clear" w:color="auto" w:fill="auto"/>
            <w:noWrap/>
            <w:vAlign w:val="center"/>
          </w:tcPr>
          <w:p w14:paraId="5C7022D7">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98</w:t>
            </w:r>
          </w:p>
        </w:tc>
        <w:tc>
          <w:tcPr>
            <w:tcW w:w="367" w:type="pct"/>
            <w:tcBorders>
              <w:top w:val="nil"/>
              <w:left w:val="nil"/>
              <w:bottom w:val="single" w:color="auto" w:sz="4" w:space="0"/>
              <w:right w:val="single" w:color="auto" w:sz="4" w:space="0"/>
            </w:tcBorders>
            <w:shd w:val="clear" w:color="auto" w:fill="auto"/>
            <w:noWrap/>
            <w:vAlign w:val="center"/>
          </w:tcPr>
          <w:p w14:paraId="750B99CB">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r>
              <w:rPr>
                <w:color w:val="000000"/>
                <w:sz w:val="20"/>
                <w:szCs w:val="20"/>
              </w:rPr>
              <w:t>10</w:t>
            </w:r>
          </w:p>
        </w:tc>
        <w:tc>
          <w:tcPr>
            <w:tcW w:w="377" w:type="pct"/>
            <w:tcBorders>
              <w:top w:val="nil"/>
              <w:left w:val="nil"/>
              <w:bottom w:val="single" w:color="auto" w:sz="8" w:space="0"/>
              <w:right w:val="nil"/>
            </w:tcBorders>
            <w:shd w:val="clear" w:color="auto" w:fill="auto"/>
            <w:noWrap/>
            <w:vAlign w:val="center"/>
          </w:tcPr>
          <w:p w14:paraId="08C9ACFB">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sz w:val="20"/>
                <w:szCs w:val="21"/>
              </w:rPr>
            </w:pPr>
            <w:r>
              <w:rPr>
                <w:color w:val="000000"/>
                <w:sz w:val="18"/>
                <w:szCs w:val="18"/>
              </w:rPr>
              <w:t>　</w:t>
            </w:r>
          </w:p>
        </w:tc>
        <w:tc>
          <w:tcPr>
            <w:tcW w:w="566" w:type="pct"/>
            <w:vMerge w:val="continue"/>
            <w:tcBorders>
              <w:top w:val="nil"/>
              <w:left w:val="single" w:color="auto" w:sz="4" w:space="0"/>
              <w:bottom w:val="single" w:color="auto" w:sz="4" w:space="0"/>
              <w:right w:val="single" w:color="auto" w:sz="4" w:space="0"/>
            </w:tcBorders>
            <w:noWrap/>
            <w:vAlign w:val="center"/>
          </w:tcPr>
          <w:p w14:paraId="29FBDDBD">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sz w:val="20"/>
                <w:szCs w:val="21"/>
              </w:rPr>
            </w:pPr>
          </w:p>
        </w:tc>
      </w:tr>
    </w:tbl>
    <w:p w14:paraId="18708CBC">
      <w:pPr>
        <w:widowControl w:val="0"/>
        <w:tabs>
          <w:tab w:val="center" w:pos="4153"/>
          <w:tab w:val="left" w:pos="7275"/>
        </w:tabs>
        <w:spacing w:line="596" w:lineRule="exact"/>
        <w:ind w:firstLine="640" w:firstLineChars="200"/>
        <w:jc w:val="both"/>
        <w:rPr>
          <w:rFonts w:hint="default" w:ascii="Times New Roman" w:hAnsi="Times New Roman" w:eastAsia="方正楷体_GBK" w:cs="宋体"/>
          <w:sz w:val="32"/>
          <w:szCs w:val="32"/>
        </w:rPr>
      </w:pPr>
      <w:r>
        <w:rPr>
          <w:rFonts w:ascii="Times New Roman" w:hAnsi="Times New Roman" w:eastAsia="方正楷体_GBK" w:cs="宋体"/>
          <w:sz w:val="32"/>
          <w:szCs w:val="32"/>
        </w:rPr>
        <w:t>（二）单位重点绩效评价情况</w:t>
      </w:r>
    </w:p>
    <w:p w14:paraId="66900C49">
      <w:pPr>
        <w:widowControl w:val="0"/>
        <w:tabs>
          <w:tab w:val="center" w:pos="4153"/>
          <w:tab w:val="left" w:pos="7275"/>
        </w:tabs>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我单位对2024年学前教育家庭经济困难幼儿资助专项经费开展了绩效评价，涉及财政拨款项目资金1.45万元，评价得分100分，评价等次为优。绩效评价充分利用“全国学生资助管理系统”（222.180.174.52）“重庆市学生资助与经费监管平台”（www.cqxszz.org.cn）和重庆市脱贫农户公开查询系统（http://aaa.fpb.cq.gov.cn:8100/plbd/loginPublic），结合九龙坡区教育资助政策告知书回执单，进一步识别学生身份、摸清家庭经济困难学生底数。秉承“公平、公正、公开”的原则，按照《重庆市九龙坡区家庭经济困难学生认定办法》（九龙坡教资〔2019〕6号）《重庆市九龙坡区教育委员会关于印发重庆市九龙坡区“其他类”家庭经济困难学生认定指导意见的通知》（九龙坡教资〔2022〕2号）中规定的家庭经济困难学生认定依据、认定方法、认定程序填写《重庆市九龙坡区家庭经济困难学生认定及资助申请表》，同时开展家庭经济困难学生的认定，确保已脱贫家庭学生、最低生活保障家庭学生、特困供养学生、烈士子女、家庭经济困难残疾学生和残疾人子女等家庭经济困难学生资助全覆盖。对于主动放弃的家庭经济困难学生要留存好相关的印证材料。</w:t>
      </w:r>
    </w:p>
    <w:p w14:paraId="0E3C963D">
      <w:pPr>
        <w:widowControl w:val="0"/>
        <w:tabs>
          <w:tab w:val="center" w:pos="4153"/>
          <w:tab w:val="left" w:pos="7275"/>
        </w:tabs>
        <w:spacing w:line="600" w:lineRule="exact"/>
        <w:ind w:firstLine="640" w:firstLineChars="200"/>
        <w:jc w:val="both"/>
        <w:rPr>
          <w:rFonts w:ascii="Times New Roman" w:hAnsi="Times New Roman" w:eastAsia="方正仿宋_GBK" w:cs="宋体"/>
          <w:sz w:val="32"/>
          <w:szCs w:val="32"/>
        </w:rPr>
      </w:pPr>
      <w:r>
        <w:rPr>
          <w:rFonts w:ascii="Times New Roman" w:hAnsi="Times New Roman" w:eastAsia="方正仿宋_GBK" w:cs="宋体"/>
          <w:sz w:val="32"/>
          <w:szCs w:val="32"/>
        </w:rPr>
        <w:t>我单位2024年学前教育家族经济困难幼儿资助项目是根据九龙坡教资〔2023〕3号文件精神，落实我园家庭经济困难幼儿的在校学习和生活的基本支出。资金投入14500元，资助3名幼儿2024年上半年的保育保教费9000元、伙食费5500元。3名幼儿直接免费入学（免保育保教费和伙食费），实施情况良好。</w:t>
      </w:r>
    </w:p>
    <w:p w14:paraId="1C8000C3">
      <w:pPr>
        <w:widowControl w:val="0"/>
        <w:tabs>
          <w:tab w:val="center" w:pos="4153"/>
          <w:tab w:val="left" w:pos="7275"/>
        </w:tabs>
        <w:spacing w:line="600" w:lineRule="exact"/>
        <w:ind w:firstLine="640" w:firstLineChars="200"/>
        <w:jc w:val="both"/>
        <w:rPr>
          <w:rFonts w:hint="default" w:ascii="Times New Roman" w:hAnsi="Times New Roman" w:eastAsia="方正楷体_GBK" w:cs="宋体"/>
          <w:sz w:val="32"/>
          <w:szCs w:val="32"/>
        </w:rPr>
      </w:pPr>
      <w:r>
        <w:rPr>
          <w:rFonts w:hint="eastAsia" w:ascii="Times New Roman" w:hAnsi="Times New Roman" w:eastAsia="方正楷体_GBK" w:cs="方正楷体_GBK"/>
          <w:sz w:val="32"/>
          <w:szCs w:val="32"/>
        </w:rPr>
        <w:t>（三）</w:t>
      </w:r>
      <w:r>
        <w:rPr>
          <w:rFonts w:ascii="Times New Roman" w:hAnsi="Times New Roman" w:eastAsia="方正楷体_GBK" w:cs="宋体"/>
          <w:sz w:val="32"/>
          <w:szCs w:val="32"/>
        </w:rPr>
        <w:t>财政绩效评价情况</w:t>
      </w:r>
    </w:p>
    <w:p w14:paraId="4F300243">
      <w:pPr>
        <w:widowControl w:val="0"/>
        <w:tabs>
          <w:tab w:val="center" w:pos="4153"/>
          <w:tab w:val="left" w:pos="7275"/>
        </w:tabs>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财政重点绩效评价由区财政局统一公开。</w:t>
      </w:r>
    </w:p>
    <w:p w14:paraId="30BB5621">
      <w:pPr>
        <w:widowControl w:val="0"/>
        <w:spacing w:line="600" w:lineRule="exact"/>
        <w:ind w:firstLine="630"/>
        <w:jc w:val="both"/>
        <w:rPr>
          <w:rFonts w:hint="default" w:ascii="Times New Roman" w:hAnsi="Times New Roman" w:eastAsia="方正黑体_GBK" w:cs="宋体"/>
          <w:bCs/>
          <w:sz w:val="32"/>
          <w:szCs w:val="20"/>
        </w:rPr>
      </w:pPr>
      <w:r>
        <w:rPr>
          <w:rFonts w:ascii="Times New Roman" w:hAnsi="Times New Roman" w:eastAsia="方正黑体_GBK" w:cs="宋体"/>
          <w:bCs/>
          <w:sz w:val="32"/>
          <w:szCs w:val="20"/>
        </w:rPr>
        <w:t>六、专业名词解释</w:t>
      </w:r>
    </w:p>
    <w:p w14:paraId="7C1CB996">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（一）财政拨款收入：</w:t>
      </w:r>
      <w:r>
        <w:rPr>
          <w:rFonts w:ascii="Times New Roman" w:hAnsi="Times New Roman" w:eastAsia="方正仿宋_GBK" w:cs="宋体"/>
          <w:sz w:val="32"/>
          <w:szCs w:val="32"/>
        </w:rPr>
        <w:t>指本年度从本级财政部门取得的财政拨款，包括一般公共预算财政拨款和政府性基金预算财政拨款。</w:t>
      </w:r>
    </w:p>
    <w:p w14:paraId="6517D6FB">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（二）事业收入：</w:t>
      </w:r>
      <w:r>
        <w:rPr>
          <w:rFonts w:ascii="Times New Roman" w:hAnsi="Times New Roman" w:eastAsia="方正仿宋_GBK" w:cs="宋体"/>
          <w:sz w:val="32"/>
          <w:szCs w:val="32"/>
        </w:rPr>
        <w:t>指事业单位开展专业业务活动及其辅助活动取得的现金流入；事业单位收到的财政专户实际核拨的教育收费等资金在此反映。</w:t>
      </w:r>
    </w:p>
    <w:p w14:paraId="39FBE2D2">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（三）经营收入：</w:t>
      </w:r>
      <w:r>
        <w:rPr>
          <w:rFonts w:ascii="Times New Roman" w:hAnsi="Times New Roman" w:eastAsia="方正仿宋_GBK" w:cs="宋体"/>
          <w:sz w:val="32"/>
          <w:szCs w:val="32"/>
        </w:rPr>
        <w:t>指事业单位在专业业务活动及其辅助活动之外开展非独立核算经营活动取得的现金流入。</w:t>
      </w:r>
    </w:p>
    <w:p w14:paraId="61F0381F">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（四）其他收入：</w:t>
      </w:r>
      <w:r>
        <w:rPr>
          <w:rFonts w:ascii="Times New Roman" w:hAnsi="Times New Roman" w:eastAsia="方正仿宋_GBK" w:cs="宋体"/>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29880DD">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（五）</w:t>
      </w:r>
      <w:r>
        <w:rPr>
          <w:rFonts w:ascii="Times New Roman" w:hAnsi="Times New Roman" w:eastAsia="方正楷体_GBK" w:cs="宋体"/>
          <w:sz w:val="32"/>
          <w:szCs w:val="32"/>
        </w:rPr>
        <w:t>使用非财政拨款结余</w:t>
      </w:r>
      <w:r>
        <w:rPr>
          <w:rFonts w:ascii="Times New Roman" w:hAnsi="Times New Roman" w:eastAsia="方正仿宋_GBK" w:cs="宋体"/>
          <w:sz w:val="32"/>
          <w:szCs w:val="32"/>
        </w:rPr>
        <w:t>：指单位在当年的“财政拨款收入”、“事业收入”、“经营收入”、“其他收入”等不足以安排当年支出的情况下，使用以前年度积累的非财政拨款结余弥补本年度收支缺口的资金。</w:t>
      </w:r>
    </w:p>
    <w:p w14:paraId="27F786D5">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（六）年</w:t>
      </w:r>
      <w:r>
        <w:rPr>
          <w:rFonts w:ascii="Times New Roman" w:hAnsi="Times New Roman" w:eastAsia="方正楷体_GBK" w:cs="宋体"/>
          <w:sz w:val="32"/>
          <w:szCs w:val="32"/>
        </w:rPr>
        <w:t>初结转和结余</w:t>
      </w:r>
      <w:r>
        <w:rPr>
          <w:rFonts w:ascii="Times New Roman" w:hAnsi="Times New Roman" w:eastAsia="方正仿宋_GBK" w:cs="宋体"/>
          <w:sz w:val="32"/>
          <w:szCs w:val="32"/>
        </w:rPr>
        <w:t>：指单位上年结转本年使用的基本支出结转、项目支出结转和结余、经营结余。</w:t>
      </w:r>
    </w:p>
    <w:p w14:paraId="7BA874EC">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（七）结余</w:t>
      </w:r>
      <w:r>
        <w:rPr>
          <w:rFonts w:ascii="Times New Roman" w:hAnsi="Times New Roman" w:eastAsia="方正楷体_GBK" w:cs="宋体"/>
          <w:sz w:val="32"/>
          <w:szCs w:val="32"/>
        </w:rPr>
        <w:t>分配：</w:t>
      </w:r>
      <w:r>
        <w:rPr>
          <w:rFonts w:ascii="Times New Roman" w:hAnsi="Times New Roman" w:eastAsia="方正仿宋_GBK" w:cs="宋体"/>
          <w:sz w:val="32"/>
          <w:szCs w:val="32"/>
        </w:rPr>
        <w:t>指单位按照国家有关规定，缴纳所得税、提取专用基金、转入非财政拨款结余等当年结余的分配情况。</w:t>
      </w:r>
    </w:p>
    <w:p w14:paraId="2FB168D9">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（八）年末</w:t>
      </w:r>
      <w:r>
        <w:rPr>
          <w:rFonts w:ascii="Times New Roman" w:hAnsi="Times New Roman" w:eastAsia="方正楷体_GBK" w:cs="宋体"/>
          <w:sz w:val="32"/>
          <w:szCs w:val="32"/>
        </w:rPr>
        <w:t>结转和结余：</w:t>
      </w:r>
      <w:r>
        <w:rPr>
          <w:rFonts w:ascii="Times New Roman" w:hAnsi="Times New Roman" w:eastAsia="方正仿宋_GBK" w:cs="宋体"/>
          <w:sz w:val="32"/>
          <w:szCs w:val="32"/>
        </w:rPr>
        <w:t>指单位结转下年的基本支出结转、项目支出结转和结余、经营结余。</w:t>
      </w:r>
    </w:p>
    <w:p w14:paraId="062A4C41">
      <w:pPr>
        <w:widowControl w:val="0"/>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（九）基本</w:t>
      </w:r>
      <w:r>
        <w:rPr>
          <w:rFonts w:ascii="Times New Roman" w:hAnsi="Times New Roman" w:eastAsia="方正楷体_GBK" w:cs="宋体"/>
          <w:sz w:val="32"/>
          <w:szCs w:val="32"/>
        </w:rPr>
        <w:t>支出：</w:t>
      </w:r>
      <w:r>
        <w:rPr>
          <w:rFonts w:ascii="Times New Roman" w:hAnsi="Times New Roman" w:eastAsia="方正仿宋_GBK" w:cs="宋体"/>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6E4AF40">
      <w:pPr>
        <w:widowControl w:val="0"/>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（十）项</w:t>
      </w:r>
      <w:r>
        <w:rPr>
          <w:rFonts w:ascii="Times New Roman" w:hAnsi="Times New Roman" w:eastAsia="方正楷体_GBK" w:cs="宋体"/>
          <w:sz w:val="32"/>
          <w:szCs w:val="32"/>
        </w:rPr>
        <w:t>目支出：</w:t>
      </w:r>
      <w:r>
        <w:rPr>
          <w:rFonts w:ascii="Times New Roman" w:hAnsi="Times New Roman" w:eastAsia="方正仿宋_GBK" w:cs="宋体"/>
          <w:sz w:val="32"/>
          <w:szCs w:val="32"/>
        </w:rPr>
        <w:t>指在基本支出之外为完成特定行政任务和事业发展目标所发生的支出。</w:t>
      </w:r>
    </w:p>
    <w:p w14:paraId="7177DD50">
      <w:pPr>
        <w:widowControl w:val="0"/>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（十一）经</w:t>
      </w:r>
      <w:r>
        <w:rPr>
          <w:rFonts w:ascii="Times New Roman" w:hAnsi="Times New Roman" w:eastAsia="方正楷体_GBK" w:cs="宋体"/>
          <w:sz w:val="32"/>
          <w:szCs w:val="32"/>
        </w:rPr>
        <w:t>营支出：</w:t>
      </w:r>
      <w:r>
        <w:rPr>
          <w:rFonts w:ascii="Times New Roman" w:hAnsi="Times New Roman" w:eastAsia="方正仿宋_GBK" w:cs="宋体"/>
          <w:sz w:val="32"/>
          <w:szCs w:val="32"/>
        </w:rPr>
        <w:t>指事业单位在专业业务活动及其辅助活动之外开展非独立核算经营活动发生的支出。</w:t>
      </w:r>
    </w:p>
    <w:p w14:paraId="0C1893A4">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（十二）“</w:t>
      </w:r>
      <w:r>
        <w:rPr>
          <w:rFonts w:ascii="Times New Roman" w:hAnsi="Times New Roman" w:eastAsia="方正楷体_GBK" w:cs="宋体"/>
          <w:sz w:val="32"/>
          <w:szCs w:val="32"/>
        </w:rPr>
        <w:t>三公”经费：</w:t>
      </w:r>
      <w:r>
        <w:rPr>
          <w:rFonts w:ascii="Times New Roman" w:hAnsi="Times New Roman" w:eastAsia="方正仿宋_GBK" w:cs="宋体"/>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379A53">
      <w:pPr>
        <w:spacing w:line="600" w:lineRule="exact"/>
        <w:ind w:firstLine="627" w:firstLineChars="196"/>
        <w:jc w:val="both"/>
        <w:rPr>
          <w:rFonts w:hint="default" w:ascii="Times New Roman" w:hAnsi="Times New Roman" w:eastAsia="方正仿宋_GBK" w:cs="宋体"/>
          <w:sz w:val="32"/>
          <w:szCs w:val="32"/>
        </w:rPr>
      </w:pPr>
      <w:r>
        <w:rPr>
          <w:rFonts w:hint="eastAsia" w:ascii="Times New Roman" w:hAnsi="Times New Roman" w:eastAsia="方正楷体_GBK" w:cs="方正楷体_GBK"/>
          <w:sz w:val="32"/>
          <w:szCs w:val="32"/>
        </w:rPr>
        <w:t>（十三）机</w:t>
      </w:r>
      <w:r>
        <w:rPr>
          <w:rFonts w:ascii="Times New Roman" w:hAnsi="Times New Roman" w:eastAsia="方正楷体_GBK" w:cs="宋体"/>
          <w:sz w:val="32"/>
          <w:szCs w:val="32"/>
        </w:rPr>
        <w:t>关运行经费：</w:t>
      </w:r>
      <w:r>
        <w:rPr>
          <w:rFonts w:ascii="Times New Roman" w:hAnsi="Times New Roman" w:eastAsia="方正仿宋_GBK" w:cs="宋体"/>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071C9E">
      <w:pPr>
        <w:spacing w:line="600" w:lineRule="exact"/>
        <w:ind w:firstLine="630" w:firstLineChars="196"/>
        <w:jc w:val="both"/>
        <w:rPr>
          <w:rFonts w:hint="default" w:ascii="Times New Roman" w:hAnsi="Times New Roman" w:eastAsia="方正仿宋_GBK" w:cs="宋体"/>
          <w:sz w:val="32"/>
          <w:szCs w:val="32"/>
        </w:rPr>
      </w:pPr>
      <w:r>
        <w:rPr>
          <w:rFonts w:ascii="Times New Roman" w:hAnsi="Times New Roman" w:eastAsia="方正仿宋_GBK" w:cs="宋体"/>
          <w:b/>
          <w:bCs/>
          <w:sz w:val="32"/>
          <w:szCs w:val="20"/>
        </w:rPr>
        <w:t>（</w:t>
      </w:r>
      <w:r>
        <w:rPr>
          <w:rFonts w:ascii="Times New Roman" w:hAnsi="Times New Roman" w:eastAsia="方正楷体_GBK" w:cs="宋体"/>
          <w:sz w:val="32"/>
          <w:szCs w:val="32"/>
        </w:rPr>
        <w:t>十四）工资福利支出（支出经济分类科目类级）：</w:t>
      </w:r>
      <w:r>
        <w:rPr>
          <w:rFonts w:ascii="Times New Roman" w:hAnsi="Times New Roman" w:eastAsia="方正仿宋_GBK" w:cs="宋体"/>
          <w:sz w:val="32"/>
          <w:szCs w:val="32"/>
        </w:rPr>
        <w:t>反映单位开支的在职职工和编制外长期聘用人员的各类劳动报酬，以及为上述人员缴纳的各项社会保险费等。</w:t>
      </w:r>
    </w:p>
    <w:p w14:paraId="7607BDAC">
      <w:pPr>
        <w:spacing w:line="600" w:lineRule="exact"/>
        <w:ind w:firstLine="627" w:firstLineChars="196"/>
        <w:jc w:val="both"/>
        <w:rPr>
          <w:rFonts w:hint="default" w:ascii="Times New Roman" w:hAnsi="Times New Roman" w:eastAsia="方正仿宋_GBK" w:cs="宋体"/>
          <w:sz w:val="32"/>
          <w:szCs w:val="32"/>
        </w:rPr>
      </w:pPr>
      <w:r>
        <w:rPr>
          <w:rFonts w:ascii="Times New Roman" w:hAnsi="Times New Roman" w:eastAsia="方正楷体_GBK" w:cs="宋体"/>
          <w:sz w:val="32"/>
          <w:szCs w:val="32"/>
        </w:rPr>
        <w:t>（十五）商品和服务支出（支出经济分类科目类级）：</w:t>
      </w:r>
      <w:r>
        <w:rPr>
          <w:rFonts w:ascii="Times New Roman" w:hAnsi="Times New Roman" w:eastAsia="方正仿宋_GBK" w:cs="宋体"/>
          <w:sz w:val="32"/>
          <w:szCs w:val="32"/>
        </w:rPr>
        <w:t>反映单位购买商品和服务的支出（不包括用于购置固定资产的支出、战略性和应急储备支出）。</w:t>
      </w:r>
    </w:p>
    <w:p w14:paraId="01C3F760">
      <w:pPr>
        <w:spacing w:line="600" w:lineRule="exact"/>
        <w:ind w:firstLine="627" w:firstLineChars="196"/>
        <w:jc w:val="both"/>
        <w:rPr>
          <w:rFonts w:hint="default" w:ascii="Times New Roman" w:hAnsi="Times New Roman" w:eastAsia="方正仿宋_GBK" w:cs="宋体"/>
          <w:sz w:val="32"/>
          <w:szCs w:val="32"/>
        </w:rPr>
      </w:pPr>
      <w:r>
        <w:rPr>
          <w:rFonts w:ascii="Times New Roman" w:hAnsi="Times New Roman" w:eastAsia="方正楷体_GBK" w:cs="宋体"/>
          <w:sz w:val="32"/>
          <w:szCs w:val="32"/>
        </w:rPr>
        <w:t>（十六）对个人和家庭的补助（支出经济分类科目类级）：</w:t>
      </w:r>
      <w:r>
        <w:rPr>
          <w:rFonts w:ascii="Times New Roman" w:hAnsi="Times New Roman" w:eastAsia="方正仿宋_GBK" w:cs="宋体"/>
          <w:sz w:val="32"/>
          <w:szCs w:val="32"/>
        </w:rPr>
        <w:t>反映用于对个人和家庭的补助支出。</w:t>
      </w:r>
    </w:p>
    <w:p w14:paraId="33158386">
      <w:pPr>
        <w:spacing w:line="600" w:lineRule="exact"/>
        <w:ind w:firstLine="627" w:firstLineChars="196"/>
        <w:jc w:val="both"/>
        <w:rPr>
          <w:rFonts w:hint="default" w:ascii="Times New Roman" w:hAnsi="Times New Roman" w:eastAsia="方正仿宋_GBK" w:cs="宋体"/>
          <w:sz w:val="32"/>
          <w:szCs w:val="32"/>
        </w:rPr>
      </w:pPr>
      <w:r>
        <w:rPr>
          <w:rFonts w:ascii="Times New Roman" w:hAnsi="Times New Roman" w:eastAsia="方正楷体_GBK" w:cs="宋体"/>
          <w:sz w:val="32"/>
          <w:szCs w:val="32"/>
        </w:rPr>
        <w:t>（十七）其他资本性支出（支出经济分类科目类级）：</w:t>
      </w:r>
      <w:r>
        <w:rPr>
          <w:rFonts w:ascii="Times New Roman" w:hAnsi="Times New Roman" w:eastAsia="方正仿宋_GBK" w:cs="宋体"/>
          <w:sz w:val="32"/>
          <w:szCs w:val="32"/>
        </w:rPr>
        <w:t>反映非各级发展与改革部门集中安排的用于购置固定资产、战略性和应急性储备、土地和无形资产，以及构建基础设施、大型修缮和财政支持企业更新改造所发生的支出。</w:t>
      </w:r>
    </w:p>
    <w:p w14:paraId="44E6C7C7">
      <w:pPr>
        <w:spacing w:line="600" w:lineRule="exact"/>
        <w:ind w:firstLine="640" w:firstLineChars="200"/>
        <w:jc w:val="both"/>
        <w:rPr>
          <w:rFonts w:hint="default" w:ascii="Times New Roman" w:hAnsi="Times New Roman" w:eastAsia="方正黑体_GBK" w:cs="宋体"/>
          <w:b/>
          <w:sz w:val="32"/>
          <w:szCs w:val="32"/>
        </w:rPr>
      </w:pPr>
      <w:r>
        <w:rPr>
          <w:rFonts w:ascii="Times New Roman" w:hAnsi="Times New Roman" w:eastAsia="方正黑体_GBK" w:cs="宋体"/>
          <w:bCs/>
          <w:sz w:val="32"/>
          <w:szCs w:val="20"/>
        </w:rPr>
        <w:t>七、决算公开联系方式及信息反馈渠道</w:t>
      </w:r>
    </w:p>
    <w:p w14:paraId="61019AF0">
      <w:pPr>
        <w:spacing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本单位决算公开信息反馈和联系方式：023-68127243</w:t>
      </w:r>
    </w:p>
    <w:p w14:paraId="1F922B6B">
      <w:pPr>
        <w:widowControl w:val="0"/>
        <w:adjustRightInd w:val="0"/>
        <w:snapToGrid w:val="0"/>
        <w:spacing w:line="600" w:lineRule="exact"/>
        <w:ind w:firstLine="640" w:firstLineChars="200"/>
        <w:jc w:val="both"/>
        <w:rPr>
          <w:rFonts w:hint="default" w:ascii="Times New Roman" w:hAnsi="Times New Roman" w:eastAsia="方正仿宋_GBK"/>
          <w:kern w:val="2"/>
          <w:sz w:val="32"/>
          <w:szCs w:val="32"/>
        </w:rPr>
      </w:pPr>
    </w:p>
    <w:p w14:paraId="5BDB9A14">
      <w:pPr>
        <w:widowControl w:val="0"/>
        <w:adjustRightInd w:val="0"/>
        <w:snapToGrid w:val="0"/>
        <w:spacing w:line="600" w:lineRule="exact"/>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附件：1.收入支出决算总表</w:t>
      </w:r>
    </w:p>
    <w:p w14:paraId="749E6612">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2.收入决算表</w:t>
      </w:r>
    </w:p>
    <w:p w14:paraId="6594B8DC">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3.支出决算表</w:t>
      </w:r>
    </w:p>
    <w:p w14:paraId="2D5D9CF7">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4.财政拨款收入支出决算总表</w:t>
      </w:r>
    </w:p>
    <w:p w14:paraId="670C8313">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5.一般公共预算财政拨款支出决算表</w:t>
      </w:r>
    </w:p>
    <w:p w14:paraId="4FA5B284">
      <w:pPr>
        <w:widowControl w:val="0"/>
        <w:adjustRightInd w:val="0"/>
        <w:snapToGrid w:val="0"/>
        <w:spacing w:line="600" w:lineRule="exact"/>
        <w:ind w:firstLine="1600" w:firstLineChars="500"/>
        <w:jc w:val="both"/>
        <w:rPr>
          <w:rFonts w:ascii="Times New Roman" w:hAnsi="Times New Roman" w:eastAsia="方正仿宋_GBK"/>
          <w:kern w:val="2"/>
          <w:sz w:val="32"/>
          <w:szCs w:val="32"/>
        </w:rPr>
      </w:pPr>
      <w:r>
        <w:rPr>
          <w:rFonts w:ascii="Times New Roman" w:hAnsi="Times New Roman" w:eastAsia="方正仿宋_GBK"/>
          <w:kern w:val="2"/>
          <w:sz w:val="32"/>
          <w:szCs w:val="32"/>
        </w:rPr>
        <w:t>6.一般公共预算财政拨款基本支出决算表</w:t>
      </w:r>
    </w:p>
    <w:p w14:paraId="649DF9E7">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7.政府性基金预算财政拨款收入支出决算表</w:t>
      </w:r>
    </w:p>
    <w:p w14:paraId="32FEA981">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8.国有资本经营预算财政拨款支出决算表</w:t>
      </w:r>
    </w:p>
    <w:p w14:paraId="5B0EC3A0">
      <w:pPr>
        <w:widowControl w:val="0"/>
        <w:adjustRightInd w:val="0"/>
        <w:snapToGrid w:val="0"/>
        <w:spacing w:line="600" w:lineRule="exact"/>
        <w:ind w:firstLine="1600" w:firstLineChars="500"/>
        <w:rPr>
          <w:rFonts w:hint="default" w:ascii="Times New Roman" w:hAnsi="Times New Roman" w:eastAsia="方正仿宋_GBK"/>
          <w:kern w:val="2"/>
          <w:sz w:val="32"/>
          <w:szCs w:val="32"/>
        </w:rPr>
      </w:pPr>
      <w:r>
        <w:rPr>
          <w:rFonts w:ascii="Times New Roman" w:hAnsi="Times New Roman" w:eastAsia="方正仿宋_GBK"/>
          <w:kern w:val="2"/>
          <w:sz w:val="32"/>
          <w:szCs w:val="32"/>
        </w:rPr>
        <w:t>9.机构运行信息表</w:t>
      </w:r>
    </w:p>
    <w:p w14:paraId="27A5FCC8">
      <w:pPr>
        <w:pStyle w:val="13"/>
        <w:autoSpaceDE w:val="0"/>
        <w:spacing w:line="596" w:lineRule="exact"/>
        <w:ind w:firstLine="640"/>
        <w:jc w:val="both"/>
        <w:rPr>
          <w:rStyle w:val="12"/>
          <w:rFonts w:ascii="Times New Roman" w:hAnsi="Times New Roman"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600" w:charSpace="0"/>
        </w:sectPr>
      </w:pPr>
      <w:bookmarkStart w:id="0" w:name="_GoBack"/>
      <w:bookmarkEnd w:id="0"/>
    </w:p>
    <w:p w14:paraId="3AFA621D">
      <w:pPr>
        <w:rPr>
          <w:rFonts w:hint="default" w:cs="宋体"/>
          <w:sz w:val="21"/>
          <w:szCs w:val="21"/>
        </w:rPr>
      </w:pPr>
    </w:p>
    <w:tbl>
      <w:tblPr>
        <w:tblStyle w:val="9"/>
        <w:tblpPr w:leftFromText="180" w:rightFromText="180" w:vertAnchor="text" w:horzAnchor="page" w:tblpX="1058" w:tblpY="22"/>
        <w:tblOverlap w:val="never"/>
        <w:tblW w:w="5000" w:type="pct"/>
        <w:tblInd w:w="0" w:type="dxa"/>
        <w:tblLayout w:type="autofit"/>
        <w:tblCellMar>
          <w:top w:w="0" w:type="dxa"/>
          <w:left w:w="0" w:type="dxa"/>
          <w:bottom w:w="0" w:type="dxa"/>
          <w:right w:w="0" w:type="dxa"/>
        </w:tblCellMar>
      </w:tblPr>
      <w:tblGrid>
        <w:gridCol w:w="4462"/>
        <w:gridCol w:w="3699"/>
        <w:gridCol w:w="4201"/>
        <w:gridCol w:w="2960"/>
      </w:tblGrid>
      <w:tr w14:paraId="77C60AB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99E54F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D2790E3">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14:paraId="0770F5F0">
            <w:pPr>
              <w:spacing w:line="200" w:lineRule="exact"/>
              <w:rPr>
                <w:rFonts w:hint="default"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14:paraId="603F186F">
            <w:pPr>
              <w:spacing w:line="200" w:lineRule="exact"/>
              <w:jc w:val="right"/>
              <w:rPr>
                <w:rFonts w:hint="default" w:ascii="Arial" w:hAnsi="Arial" w:cs="Arial"/>
                <w:color w:val="000000"/>
                <w:sz w:val="20"/>
                <w:szCs w:val="20"/>
              </w:rPr>
            </w:pPr>
          </w:p>
        </w:tc>
        <w:tc>
          <w:tcPr>
            <w:tcW w:w="1371" w:type="pct"/>
            <w:tcBorders>
              <w:top w:val="nil"/>
              <w:left w:val="nil"/>
              <w:bottom w:val="nil"/>
              <w:right w:val="nil"/>
            </w:tcBorders>
            <w:shd w:val="clear" w:color="auto" w:fill="auto"/>
            <w:noWrap/>
            <w:tcMar>
              <w:top w:w="15" w:type="dxa"/>
              <w:left w:w="15" w:type="dxa"/>
              <w:right w:w="15" w:type="dxa"/>
            </w:tcMar>
            <w:vAlign w:val="bottom"/>
          </w:tcPr>
          <w:p w14:paraId="2FE013E1">
            <w:pPr>
              <w:spacing w:line="200" w:lineRule="exact"/>
              <w:rPr>
                <w:rFonts w:hint="default" w:ascii="Arial" w:hAnsi="Arial" w:cs="Arial"/>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01C8927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0575760">
        <w:tblPrEx>
          <w:tblCellMar>
            <w:top w:w="0" w:type="dxa"/>
            <w:left w:w="0" w:type="dxa"/>
            <w:bottom w:w="0" w:type="dxa"/>
            <w:right w:w="0" w:type="dxa"/>
          </w:tblCellMar>
        </w:tblPrEx>
        <w:trPr>
          <w:trHeight w:val="232" w:hRule="atLeast"/>
        </w:trPr>
        <w:tc>
          <w:tcPr>
            <w:tcW w:w="2663" w:type="pct"/>
            <w:gridSpan w:val="2"/>
            <w:tcBorders>
              <w:top w:val="nil"/>
              <w:left w:val="nil"/>
              <w:bottom w:val="nil"/>
              <w:right w:val="nil"/>
            </w:tcBorders>
            <w:shd w:val="clear" w:color="auto" w:fill="auto"/>
            <w:noWrap/>
            <w:tcMar>
              <w:top w:w="15" w:type="dxa"/>
              <w:left w:w="15" w:type="dxa"/>
              <w:right w:w="15" w:type="dxa"/>
            </w:tcMar>
            <w:vAlign w:val="bottom"/>
          </w:tcPr>
          <w:p w14:paraId="4029AD49">
            <w:pPr>
              <w:spacing w:line="280" w:lineRule="exact"/>
              <w:rPr>
                <w:rFonts w:hint="default" w:ascii="Arial" w:hAnsi="Arial" w:cs="Arial"/>
                <w:color w:val="000000"/>
                <w:sz w:val="22"/>
                <w:szCs w:val="22"/>
              </w:rPr>
            </w:pPr>
            <w:r>
              <w:rPr>
                <w:rFonts w:cs="宋体"/>
                <w:sz w:val="20"/>
                <w:szCs w:val="20"/>
              </w:rPr>
              <w:t>单位：</w:t>
            </w:r>
            <w:r>
              <w:rPr>
                <w:sz w:val="20"/>
              </w:rPr>
              <w:t>重庆市九龙坡区石桥铺实验幼儿园</w:t>
            </w:r>
          </w:p>
        </w:tc>
        <w:tc>
          <w:tcPr>
            <w:tcW w:w="1371" w:type="pct"/>
            <w:tcBorders>
              <w:top w:val="nil"/>
              <w:left w:val="nil"/>
              <w:bottom w:val="nil"/>
              <w:right w:val="nil"/>
            </w:tcBorders>
            <w:shd w:val="clear" w:color="auto" w:fill="auto"/>
            <w:noWrap/>
            <w:tcMar>
              <w:top w:w="15" w:type="dxa"/>
              <w:left w:w="15" w:type="dxa"/>
              <w:right w:w="15" w:type="dxa"/>
            </w:tcMar>
            <w:vAlign w:val="bottom"/>
          </w:tcPr>
          <w:p w14:paraId="60AA382D">
            <w:pPr>
              <w:spacing w:line="200" w:lineRule="exact"/>
              <w:rPr>
                <w:rFonts w:hint="default" w:ascii="Arial" w:hAnsi="Arial" w:cs="Arial"/>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4605144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965F80">
        <w:tblPrEx>
          <w:tblCellMar>
            <w:top w:w="0" w:type="dxa"/>
            <w:left w:w="0" w:type="dxa"/>
            <w:bottom w:w="0" w:type="dxa"/>
            <w:right w:w="0" w:type="dxa"/>
          </w:tblCellMar>
        </w:tblPrEx>
        <w:trPr>
          <w:trHeight w:val="243" w:hRule="atLeast"/>
        </w:trPr>
        <w:tc>
          <w:tcPr>
            <w:tcW w:w="2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D3C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77AE6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B3CA473">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913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6898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26E1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51F3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0AF45A1">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659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27A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165.49</w:t>
            </w: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6F4D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462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2F90B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3C1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545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A2F9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85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28B571">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D04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F56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2D4E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412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B26DE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F65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79A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266C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AD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1B869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905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F1A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127.00</w:t>
            </w: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9D4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C46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286.47</w:t>
            </w:r>
            <w:r>
              <w:rPr>
                <w:rFonts w:ascii="Times New Roman" w:hAnsi="Times New Roman"/>
                <w:color w:val="000000"/>
                <w:sz w:val="20"/>
              </w:rPr>
              <w:t xml:space="preserve"> </w:t>
            </w:r>
          </w:p>
        </w:tc>
      </w:tr>
      <w:tr w14:paraId="31E37DC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74E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4A2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51BF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9E9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8A8941">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D8F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0F9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98F5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676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7FBCD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053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14:paraId="5DF462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F5FA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B71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rPr>
              <w:t xml:space="preserve"> </w:t>
            </w:r>
          </w:p>
        </w:tc>
      </w:tr>
      <w:tr w14:paraId="7EA0417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B454">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D74095">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3342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59C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r>
      <w:tr w14:paraId="0491004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9890">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A8973A">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25D5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254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8F3C6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54A2">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E447B5">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D09E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90D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7121B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E5EF">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0FB07">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9F9F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BD6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B5384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16D3">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E804">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3C12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D1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C9AEA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56CB">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A77A8">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BF9E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015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79B8A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9289">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548FD">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4E5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CEF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E1F018">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624E">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93C69">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B889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F7E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A65D88">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8D07">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AF7E">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6D14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94A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1C47E5">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5C7E">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B97A">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4E27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99B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1451D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FD40">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F68F1">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D826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F84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rPr>
              <w:t xml:space="preserve"> </w:t>
            </w:r>
          </w:p>
        </w:tc>
      </w:tr>
      <w:tr w14:paraId="5CF057B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750B">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25A58">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B6D7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6AE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BA1F01">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C546">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0CF1">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592A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819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B6258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F6AE">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3CF67">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9CE0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5B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AE3B9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05A4">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5893C">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9346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75A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3A12F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E31A">
            <w:pPr>
              <w:spacing w:line="240" w:lineRule="exact"/>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08695">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F84C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D25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4E37D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6EC6">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98A05">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05E4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6CE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A8866E">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B9B2">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044CB">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344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216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75978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B43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CAE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292.49</w:t>
            </w: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217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3AA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292.49</w:t>
            </w:r>
            <w:r>
              <w:rPr>
                <w:rFonts w:ascii="Times New Roman" w:hAnsi="Times New Roman"/>
                <w:color w:val="000000"/>
                <w:sz w:val="20"/>
              </w:rPr>
              <w:t xml:space="preserve"> </w:t>
            </w:r>
          </w:p>
        </w:tc>
      </w:tr>
      <w:tr w14:paraId="5197C9C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9653">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26B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E026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3C9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D14227">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969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324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4E2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D42C7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0F6E07">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B7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C2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292.49</w:t>
            </w:r>
            <w:r>
              <w:rPr>
                <w:rFonts w:ascii="Times New Roman" w:hAnsi="Times New Roman"/>
                <w:color w:val="000000"/>
                <w:sz w:val="20"/>
              </w:rPr>
              <w:t xml:space="preserve"> </w:t>
            </w:r>
          </w:p>
        </w:tc>
        <w:tc>
          <w:tcPr>
            <w:tcW w:w="1371"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CF19E9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7C6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292.49</w:t>
            </w:r>
            <w:r>
              <w:rPr>
                <w:rFonts w:ascii="Times New Roman" w:hAnsi="Times New Roman"/>
                <w:color w:val="000000"/>
                <w:sz w:val="20"/>
              </w:rPr>
              <w:t xml:space="preserve"> </w:t>
            </w:r>
          </w:p>
        </w:tc>
      </w:tr>
    </w:tbl>
    <w:p w14:paraId="0F49459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FAE843">
      <w:pPr>
        <w:rPr>
          <w:rFonts w:hint="default" w:cs="宋体"/>
          <w:sz w:val="21"/>
          <w:szCs w:val="21"/>
        </w:rPr>
      </w:pPr>
    </w:p>
    <w:tbl>
      <w:tblPr>
        <w:tblStyle w:val="9"/>
        <w:tblW w:w="5000" w:type="pct"/>
        <w:tblInd w:w="0" w:type="dxa"/>
        <w:tblLayout w:type="autofit"/>
        <w:tblCellMar>
          <w:top w:w="0" w:type="dxa"/>
          <w:left w:w="0" w:type="dxa"/>
          <w:bottom w:w="0" w:type="dxa"/>
          <w:right w:w="0" w:type="dxa"/>
        </w:tblCellMar>
      </w:tblPr>
      <w:tblGrid>
        <w:gridCol w:w="1637"/>
        <w:gridCol w:w="3230"/>
        <w:gridCol w:w="1491"/>
        <w:gridCol w:w="1356"/>
        <w:gridCol w:w="1166"/>
        <w:gridCol w:w="1347"/>
        <w:gridCol w:w="1368"/>
        <w:gridCol w:w="1203"/>
        <w:gridCol w:w="1259"/>
        <w:gridCol w:w="1265"/>
      </w:tblGrid>
      <w:tr w14:paraId="614B149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A26E77F">
            <w:pPr>
              <w:jc w:val="center"/>
              <w:textAlignment w:val="bottom"/>
              <w:rPr>
                <w:rFonts w:hint="default" w:cs="宋体"/>
                <w:b/>
                <w:color w:val="000000"/>
                <w:sz w:val="32"/>
                <w:szCs w:val="32"/>
              </w:rPr>
            </w:pPr>
            <w:r>
              <w:rPr>
                <w:rFonts w:cs="宋体"/>
                <w:b/>
                <w:color w:val="000000"/>
                <w:sz w:val="32"/>
                <w:szCs w:val="32"/>
              </w:rPr>
              <w:t>收入决算表</w:t>
            </w:r>
          </w:p>
        </w:tc>
      </w:tr>
      <w:tr w14:paraId="65CC9ACB">
        <w:tblPrEx>
          <w:tblCellMar>
            <w:top w:w="0" w:type="dxa"/>
            <w:left w:w="0" w:type="dxa"/>
            <w:bottom w:w="0" w:type="dxa"/>
            <w:right w:w="0" w:type="dxa"/>
          </w:tblCellMar>
        </w:tblPrEx>
        <w:trPr>
          <w:trHeight w:val="328" w:hRule="atLeast"/>
        </w:trPr>
        <w:tc>
          <w:tcPr>
            <w:tcW w:w="1911" w:type="pct"/>
            <w:gridSpan w:val="3"/>
            <w:vMerge w:val="restart"/>
            <w:tcBorders>
              <w:top w:val="nil"/>
              <w:left w:val="nil"/>
              <w:right w:val="nil"/>
            </w:tcBorders>
            <w:shd w:val="clear" w:color="auto" w:fill="auto"/>
            <w:noWrap/>
            <w:tcMar>
              <w:top w:w="15" w:type="dxa"/>
              <w:left w:w="15" w:type="dxa"/>
              <w:right w:w="15" w:type="dxa"/>
            </w:tcMar>
            <w:vAlign w:val="bottom"/>
          </w:tcPr>
          <w:p w14:paraId="24432686">
            <w:pPr>
              <w:spacing w:line="280" w:lineRule="exact"/>
              <w:rPr>
                <w:rFonts w:hint="default" w:cs="宋体"/>
                <w:color w:val="000000"/>
                <w:sz w:val="20"/>
                <w:szCs w:val="20"/>
              </w:rPr>
            </w:pPr>
            <w:r>
              <w:rPr>
                <w:rFonts w:cs="宋体"/>
                <w:sz w:val="20"/>
                <w:szCs w:val="20"/>
              </w:rPr>
              <w:t>单位：</w:t>
            </w:r>
            <w:r>
              <w:rPr>
                <w:sz w:val="20"/>
              </w:rPr>
              <w:t>重庆市九龙坡区石桥铺实验幼儿园</w:t>
            </w:r>
          </w:p>
        </w:tc>
        <w:tc>
          <w:tcPr>
            <w:tcW w:w="466" w:type="pct"/>
            <w:tcBorders>
              <w:top w:val="nil"/>
              <w:left w:val="nil"/>
              <w:bottom w:val="nil"/>
              <w:right w:val="nil"/>
            </w:tcBorders>
            <w:shd w:val="clear" w:color="auto" w:fill="auto"/>
            <w:noWrap/>
            <w:tcMar>
              <w:top w:w="15" w:type="dxa"/>
              <w:left w:w="15" w:type="dxa"/>
              <w:right w:w="15" w:type="dxa"/>
            </w:tcMar>
            <w:vAlign w:val="bottom"/>
          </w:tcPr>
          <w:p w14:paraId="2B80C1D4">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6EC7DB6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66070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7857150">
            <w:pPr>
              <w:rPr>
                <w:rFonts w:hint="default"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71F0C880">
            <w:pPr>
              <w:rPr>
                <w:rFonts w:hint="default" w:cs="宋体"/>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14:paraId="6E970383">
            <w:pPr>
              <w:rPr>
                <w:rFonts w:hint="default" w:cs="宋体"/>
                <w:color w:val="000000"/>
                <w:sz w:val="20"/>
                <w:szCs w:val="20"/>
              </w:rPr>
            </w:pPr>
          </w:p>
        </w:tc>
        <w:tc>
          <w:tcPr>
            <w:tcW w:w="431" w:type="pct"/>
            <w:tcBorders>
              <w:top w:val="nil"/>
              <w:left w:val="nil"/>
              <w:bottom w:val="nil"/>
              <w:right w:val="nil"/>
            </w:tcBorders>
            <w:shd w:val="clear" w:color="auto" w:fill="auto"/>
            <w:noWrap/>
            <w:tcMar>
              <w:top w:w="15" w:type="dxa"/>
              <w:left w:w="15" w:type="dxa"/>
              <w:right w:w="15" w:type="dxa"/>
            </w:tcMar>
            <w:vAlign w:val="bottom"/>
          </w:tcPr>
          <w:p w14:paraId="49B7256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80F418E">
        <w:tblPrEx>
          <w:tblCellMar>
            <w:top w:w="0" w:type="dxa"/>
            <w:left w:w="0" w:type="dxa"/>
            <w:bottom w:w="0" w:type="dxa"/>
            <w:right w:w="0" w:type="dxa"/>
          </w:tblCellMar>
        </w:tblPrEx>
        <w:trPr>
          <w:trHeight w:val="328" w:hRule="atLeast"/>
        </w:trPr>
        <w:tc>
          <w:tcPr>
            <w:tcW w:w="1911" w:type="pct"/>
            <w:gridSpan w:val="3"/>
            <w:vMerge w:val="continue"/>
            <w:tcBorders>
              <w:left w:val="nil"/>
              <w:bottom w:val="nil"/>
              <w:right w:val="nil"/>
            </w:tcBorders>
            <w:shd w:val="clear" w:color="auto" w:fill="auto"/>
            <w:noWrap/>
            <w:tcMar>
              <w:top w:w="15" w:type="dxa"/>
              <w:left w:w="15" w:type="dxa"/>
              <w:right w:w="15" w:type="dxa"/>
            </w:tcMar>
            <w:vAlign w:val="bottom"/>
          </w:tcPr>
          <w:p w14:paraId="6A0D01DB">
            <w:pPr>
              <w:rPr>
                <w:rFonts w:hint="default" w:cs="宋体"/>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vAlign w:val="bottom"/>
          </w:tcPr>
          <w:p w14:paraId="21E45EF4">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2279110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5E9710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EC9E9F5">
            <w:pPr>
              <w:rPr>
                <w:rFonts w:hint="default"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02CFC7F7">
            <w:pPr>
              <w:rPr>
                <w:rFonts w:hint="default" w:cs="宋体"/>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14:paraId="031845F0">
            <w:pPr>
              <w:rPr>
                <w:rFonts w:hint="default" w:cs="宋体"/>
                <w:color w:val="000000"/>
                <w:sz w:val="20"/>
                <w:szCs w:val="20"/>
              </w:rPr>
            </w:pPr>
          </w:p>
        </w:tc>
        <w:tc>
          <w:tcPr>
            <w:tcW w:w="431" w:type="pct"/>
            <w:tcBorders>
              <w:top w:val="nil"/>
              <w:left w:val="nil"/>
              <w:bottom w:val="nil"/>
              <w:right w:val="nil"/>
            </w:tcBorders>
            <w:shd w:val="clear" w:color="auto" w:fill="auto"/>
            <w:noWrap/>
            <w:tcMar>
              <w:top w:w="15" w:type="dxa"/>
              <w:left w:w="15" w:type="dxa"/>
              <w:right w:w="15" w:type="dxa"/>
            </w:tcMar>
            <w:vAlign w:val="bottom"/>
          </w:tcPr>
          <w:p w14:paraId="5F31C91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9C1E3">
        <w:tblPrEx>
          <w:tblCellMar>
            <w:top w:w="0" w:type="dxa"/>
            <w:left w:w="0" w:type="dxa"/>
            <w:bottom w:w="0" w:type="dxa"/>
            <w:right w:w="0" w:type="dxa"/>
          </w:tblCellMar>
        </w:tblPrEx>
        <w:trPr>
          <w:trHeight w:val="431"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B3E8C9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07EC2">
            <w:pPr>
              <w:jc w:val="center"/>
              <w:textAlignment w:val="center"/>
              <w:rPr>
                <w:rFonts w:hint="default" w:cs="宋体"/>
                <w:b/>
                <w:color w:val="000000"/>
                <w:sz w:val="20"/>
                <w:szCs w:val="20"/>
              </w:rPr>
            </w:pPr>
            <w:r>
              <w:rPr>
                <w:rFonts w:cs="宋体"/>
                <w:b/>
                <w:color w:val="000000"/>
                <w:sz w:val="20"/>
                <w:szCs w:val="20"/>
              </w:rPr>
              <w:t>本年收入合计</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4DC4">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29F03">
            <w:pPr>
              <w:jc w:val="center"/>
              <w:textAlignment w:val="center"/>
              <w:rPr>
                <w:rFonts w:hint="default" w:cs="宋体"/>
                <w:b/>
                <w:color w:val="000000"/>
                <w:sz w:val="20"/>
                <w:szCs w:val="20"/>
              </w:rPr>
            </w:pPr>
            <w:r>
              <w:rPr>
                <w:rFonts w:cs="宋体"/>
                <w:b/>
                <w:color w:val="000000"/>
                <w:sz w:val="20"/>
                <w:szCs w:val="20"/>
              </w:rPr>
              <w:t>上级补助收入</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F3DE6C">
            <w:pPr>
              <w:jc w:val="center"/>
              <w:textAlignment w:val="bottom"/>
              <w:rPr>
                <w:rFonts w:hint="default" w:cs="宋体"/>
                <w:b/>
                <w:color w:val="000000"/>
                <w:sz w:val="20"/>
                <w:szCs w:val="20"/>
              </w:rPr>
            </w:pPr>
            <w:r>
              <w:rPr>
                <w:rFonts w:cs="宋体"/>
                <w:b/>
                <w:color w:val="000000"/>
                <w:sz w:val="20"/>
                <w:szCs w:val="20"/>
              </w:rPr>
              <w:t>事业收入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845D">
            <w:pPr>
              <w:jc w:val="center"/>
              <w:textAlignment w:val="center"/>
              <w:rPr>
                <w:rFonts w:hint="default" w:cs="宋体"/>
                <w:b/>
                <w:color w:val="000000"/>
                <w:sz w:val="20"/>
                <w:szCs w:val="20"/>
              </w:rPr>
            </w:pPr>
            <w:r>
              <w:rPr>
                <w:rFonts w:cs="宋体"/>
                <w:b/>
                <w:color w:val="000000"/>
                <w:sz w:val="20"/>
                <w:szCs w:val="20"/>
              </w:rPr>
              <w:t>经营收入</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0E281">
            <w:pPr>
              <w:jc w:val="center"/>
              <w:textAlignment w:val="center"/>
              <w:rPr>
                <w:rFonts w:hint="default" w:cs="宋体"/>
                <w:b/>
                <w:color w:val="000000"/>
                <w:sz w:val="20"/>
                <w:szCs w:val="20"/>
              </w:rPr>
            </w:pPr>
            <w:r>
              <w:rPr>
                <w:rFonts w:cs="宋体"/>
                <w:b/>
                <w:color w:val="000000"/>
                <w:sz w:val="20"/>
                <w:szCs w:val="20"/>
              </w:rPr>
              <w:t>附属单位上缴收入</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549D6">
            <w:pPr>
              <w:jc w:val="center"/>
              <w:textAlignment w:val="center"/>
              <w:rPr>
                <w:rFonts w:hint="default" w:cs="宋体"/>
                <w:b/>
                <w:color w:val="000000"/>
                <w:sz w:val="20"/>
                <w:szCs w:val="20"/>
              </w:rPr>
            </w:pPr>
            <w:r>
              <w:rPr>
                <w:rFonts w:cs="宋体"/>
                <w:b/>
                <w:color w:val="000000"/>
                <w:sz w:val="20"/>
                <w:szCs w:val="20"/>
              </w:rPr>
              <w:t>其他收入</w:t>
            </w:r>
          </w:p>
        </w:tc>
      </w:tr>
      <w:tr w14:paraId="491B7D3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F335">
            <w:pPr>
              <w:jc w:val="center"/>
              <w:textAlignment w:val="center"/>
              <w:rPr>
                <w:rFonts w:hint="default" w:cs="宋体"/>
                <w:b/>
                <w:color w:val="000000"/>
                <w:sz w:val="20"/>
                <w:szCs w:val="20"/>
              </w:rPr>
            </w:pPr>
            <w:r>
              <w:rPr>
                <w:rFonts w:cs="宋体"/>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3992D1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B2A5">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78D7">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1B7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A0A9B">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EB20F">
            <w:pPr>
              <w:jc w:val="center"/>
              <w:textAlignment w:val="center"/>
              <w:rPr>
                <w:rFonts w:hint="default" w:cs="宋体"/>
                <w:b/>
                <w:color w:val="000000"/>
                <w:sz w:val="20"/>
                <w:szCs w:val="20"/>
              </w:rPr>
            </w:pPr>
            <w:r>
              <w:rPr>
                <w:rFonts w:cs="宋体"/>
                <w:b/>
                <w:color w:val="000000"/>
                <w:sz w:val="20"/>
                <w:szCs w:val="20"/>
              </w:rPr>
              <w:t>其中：教育收费</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DBE0">
            <w:pPr>
              <w:jc w:val="center"/>
              <w:rPr>
                <w:rFonts w:hint="default" w:cs="宋体"/>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4189A">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84FAC">
            <w:pPr>
              <w:jc w:val="center"/>
              <w:rPr>
                <w:rFonts w:hint="default" w:cs="宋体"/>
                <w:b/>
                <w:color w:val="000000"/>
                <w:sz w:val="20"/>
                <w:szCs w:val="20"/>
              </w:rPr>
            </w:pPr>
          </w:p>
        </w:tc>
      </w:tr>
      <w:tr w14:paraId="26290C5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4D89">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4E756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7C01">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A659E">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C574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28A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AB2A">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610D8">
            <w:pPr>
              <w:jc w:val="center"/>
              <w:rPr>
                <w:rFonts w:hint="default" w:cs="宋体"/>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4EA6">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397A8">
            <w:pPr>
              <w:jc w:val="center"/>
              <w:rPr>
                <w:rFonts w:hint="default" w:cs="宋体"/>
                <w:b/>
                <w:color w:val="000000"/>
                <w:sz w:val="20"/>
                <w:szCs w:val="20"/>
              </w:rPr>
            </w:pPr>
          </w:p>
        </w:tc>
      </w:tr>
      <w:tr w14:paraId="42F3666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F45C">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BEC08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6EEF9">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9B81D">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17B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A87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D97B">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DC66">
            <w:pPr>
              <w:jc w:val="center"/>
              <w:rPr>
                <w:rFonts w:hint="default" w:cs="宋体"/>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7E4C">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873C">
            <w:pPr>
              <w:jc w:val="center"/>
              <w:rPr>
                <w:rFonts w:hint="default" w:cs="宋体"/>
                <w:b/>
                <w:color w:val="000000"/>
                <w:sz w:val="20"/>
                <w:szCs w:val="20"/>
              </w:rPr>
            </w:pPr>
          </w:p>
        </w:tc>
      </w:tr>
      <w:tr w14:paraId="67980A1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679F">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90076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8162">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C0C3D">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915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427B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17F2">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E54E">
            <w:pPr>
              <w:jc w:val="center"/>
              <w:rPr>
                <w:rFonts w:hint="default" w:cs="宋体"/>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EA83">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B1DC">
            <w:pPr>
              <w:jc w:val="center"/>
              <w:rPr>
                <w:rFonts w:hint="default" w:cs="宋体"/>
                <w:b/>
                <w:color w:val="000000"/>
                <w:sz w:val="20"/>
                <w:szCs w:val="20"/>
              </w:rPr>
            </w:pPr>
          </w:p>
        </w:tc>
      </w:tr>
      <w:tr w14:paraId="3898B99A">
        <w:tblPrEx>
          <w:tblCellMar>
            <w:top w:w="0" w:type="dxa"/>
            <w:left w:w="0" w:type="dxa"/>
            <w:bottom w:w="0" w:type="dxa"/>
            <w:right w:w="0" w:type="dxa"/>
          </w:tblCellMar>
        </w:tblPrEx>
        <w:trPr>
          <w:trHeight w:val="338"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F7EB">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40A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292.49</w:t>
            </w:r>
            <w:r>
              <w:rPr>
                <w:rFonts w:ascii="Times New Roman" w:hAnsi="Times New Roman"/>
                <w:b/>
                <w:color w:val="000000"/>
                <w:sz w:val="20"/>
              </w:rPr>
              <w:t xml:space="preserve"> </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CB0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165.49</w:t>
            </w:r>
            <w:r>
              <w:rPr>
                <w:rFonts w:ascii="Times New Roman" w:hAnsi="Times New Roman"/>
                <w:b/>
                <w:color w:val="000000"/>
                <w:sz w:val="20"/>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E91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91C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A04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127.00</w:t>
            </w:r>
            <w:r>
              <w:rPr>
                <w:rFonts w:ascii="Times New Roman" w:hAnsi="Times New Roman"/>
                <w:b/>
                <w:color w:val="000000"/>
                <w:sz w:val="20"/>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BA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8F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BDE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84F08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9885">
            <w:pPr>
              <w:textAlignment w:val="center"/>
              <w:rPr>
                <w:rFonts w:hint="default" w:cs="宋体"/>
                <w:color w:val="000000"/>
                <w:sz w:val="20"/>
                <w:szCs w:val="20"/>
              </w:rPr>
            </w:pPr>
            <w:r>
              <w:rPr>
                <w:rFonts w:cs="宋体"/>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7A05">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1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286.47</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3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159.47</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5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2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1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B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B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C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52AF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C7E2">
            <w:pPr>
              <w:textAlignment w:val="center"/>
              <w:rPr>
                <w:rFonts w:hint="default" w:cs="宋体"/>
                <w:color w:val="000000"/>
                <w:sz w:val="20"/>
                <w:szCs w:val="20"/>
              </w:rPr>
            </w:pPr>
            <w:r>
              <w:rPr>
                <w:rFonts w:cs="宋体"/>
                <w:b/>
                <w:color w:val="000000"/>
                <w:sz w:val="20"/>
                <w:szCs w:val="20"/>
              </w:rPr>
              <w:t>20502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C25CA">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D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286.47</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0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159.47</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3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6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D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F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7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D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412D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8499">
            <w:pPr>
              <w:textAlignment w:val="center"/>
              <w:rPr>
                <w:rFonts w:hint="default" w:cs="宋体"/>
                <w:color w:val="000000"/>
                <w:sz w:val="20"/>
                <w:szCs w:val="20"/>
              </w:rPr>
            </w:pPr>
            <w:r>
              <w:rPr>
                <w:rFonts w:cs="宋体"/>
                <w:color w:val="000000"/>
                <w:sz w:val="20"/>
                <w:szCs w:val="20"/>
              </w:rPr>
              <w:t>2050201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EB14F">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E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286.47</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C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159.47</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0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4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1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3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B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B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18B9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7F2A">
            <w:pPr>
              <w:textAlignment w:val="center"/>
              <w:rPr>
                <w:rFonts w:hint="default" w:cs="宋体"/>
                <w:color w:val="000000"/>
                <w:sz w:val="20"/>
                <w:szCs w:val="20"/>
              </w:rPr>
            </w:pPr>
            <w:r>
              <w:rPr>
                <w:rFonts w:cs="宋体"/>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B0DD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5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9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9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5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6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7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2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5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D32A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0BDC">
            <w:pPr>
              <w:textAlignment w:val="center"/>
              <w:rPr>
                <w:rFonts w:hint="default" w:cs="宋体"/>
                <w:color w:val="000000"/>
                <w:sz w:val="20"/>
                <w:szCs w:val="20"/>
              </w:rPr>
            </w:pPr>
            <w:r>
              <w:rPr>
                <w:rFonts w:cs="宋体"/>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07C8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7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6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9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3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C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1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0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1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6D91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FC8D">
            <w:pPr>
              <w:textAlignment w:val="center"/>
              <w:rPr>
                <w:rFonts w:hint="default" w:cs="宋体"/>
                <w:color w:val="000000"/>
                <w:sz w:val="20"/>
                <w:szCs w:val="20"/>
              </w:rPr>
            </w:pPr>
            <w:r>
              <w:rPr>
                <w:rFonts w:cs="宋体"/>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E5B5E">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6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8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1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5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7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7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1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9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894F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500B">
            <w:pPr>
              <w:textAlignment w:val="center"/>
              <w:rPr>
                <w:rFonts w:hint="default" w:cs="宋体"/>
                <w:color w:val="000000"/>
                <w:sz w:val="20"/>
                <w:szCs w:val="20"/>
              </w:rPr>
            </w:pPr>
            <w:r>
              <w:rPr>
                <w:rFonts w:cs="宋体"/>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00FC9">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F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A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D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2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6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F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B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0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53C1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6923">
            <w:pPr>
              <w:textAlignment w:val="center"/>
              <w:rPr>
                <w:rFonts w:hint="default" w:cs="宋体"/>
                <w:color w:val="000000"/>
                <w:sz w:val="20"/>
                <w:szCs w:val="20"/>
              </w:rPr>
            </w:pPr>
            <w:r>
              <w:rPr>
                <w:rFonts w:cs="宋体"/>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DCF2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9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6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2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F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A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C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8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E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1AA5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E209">
            <w:pPr>
              <w:textAlignment w:val="center"/>
              <w:rPr>
                <w:rFonts w:hint="default" w:cs="宋体"/>
                <w:color w:val="000000"/>
                <w:sz w:val="20"/>
                <w:szCs w:val="20"/>
              </w:rPr>
            </w:pPr>
            <w:r>
              <w:rPr>
                <w:rFonts w:cs="宋体"/>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4777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9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E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D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7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6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B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4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E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0954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D469">
            <w:pPr>
              <w:textAlignment w:val="center"/>
              <w:rPr>
                <w:rFonts w:hint="default" w:cs="宋体"/>
                <w:color w:val="000000"/>
                <w:sz w:val="20"/>
                <w:szCs w:val="20"/>
              </w:rPr>
            </w:pPr>
            <w:r>
              <w:rPr>
                <w:rFonts w:cs="宋体"/>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0C793">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9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5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0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8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7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F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2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9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898A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7273">
            <w:pPr>
              <w:textAlignment w:val="center"/>
              <w:rPr>
                <w:rFonts w:hint="default" w:cs="宋体"/>
                <w:color w:val="000000"/>
                <w:sz w:val="20"/>
                <w:szCs w:val="20"/>
              </w:rPr>
            </w:pPr>
            <w:r>
              <w:rPr>
                <w:rFonts w:cs="宋体"/>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8C6CD">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B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4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3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D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B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4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7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4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7BB5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1BFF">
            <w:pPr>
              <w:textAlignment w:val="center"/>
              <w:rPr>
                <w:rFonts w:hint="default" w:cs="宋体"/>
                <w:color w:val="000000"/>
                <w:sz w:val="20"/>
                <w:szCs w:val="20"/>
              </w:rPr>
            </w:pPr>
            <w:r>
              <w:rPr>
                <w:rFonts w:cs="宋体"/>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5ABC0">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E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C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0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4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6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2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6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2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2751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660D">
            <w:pPr>
              <w:textAlignment w:val="center"/>
              <w:rPr>
                <w:rFonts w:hint="default" w:cs="宋体"/>
                <w:color w:val="000000"/>
                <w:sz w:val="20"/>
                <w:szCs w:val="20"/>
              </w:rPr>
            </w:pPr>
            <w:r>
              <w:rPr>
                <w:rFonts w:cs="宋体"/>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2029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9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1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0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5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A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B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4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F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9CF1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2666">
            <w:pPr>
              <w:textAlignment w:val="center"/>
              <w:rPr>
                <w:rFonts w:hint="default" w:cs="宋体"/>
                <w:color w:val="000000"/>
                <w:sz w:val="20"/>
                <w:szCs w:val="20"/>
              </w:rPr>
            </w:pPr>
            <w:r>
              <w:rPr>
                <w:rFonts w:cs="宋体"/>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C59E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2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A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3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E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C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2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C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1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8646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7FA5">
            <w:pPr>
              <w:textAlignment w:val="center"/>
              <w:rPr>
                <w:rFonts w:hint="default" w:cs="宋体"/>
                <w:color w:val="000000"/>
                <w:sz w:val="20"/>
                <w:szCs w:val="20"/>
              </w:rPr>
            </w:pPr>
            <w:r>
              <w:rPr>
                <w:rFonts w:cs="宋体"/>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AE883">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0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0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1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A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8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E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D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A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CF07FA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290"/>
        <w:gridCol w:w="3604"/>
        <w:gridCol w:w="1839"/>
        <w:gridCol w:w="1762"/>
        <w:gridCol w:w="1621"/>
        <w:gridCol w:w="1557"/>
        <w:gridCol w:w="1691"/>
        <w:gridCol w:w="1958"/>
      </w:tblGrid>
      <w:tr w14:paraId="2D2A3A0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4B74A78">
            <w:pPr>
              <w:jc w:val="center"/>
              <w:textAlignment w:val="bottom"/>
              <w:rPr>
                <w:rFonts w:hint="default" w:cs="宋体"/>
                <w:b/>
                <w:color w:val="000000"/>
                <w:sz w:val="32"/>
                <w:szCs w:val="32"/>
              </w:rPr>
            </w:pPr>
            <w:r>
              <w:rPr>
                <w:rFonts w:cs="宋体"/>
                <w:b/>
                <w:color w:val="000000"/>
                <w:sz w:val="32"/>
                <w:szCs w:val="32"/>
              </w:rPr>
              <w:t>支出决算表</w:t>
            </w:r>
          </w:p>
        </w:tc>
      </w:tr>
      <w:tr w14:paraId="196EBBC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F2A533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重庆市九龙坡区石桥铺实验幼儿园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8B53C0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B00D4F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FCB05A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9E3D71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8C8AF1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E6D2CE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DC80F4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4C6AAA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03A79C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CFA91C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48E08A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45F3A0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0DF68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DD17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1F6C">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E0A8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F2D3A">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71D80">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FA0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E13D">
            <w:pPr>
              <w:jc w:val="center"/>
              <w:textAlignment w:val="center"/>
              <w:rPr>
                <w:rFonts w:hint="default" w:cs="宋体"/>
                <w:b/>
                <w:color w:val="000000"/>
                <w:sz w:val="20"/>
                <w:szCs w:val="20"/>
              </w:rPr>
            </w:pPr>
            <w:r>
              <w:rPr>
                <w:rFonts w:cs="宋体"/>
                <w:b/>
                <w:color w:val="000000"/>
                <w:sz w:val="20"/>
                <w:szCs w:val="20"/>
              </w:rPr>
              <w:t>对附属单位补助支出</w:t>
            </w:r>
          </w:p>
        </w:tc>
      </w:tr>
      <w:tr w14:paraId="73A161A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29D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79D34B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0D3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4D8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3A5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F4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BABF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572F">
            <w:pPr>
              <w:jc w:val="center"/>
              <w:rPr>
                <w:rFonts w:hint="default" w:cs="宋体"/>
                <w:b/>
                <w:color w:val="000000"/>
                <w:sz w:val="20"/>
                <w:szCs w:val="20"/>
              </w:rPr>
            </w:pPr>
          </w:p>
        </w:tc>
      </w:tr>
      <w:tr w14:paraId="1E387AE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AEA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E5CB0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720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463C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E32F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963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3B27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37FEE">
            <w:pPr>
              <w:jc w:val="center"/>
              <w:rPr>
                <w:rFonts w:hint="default" w:cs="宋体"/>
                <w:b/>
                <w:color w:val="000000"/>
                <w:sz w:val="20"/>
                <w:szCs w:val="20"/>
              </w:rPr>
            </w:pPr>
          </w:p>
        </w:tc>
      </w:tr>
      <w:tr w14:paraId="566684C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051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4EB40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1EC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5DE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04C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212E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554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F47B">
            <w:pPr>
              <w:jc w:val="center"/>
              <w:rPr>
                <w:rFonts w:hint="default" w:cs="宋体"/>
                <w:b/>
                <w:color w:val="000000"/>
                <w:sz w:val="20"/>
                <w:szCs w:val="20"/>
              </w:rPr>
            </w:pPr>
          </w:p>
        </w:tc>
      </w:tr>
      <w:tr w14:paraId="6633527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1F5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048DD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8F1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065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ABC0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CEB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725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70F4">
            <w:pPr>
              <w:jc w:val="center"/>
              <w:rPr>
                <w:rFonts w:hint="default" w:cs="宋体"/>
                <w:b/>
                <w:color w:val="000000"/>
                <w:sz w:val="20"/>
                <w:szCs w:val="20"/>
              </w:rPr>
            </w:pPr>
          </w:p>
        </w:tc>
      </w:tr>
      <w:tr w14:paraId="75AD424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D9DA">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461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292.49</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332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34.40</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BF5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258.09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D23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F7C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B72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2E8D4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5E08">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375F7">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7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3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1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3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0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A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03EA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3FEF">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B8C94">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A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5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E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0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F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3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326B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2AF7">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EC7B0">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0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F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8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258.09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1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2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2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9876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28D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DA10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E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B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6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1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A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3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BC8E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B28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30DE1">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6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3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8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C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F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D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32C0C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6C6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AA57A">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F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A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0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0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A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F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E9CC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CDDE">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F492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F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7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7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D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7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B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A076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F39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5170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F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3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2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C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6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A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3020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699A">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AD25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E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8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1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0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0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B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0CA0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BF06">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54CD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0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9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8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4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2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7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DA73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E734">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5024">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B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E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8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A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3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F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7F1F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A3E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FF36">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3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9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7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5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3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6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F2CC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4250">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2CBC3">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7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7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A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9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4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2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BD4B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B0B4">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876D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E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6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A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B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E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A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3EFE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8113">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80C62">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2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E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F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4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3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9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49A251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171413B2">
      <w:pPr>
        <w:rPr>
          <w:rFonts w:hint="default" w:cs="宋体"/>
          <w:sz w:val="21"/>
          <w:szCs w:val="21"/>
        </w:rPr>
      </w:pPr>
    </w:p>
    <w:p w14:paraId="5AF678A6">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37A515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0FD3EA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F00D6D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F51310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重庆市九龙坡区石桥铺实验幼儿园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1B52C7D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3105B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7E76E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5B772D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384849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EAC5D0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7735B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BCF20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F5248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5F9E5A1">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57686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F9B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1BD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1E457E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378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017B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D22D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5AA6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22E300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23D8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E187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D79D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574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C06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DACB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DFE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FE403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1A3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59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91D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2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69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2B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D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5464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499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A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1D2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0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B7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9C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E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EE06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F9D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19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8B4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E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20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B9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C71F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C7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E576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C1C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5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7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76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89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6C3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56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4C62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42F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75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80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3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2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3C5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D3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1117B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8CB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7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6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5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D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9D20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43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0102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0B6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B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2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C9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A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C80C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92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484D5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A7A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85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F3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0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E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16B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40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D028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486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94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76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F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6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F996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86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C1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49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F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5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B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9B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9DD7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3A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2A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024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C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1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90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7A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5000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01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78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214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32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0A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3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2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0C01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39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1B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373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D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A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1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7E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5677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E7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F9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D36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4A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5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B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4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6953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A5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33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A92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7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4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62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F3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E836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4E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21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61A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63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D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7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2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EFFC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78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FE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702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3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00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0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B1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DD27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78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A6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303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D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0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E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63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4E7D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D1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96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26F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57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94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0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0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4816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6E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6D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E94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5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E6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7E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2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7C4C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7C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DA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147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F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3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4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0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D571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F7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3F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DB2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58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6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56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1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3F1D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F4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B2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346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99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E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8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C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D2EC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9B5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79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76C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0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C4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E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2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5069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BF0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1C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38F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5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C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B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D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14B1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BD6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38D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C88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0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6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EB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F7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8D87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EDF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87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2C6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13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8A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FE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35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3387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229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1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916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25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B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3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0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1200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483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B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793B5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67705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9076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6121A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101088">
            <w:pPr>
              <w:spacing w:line="200" w:lineRule="exact"/>
              <w:rPr>
                <w:rFonts w:hint="default" w:ascii="Times New Roman" w:hAnsi="Times New Roman"/>
                <w:color w:val="000000"/>
                <w:sz w:val="18"/>
                <w:szCs w:val="18"/>
              </w:rPr>
            </w:pPr>
          </w:p>
        </w:tc>
      </w:tr>
      <w:tr w14:paraId="05FCEF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E4D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E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609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F56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E36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867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2854">
            <w:pPr>
              <w:spacing w:line="200" w:lineRule="exact"/>
              <w:jc w:val="right"/>
              <w:rPr>
                <w:rFonts w:hint="default" w:ascii="Times New Roman" w:hAnsi="Times New Roman"/>
                <w:color w:val="000000"/>
                <w:sz w:val="18"/>
                <w:szCs w:val="18"/>
              </w:rPr>
            </w:pPr>
          </w:p>
        </w:tc>
      </w:tr>
      <w:tr w14:paraId="2D2F84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26E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CD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39F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1BE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E3E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E57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7E5C">
            <w:pPr>
              <w:spacing w:line="200" w:lineRule="exact"/>
              <w:jc w:val="right"/>
              <w:rPr>
                <w:rFonts w:hint="default" w:ascii="Times New Roman" w:hAnsi="Times New Roman"/>
                <w:color w:val="000000"/>
                <w:sz w:val="18"/>
                <w:szCs w:val="18"/>
              </w:rPr>
            </w:pPr>
          </w:p>
        </w:tc>
      </w:tr>
      <w:tr w14:paraId="6D1B9A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6C6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10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610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BC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54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6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AC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F0F5C2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36420EE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AF59E5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F5DA7E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093B76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重庆市九龙坡区石桥铺实验幼儿园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C17A34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26B7C4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218D96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B08B2E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A5E637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B058F8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95E2D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A9E3">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AFFE96">
            <w:pPr>
              <w:jc w:val="center"/>
              <w:textAlignment w:val="center"/>
              <w:rPr>
                <w:rFonts w:hint="default" w:cs="宋体"/>
                <w:b/>
                <w:color w:val="000000"/>
                <w:sz w:val="20"/>
                <w:szCs w:val="20"/>
              </w:rPr>
            </w:pPr>
            <w:r>
              <w:rPr>
                <w:rFonts w:cs="宋体"/>
                <w:b/>
                <w:color w:val="000000"/>
                <w:sz w:val="20"/>
                <w:szCs w:val="20"/>
              </w:rPr>
              <w:t>本年支出</w:t>
            </w:r>
          </w:p>
        </w:tc>
      </w:tr>
      <w:tr w14:paraId="541058B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B42F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1353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7C5BA">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2579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0F3F0">
            <w:pPr>
              <w:jc w:val="center"/>
              <w:textAlignment w:val="center"/>
              <w:rPr>
                <w:rFonts w:hint="default" w:cs="宋体"/>
                <w:b/>
                <w:color w:val="000000"/>
                <w:sz w:val="20"/>
                <w:szCs w:val="20"/>
              </w:rPr>
            </w:pPr>
            <w:r>
              <w:rPr>
                <w:rFonts w:cs="宋体"/>
                <w:b/>
                <w:color w:val="000000"/>
                <w:sz w:val="20"/>
                <w:szCs w:val="20"/>
              </w:rPr>
              <w:t>项目支出</w:t>
            </w:r>
          </w:p>
        </w:tc>
      </w:tr>
      <w:tr w14:paraId="4854710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62D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047E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3D44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265A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CC0A5">
            <w:pPr>
              <w:jc w:val="center"/>
              <w:rPr>
                <w:rFonts w:hint="default" w:cs="宋体"/>
                <w:b/>
                <w:color w:val="000000"/>
                <w:sz w:val="20"/>
                <w:szCs w:val="20"/>
              </w:rPr>
            </w:pPr>
          </w:p>
        </w:tc>
      </w:tr>
      <w:tr w14:paraId="7D96FF8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75F0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595D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34DE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9040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358BB">
            <w:pPr>
              <w:jc w:val="center"/>
              <w:rPr>
                <w:rFonts w:hint="default" w:cs="宋体"/>
                <w:b/>
                <w:color w:val="000000"/>
                <w:sz w:val="20"/>
                <w:szCs w:val="20"/>
              </w:rPr>
            </w:pPr>
          </w:p>
        </w:tc>
      </w:tr>
      <w:tr w14:paraId="56DE1E0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0526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9FC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718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34.40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180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131.09</w:t>
            </w:r>
            <w:r>
              <w:rPr>
                <w:rFonts w:ascii="Times New Roman" w:hAnsi="Times New Roman"/>
                <w:b/>
                <w:color w:val="000000"/>
                <w:sz w:val="20"/>
              </w:rPr>
              <w:t xml:space="preserve"> </w:t>
            </w:r>
          </w:p>
        </w:tc>
      </w:tr>
      <w:tr w14:paraId="3A2793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057C">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B866C">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D94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B07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79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131.09</w:t>
            </w:r>
            <w:r>
              <w:rPr>
                <w:rFonts w:ascii="Times New Roman" w:hAnsi="Times New Roman"/>
                <w:b/>
                <w:color w:val="000000"/>
                <w:sz w:val="20"/>
              </w:rPr>
              <w:t xml:space="preserve"> </w:t>
            </w:r>
          </w:p>
        </w:tc>
      </w:tr>
      <w:tr w14:paraId="0EB5CA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5BEB">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54356">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BC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09C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688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131.09</w:t>
            </w:r>
            <w:r>
              <w:rPr>
                <w:rFonts w:ascii="Times New Roman" w:hAnsi="Times New Roman"/>
                <w:b/>
                <w:color w:val="000000"/>
                <w:sz w:val="20"/>
              </w:rPr>
              <w:t xml:space="preserve"> </w:t>
            </w:r>
          </w:p>
        </w:tc>
      </w:tr>
      <w:tr w14:paraId="2DA6EB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A4B7">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80AF4">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1CF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37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E3B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131.09</w:t>
            </w:r>
            <w:r>
              <w:rPr>
                <w:rFonts w:ascii="Times New Roman" w:hAnsi="Times New Roman"/>
                <w:color w:val="000000"/>
                <w:sz w:val="20"/>
              </w:rPr>
              <w:t xml:space="preserve"> </w:t>
            </w:r>
          </w:p>
        </w:tc>
      </w:tr>
      <w:tr w14:paraId="6F9374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3E70">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9089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B65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B2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BA8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AB8F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CBB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F7C1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24B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810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BE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8BDF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8760">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62B5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8A9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DE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CC2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6FE8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899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09E5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9FF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2FA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6A3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365B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CA6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1EDC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D27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61E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C7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6C6E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7CF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1DD4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5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DAD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64D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29AD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E99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CE6F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169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770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C90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2D77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148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41F7D">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C0F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987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549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4F47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A73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1FC6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D7A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D3B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C19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F47B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8B1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CE6C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E5F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113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02C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3A7C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EF64">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93C6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7F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4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9D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BDA8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477D">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4CE99">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EE0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28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BB3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C7ACBC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97E6D8">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3"/>
        <w:gridCol w:w="2032"/>
        <w:gridCol w:w="1417"/>
        <w:gridCol w:w="873"/>
        <w:gridCol w:w="3462"/>
        <w:gridCol w:w="1497"/>
      </w:tblGrid>
      <w:tr w14:paraId="26DB2E4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2CC365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C9F778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5CCEA4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重庆市九龙坡区石桥铺实验幼儿园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3CB6AE0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535927">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44D682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34A9B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ABCFB4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8DABC02">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CFC18A4">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4D1C55E">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187949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7F38A4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476E5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1234">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18068E">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FB7591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F5C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7990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B408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01E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6F00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2146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3DD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4D9A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219DC">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24570D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27A3">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6ED10">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92644">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D9D27">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2F5C6">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D72A">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0658">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ECAF9">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51F64">
            <w:pPr>
              <w:spacing w:line="192" w:lineRule="exact"/>
              <w:jc w:val="center"/>
              <w:rPr>
                <w:rFonts w:hint="default" w:cs="宋体"/>
                <w:b/>
                <w:color w:val="000000"/>
                <w:sz w:val="18"/>
                <w:szCs w:val="18"/>
              </w:rPr>
            </w:pPr>
          </w:p>
        </w:tc>
      </w:tr>
      <w:tr w14:paraId="21E68D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0CC8">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722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B3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E02E">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D6C5">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38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B447">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6C06">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EF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rPr>
              <w:t xml:space="preserve"> </w:t>
            </w:r>
          </w:p>
        </w:tc>
      </w:tr>
      <w:tr w14:paraId="31F710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CFD2">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CBF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C4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6F6E">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AA35">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2C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3244">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48B3">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83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1419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4768">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A2D2">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88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42F4">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3A5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A4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ACC9">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F5E4">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8D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rPr>
              <w:t xml:space="preserve"> </w:t>
            </w:r>
          </w:p>
        </w:tc>
      </w:tr>
      <w:tr w14:paraId="6B44AB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842D">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5356">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12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99CA">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5523">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76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7BB9">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FCDE">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CB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C3D8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2A4E">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B067">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0C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29C9">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464E">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06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0016">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F26E">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92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A5B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1EE2">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FC0B">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1A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BB7D">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1CC4">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49A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4A1E">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ACA0">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A5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1452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A96F">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46EF">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58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68B7">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D60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25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74A6">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011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AD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3A3B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6C9E">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F82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9E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2215">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2104">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02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7740">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13A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A5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F048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0AEB">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38EF">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7A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7CC4">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E2A8">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F6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D3B4">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4A5E">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41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337E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FB50">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5EFB">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8C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EECE">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8BFA">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C6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6378">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788E">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47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5603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9ECC">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25A0">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79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288C">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C979">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D7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E960">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0EA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0E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0DCE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098C">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1248">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1C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476B">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08F1">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62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F898">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483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A9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E40E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5795">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FD5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5C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101B">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79ED">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2C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5A0F">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B17C">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CD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AE06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2A6F">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8883">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10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D429">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18A6">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B9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7A42">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BB18">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04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05AE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49CA">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D783">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BD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4C76">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8393">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FC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8CB9">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1426">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1E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8EA4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04B1">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2A4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FB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2D4B">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19E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A7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8C9B">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4D6F">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70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1C01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56DB">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82D9">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29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A3E9">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3408">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3C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71A9">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91BE">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C7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ADF3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5872">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F25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96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8AD4">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7C1F">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C9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B0E0">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EE8E">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E3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24EA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F824">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0A0E">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A8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9714">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934C">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6F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0A07">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A098">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DD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FA04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AA3B">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9CBC">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24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54F1">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419E">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23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8F9C">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2636">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6D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9256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C284">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C35E">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7E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BEE6">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FC06">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42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70B0">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8676">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F4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2C3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6242">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8AE7">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61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E032">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E4DD">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F0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3B7D">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769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C8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9313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4298">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9E47">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A3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CECF">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9CB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00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3EC6">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7AC3">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CE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0DB7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D7B7">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A07D">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53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5423">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0E27">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20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2ED6">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9928">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0F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E833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E0C6">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ECE0">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3B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D927">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F30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1A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BBB6">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AD4B">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56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E6D6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7973">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1453">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B1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13AC">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A2B9">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00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965A">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372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92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6FE1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C019">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E3A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ED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8985">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7060">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89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7E0C">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A1D2">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B7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A4A2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20E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90A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41D85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4C74">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1BAE">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BF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A644">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25EC">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5F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CC0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5B6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845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F352E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5F6F">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E53B">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9A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A5CA">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F8F4">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BA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4ACC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0DA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8E1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996DF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5484">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9CFA">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8B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8A40">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0A6A">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81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1D60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DFA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98E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19DB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E072">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D24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64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434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97C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4B2E">
            <w:pPr>
              <w:spacing w:line="192" w:lineRule="exact"/>
              <w:jc w:val="right"/>
              <w:rPr>
                <w:rFonts w:hint="default" w:ascii="Times New Roman" w:hAnsi="Times New Roman"/>
                <w:color w:val="000000"/>
                <w:sz w:val="18"/>
                <w:szCs w:val="18"/>
              </w:rPr>
            </w:pPr>
          </w:p>
        </w:tc>
      </w:tr>
      <w:tr w14:paraId="69D15D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036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909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A3BD1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D24D">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9A21">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AF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735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9FE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1324">
            <w:pPr>
              <w:spacing w:line="192" w:lineRule="exact"/>
              <w:jc w:val="right"/>
              <w:rPr>
                <w:rFonts w:hint="default" w:ascii="Times New Roman" w:hAnsi="Times New Roman"/>
                <w:color w:val="000000"/>
                <w:sz w:val="18"/>
                <w:szCs w:val="18"/>
              </w:rPr>
            </w:pPr>
          </w:p>
        </w:tc>
      </w:tr>
      <w:tr w14:paraId="34E3AB5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A47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03B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EFE5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1179">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0437">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58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41D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BEA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F32F">
            <w:pPr>
              <w:spacing w:line="192" w:lineRule="exact"/>
              <w:jc w:val="right"/>
              <w:rPr>
                <w:rFonts w:hint="default" w:ascii="Times New Roman" w:hAnsi="Times New Roman"/>
                <w:color w:val="000000"/>
                <w:sz w:val="18"/>
                <w:szCs w:val="18"/>
              </w:rPr>
            </w:pPr>
          </w:p>
        </w:tc>
      </w:tr>
      <w:tr w14:paraId="5A8BBB7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4FA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3EFD0">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F017D">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928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w:t>
            </w:r>
            <w:r>
              <w:rPr>
                <w:rFonts w:ascii="Times New Roman" w:hAnsi="Times New Roman"/>
                <w:color w:val="000000"/>
                <w:sz w:val="18"/>
              </w:rPr>
              <w:t xml:space="preserve"> </w:t>
            </w:r>
          </w:p>
        </w:tc>
      </w:tr>
    </w:tbl>
    <w:p w14:paraId="36F1A15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322"/>
        <w:gridCol w:w="3595"/>
        <w:gridCol w:w="1700"/>
        <w:gridCol w:w="1700"/>
        <w:gridCol w:w="1700"/>
        <w:gridCol w:w="1700"/>
        <w:gridCol w:w="1765"/>
        <w:gridCol w:w="1839"/>
      </w:tblGrid>
      <w:tr w14:paraId="4BCFF6C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B633D6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1FA776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893AC9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重庆市九龙坡区石桥铺实验幼儿园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374E444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1107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23CAA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EAB73E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E361B3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C4B94F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38122D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8EC9C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A6355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1A4C3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A3377D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0587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7CDDB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731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81E87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520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F9D10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3A4F1">
            <w:pPr>
              <w:jc w:val="center"/>
              <w:textAlignment w:val="center"/>
              <w:rPr>
                <w:rFonts w:hint="default" w:cs="宋体"/>
                <w:b/>
                <w:color w:val="000000"/>
                <w:sz w:val="20"/>
                <w:szCs w:val="20"/>
              </w:rPr>
            </w:pPr>
            <w:r>
              <w:rPr>
                <w:rFonts w:cs="宋体"/>
                <w:b/>
                <w:color w:val="000000"/>
                <w:sz w:val="20"/>
                <w:szCs w:val="20"/>
              </w:rPr>
              <w:t>年末结转和结余</w:t>
            </w:r>
          </w:p>
        </w:tc>
      </w:tr>
      <w:tr w14:paraId="076066F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EFF6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B3F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688E8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1867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5308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4EC7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1027A">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19B1">
            <w:pPr>
              <w:jc w:val="center"/>
              <w:rPr>
                <w:rFonts w:hint="default" w:cs="宋体"/>
                <w:b/>
                <w:color w:val="000000"/>
                <w:sz w:val="20"/>
                <w:szCs w:val="20"/>
              </w:rPr>
            </w:pPr>
          </w:p>
        </w:tc>
      </w:tr>
      <w:tr w14:paraId="06A2EE4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843B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27FF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D07D4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6B38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EDDA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A0ED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E187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A906">
            <w:pPr>
              <w:jc w:val="center"/>
              <w:rPr>
                <w:rFonts w:hint="default" w:cs="宋体"/>
                <w:b/>
                <w:color w:val="000000"/>
                <w:sz w:val="20"/>
                <w:szCs w:val="20"/>
              </w:rPr>
            </w:pPr>
          </w:p>
        </w:tc>
      </w:tr>
      <w:tr w14:paraId="67E218A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85BE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D08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8AF2C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8EA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D9E5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355D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B5E8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02A3">
            <w:pPr>
              <w:jc w:val="center"/>
              <w:rPr>
                <w:rFonts w:hint="default" w:cs="宋体"/>
                <w:b/>
                <w:color w:val="000000"/>
                <w:sz w:val="20"/>
                <w:szCs w:val="20"/>
              </w:rPr>
            </w:pPr>
          </w:p>
        </w:tc>
      </w:tr>
      <w:tr w14:paraId="08C7025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899C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19A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69C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EF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EC0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D0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256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E0D540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A73E">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CB20E">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174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55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27A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192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51D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7BA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0CF5C8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3123E31">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2"/>
        <w:gridCol w:w="190"/>
        <w:gridCol w:w="3463"/>
        <w:gridCol w:w="86"/>
        <w:gridCol w:w="3402"/>
      </w:tblGrid>
      <w:tr w14:paraId="7166D7F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7968E4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58A333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9AF7FE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重庆市九龙坡区石桥铺实验幼儿园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1A9CD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E0D7F9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BC0D4A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C4DD86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3B156B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28C400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616E3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982F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1BE003">
            <w:pPr>
              <w:jc w:val="center"/>
              <w:textAlignment w:val="bottom"/>
              <w:rPr>
                <w:rFonts w:hint="default" w:cs="宋体"/>
                <w:b/>
                <w:color w:val="000000"/>
                <w:sz w:val="20"/>
                <w:szCs w:val="20"/>
              </w:rPr>
            </w:pPr>
            <w:r>
              <w:rPr>
                <w:rFonts w:cs="宋体"/>
                <w:b/>
                <w:color w:val="000000"/>
                <w:sz w:val="20"/>
                <w:szCs w:val="20"/>
              </w:rPr>
              <w:t>本年支出</w:t>
            </w:r>
          </w:p>
        </w:tc>
      </w:tr>
      <w:tr w14:paraId="5D6FFCE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0D07">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3F5A8">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37A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1F04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DA837">
            <w:pPr>
              <w:jc w:val="center"/>
              <w:textAlignment w:val="center"/>
              <w:rPr>
                <w:rFonts w:hint="default" w:cs="宋体"/>
                <w:b/>
                <w:color w:val="000000"/>
                <w:sz w:val="20"/>
                <w:szCs w:val="20"/>
              </w:rPr>
            </w:pPr>
            <w:r>
              <w:rPr>
                <w:rFonts w:cs="宋体"/>
                <w:b/>
                <w:color w:val="000000"/>
                <w:sz w:val="20"/>
                <w:szCs w:val="20"/>
              </w:rPr>
              <w:t>项目支出</w:t>
            </w:r>
          </w:p>
        </w:tc>
      </w:tr>
      <w:tr w14:paraId="51E8D92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552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8D93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49E7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96AA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D57F3">
            <w:pPr>
              <w:jc w:val="center"/>
              <w:rPr>
                <w:rFonts w:hint="default" w:cs="宋体"/>
                <w:b/>
                <w:color w:val="000000"/>
                <w:sz w:val="20"/>
                <w:szCs w:val="20"/>
              </w:rPr>
            </w:pPr>
          </w:p>
        </w:tc>
      </w:tr>
      <w:tr w14:paraId="2B3FD8A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9123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7536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F013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B75D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8BD57">
            <w:pPr>
              <w:jc w:val="center"/>
              <w:rPr>
                <w:rFonts w:hint="default" w:cs="宋体"/>
                <w:b/>
                <w:color w:val="000000"/>
                <w:sz w:val="20"/>
                <w:szCs w:val="20"/>
              </w:rPr>
            </w:pPr>
          </w:p>
        </w:tc>
      </w:tr>
      <w:tr w14:paraId="37D733B2">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2CBF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6343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5C5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D0C0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4600C">
            <w:pPr>
              <w:jc w:val="center"/>
              <w:rPr>
                <w:rFonts w:hint="default" w:cs="宋体"/>
                <w:b/>
                <w:color w:val="000000"/>
                <w:sz w:val="20"/>
                <w:szCs w:val="20"/>
              </w:rPr>
            </w:pPr>
          </w:p>
        </w:tc>
      </w:tr>
      <w:tr w14:paraId="5D4C244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39D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502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2E42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51A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0C18B5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FCF9">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D054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758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54B9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5D0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1DEA6C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6B0046A">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826C6D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C07348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81179B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D2163D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26D126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B69DF6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BC128D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8FBEE1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43E375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30182E6">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重庆市九龙坡区石桥铺实验幼儿园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AF56A2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F70C06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CFDE4D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E9EF86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644A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42EFA">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6C77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CA0A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41F1E">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58920B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AD05A">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02B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C83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3761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8157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BE1C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23D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1EF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923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5A1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2C4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CDDB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7F1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91067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DB2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7CD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CC08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1581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D25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F4E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B91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36420">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AABE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CFD1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0F0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07C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DE1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0D4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9069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4F91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E4E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0EF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3CB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11C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9A59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0CCE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C0D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CB1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1D0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26E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A3A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2E88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3DB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B2B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9F6F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3FE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85E8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A235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4C2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4C4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BE0B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A01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F434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B9CF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2EA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3C6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D97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A18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F3F3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A2CF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715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CFF6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9B42A">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E2B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CC8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1304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778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485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21B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3B2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FBF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59CC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6B3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559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C080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4A2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382A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A947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5A1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38D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3D1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FB7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1163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669A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7B6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E17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7C1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09BE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296D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7A9AF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74D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9F5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209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0FD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DB57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rPr>
              <w:t xml:space="preserve"> </w:t>
            </w:r>
          </w:p>
        </w:tc>
      </w:tr>
      <w:tr w14:paraId="110E46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FB2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1E3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04C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FC3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2489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rPr>
              <w:t xml:space="preserve"> </w:t>
            </w:r>
          </w:p>
        </w:tc>
      </w:tr>
      <w:tr w14:paraId="4C2178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E5E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A12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AEB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840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1BEB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1A53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A87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92A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FA1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E53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A6A8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B50B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128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7F3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1C6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BE2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F5B8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rPr>
              <w:t xml:space="preserve"> </w:t>
            </w:r>
          </w:p>
        </w:tc>
      </w:tr>
      <w:tr w14:paraId="149B35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ADC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AE42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0E2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DFE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9B7F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rPr>
              <w:t xml:space="preserve"> </w:t>
            </w:r>
          </w:p>
        </w:tc>
      </w:tr>
      <w:tr w14:paraId="34F396F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9E4A8">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1B4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DEA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5732F">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0677B">
            <w:pPr>
              <w:spacing w:line="280" w:lineRule="exact"/>
              <w:jc w:val="right"/>
              <w:rPr>
                <w:rFonts w:hint="default" w:cs="宋体"/>
                <w:color w:val="000000"/>
                <w:kern w:val="2"/>
                <w:sz w:val="16"/>
                <w:szCs w:val="16"/>
              </w:rPr>
            </w:pPr>
          </w:p>
        </w:tc>
      </w:tr>
      <w:tr w14:paraId="4098DBD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1F73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8F5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8256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335D6">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CCBAF">
            <w:pPr>
              <w:spacing w:line="280" w:lineRule="exact"/>
              <w:jc w:val="right"/>
              <w:rPr>
                <w:rFonts w:hint="default" w:cs="宋体"/>
                <w:color w:val="000000"/>
                <w:kern w:val="2"/>
                <w:sz w:val="16"/>
                <w:szCs w:val="16"/>
              </w:rPr>
            </w:pPr>
          </w:p>
        </w:tc>
      </w:tr>
      <w:tr w14:paraId="36CA6F8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DF3D9">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9111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119D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F30CC">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56A71">
            <w:pPr>
              <w:spacing w:line="280" w:lineRule="exact"/>
              <w:jc w:val="right"/>
              <w:rPr>
                <w:rFonts w:hint="default" w:cs="宋体"/>
                <w:color w:val="000000"/>
                <w:sz w:val="16"/>
                <w:szCs w:val="16"/>
              </w:rPr>
            </w:pPr>
          </w:p>
        </w:tc>
      </w:tr>
    </w:tbl>
    <w:p w14:paraId="3C5BE35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84334">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128907">
                          <w:pPr>
                            <w:pStyle w:val="4"/>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default"/>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6128907">
                    <w:pPr>
                      <w:pStyle w:val="4"/>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default"/>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AE331">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91ED3">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AC91ED3">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87BF668">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87BF668">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FB6E">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30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2MWI0NDg2ZjBlNWNhOWFmODA1YWQyMmExN2MxZjIifQ=="/>
  </w:docVars>
  <w:rsids>
    <w:rsidRoot w:val="00B03CCD"/>
    <w:rsid w:val="00062039"/>
    <w:rsid w:val="000736E9"/>
    <w:rsid w:val="000D7BCC"/>
    <w:rsid w:val="001125BF"/>
    <w:rsid w:val="00166F37"/>
    <w:rsid w:val="001E5D7C"/>
    <w:rsid w:val="002E0928"/>
    <w:rsid w:val="004564A0"/>
    <w:rsid w:val="004C7BF9"/>
    <w:rsid w:val="005323F8"/>
    <w:rsid w:val="00542DDB"/>
    <w:rsid w:val="00543E15"/>
    <w:rsid w:val="00550ABE"/>
    <w:rsid w:val="005919F3"/>
    <w:rsid w:val="005E7F68"/>
    <w:rsid w:val="00613050"/>
    <w:rsid w:val="00626FAC"/>
    <w:rsid w:val="00634FD1"/>
    <w:rsid w:val="006E3FD5"/>
    <w:rsid w:val="00716F5C"/>
    <w:rsid w:val="00780A53"/>
    <w:rsid w:val="00787DEE"/>
    <w:rsid w:val="007A73C8"/>
    <w:rsid w:val="007B419D"/>
    <w:rsid w:val="00813EAA"/>
    <w:rsid w:val="0082334A"/>
    <w:rsid w:val="008623E6"/>
    <w:rsid w:val="0087095D"/>
    <w:rsid w:val="009620BE"/>
    <w:rsid w:val="00963DE5"/>
    <w:rsid w:val="009B67B8"/>
    <w:rsid w:val="009D109A"/>
    <w:rsid w:val="009E2517"/>
    <w:rsid w:val="00A10542"/>
    <w:rsid w:val="00A5047E"/>
    <w:rsid w:val="00AE3441"/>
    <w:rsid w:val="00B03CCD"/>
    <w:rsid w:val="00B13600"/>
    <w:rsid w:val="00B23792"/>
    <w:rsid w:val="00B305B2"/>
    <w:rsid w:val="00B63FA9"/>
    <w:rsid w:val="00BB1CF9"/>
    <w:rsid w:val="00C7768B"/>
    <w:rsid w:val="00CB2938"/>
    <w:rsid w:val="00D727CB"/>
    <w:rsid w:val="00DE2AA0"/>
    <w:rsid w:val="00E83148"/>
    <w:rsid w:val="00EF679D"/>
    <w:rsid w:val="00F51E9D"/>
    <w:rsid w:val="00FD06A7"/>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9E3C1F"/>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11494E"/>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355CE1"/>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137D98"/>
    <w:rsid w:val="2FE029D7"/>
    <w:rsid w:val="2FF06E00"/>
    <w:rsid w:val="315F0B22"/>
    <w:rsid w:val="31BE24D6"/>
    <w:rsid w:val="31D84415"/>
    <w:rsid w:val="32285F6F"/>
    <w:rsid w:val="32770556"/>
    <w:rsid w:val="329C0913"/>
    <w:rsid w:val="3337290D"/>
    <w:rsid w:val="334B0167"/>
    <w:rsid w:val="346F257B"/>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4B7991"/>
    <w:rsid w:val="411B6CE5"/>
    <w:rsid w:val="412070D7"/>
    <w:rsid w:val="41314E40"/>
    <w:rsid w:val="415C674B"/>
    <w:rsid w:val="426C1EA8"/>
    <w:rsid w:val="42E86A87"/>
    <w:rsid w:val="43136432"/>
    <w:rsid w:val="443A3B12"/>
    <w:rsid w:val="44487B36"/>
    <w:rsid w:val="446E1F07"/>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09B0528"/>
    <w:rsid w:val="51760217"/>
    <w:rsid w:val="51E36677"/>
    <w:rsid w:val="51F01F7D"/>
    <w:rsid w:val="522F6E0C"/>
    <w:rsid w:val="52463BA1"/>
    <w:rsid w:val="529F078E"/>
    <w:rsid w:val="52CD6C20"/>
    <w:rsid w:val="52DA32A9"/>
    <w:rsid w:val="53990623"/>
    <w:rsid w:val="53C0244D"/>
    <w:rsid w:val="53DD4D4E"/>
    <w:rsid w:val="53E578CE"/>
    <w:rsid w:val="53EA10F5"/>
    <w:rsid w:val="53F141A1"/>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B449D7"/>
    <w:rsid w:val="5DC17CC6"/>
    <w:rsid w:val="5EFA176D"/>
    <w:rsid w:val="5F0247F9"/>
    <w:rsid w:val="5F2D4A41"/>
    <w:rsid w:val="601C34ED"/>
    <w:rsid w:val="60A511FB"/>
    <w:rsid w:val="61025A59"/>
    <w:rsid w:val="613D5BBC"/>
    <w:rsid w:val="61536C39"/>
    <w:rsid w:val="616D60F9"/>
    <w:rsid w:val="62944DD7"/>
    <w:rsid w:val="629F08EF"/>
    <w:rsid w:val="62CE6F4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9F4AA4"/>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5361</Words>
  <Characters>6022</Characters>
  <Lines>103</Lines>
  <Paragraphs>29</Paragraphs>
  <TotalTime>25</TotalTime>
  <ScaleCrop>false</ScaleCrop>
  <LinksUpToDate>false</LinksUpToDate>
  <CharactersWithSpaces>6077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2025-10-28T06:41:13Z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