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E5DD4">
      <w:pPr>
        <w:keepNext w:val="0"/>
        <w:keepLines w:val="0"/>
        <w:pageBreakBefore w:val="0"/>
        <w:widowControl/>
        <w:kinsoku/>
        <w:wordWrap/>
        <w:overflowPunct/>
        <w:topLinePunct w:val="0"/>
        <w:autoSpaceDE/>
        <w:autoSpaceDN/>
        <w:bidi w:val="0"/>
        <w:adjustRightInd/>
        <w:snapToGrid w:val="0"/>
        <w:spacing w:line="600" w:lineRule="exact"/>
        <w:ind w:firstLine="0" w:firstLineChars="0"/>
        <w:jc w:val="center"/>
        <w:textAlignment w:val="auto"/>
        <w:rPr>
          <w:rFonts w:hint="default" w:ascii="Times New Roman" w:hAnsi="Times New Roman" w:eastAsia="方正小标宋_GBK"/>
          <w:sz w:val="44"/>
          <w:szCs w:val="44"/>
        </w:rPr>
      </w:pPr>
      <w:r>
        <w:rPr>
          <w:rFonts w:hint="default" w:ascii="Times New Roman" w:hAnsi="Times New Roman" w:eastAsia="方正小标宋_GBK"/>
          <w:sz w:val="44"/>
          <w:szCs w:val="44"/>
        </w:rPr>
        <w:t>重庆市九龙坡区华福实验幼儿园</w:t>
      </w:r>
    </w:p>
    <w:p w14:paraId="3904038B">
      <w:pPr>
        <w:keepNext w:val="0"/>
        <w:keepLines w:val="0"/>
        <w:pageBreakBefore w:val="0"/>
        <w:widowControl/>
        <w:kinsoku/>
        <w:wordWrap/>
        <w:overflowPunct/>
        <w:topLinePunct w:val="0"/>
        <w:autoSpaceDE/>
        <w:autoSpaceDN/>
        <w:bidi w:val="0"/>
        <w:adjustRightInd/>
        <w:snapToGrid w:val="0"/>
        <w:spacing w:line="600" w:lineRule="exact"/>
        <w:ind w:firstLine="0" w:firstLineChars="0"/>
        <w:jc w:val="center"/>
        <w:textAlignment w:val="auto"/>
        <w:rPr>
          <w:rFonts w:hint="default" w:ascii="Times New Roman" w:hAnsi="Times New Roman" w:eastAsia="方正小标宋_GBK"/>
          <w:sz w:val="44"/>
          <w:szCs w:val="44"/>
        </w:rPr>
      </w:pPr>
      <w:r>
        <w:rPr>
          <w:rFonts w:hint="default" w:ascii="Times New Roman" w:hAnsi="Times New Roman" w:eastAsia="方正小标宋_GBK"/>
          <w:sz w:val="44"/>
          <w:szCs w:val="44"/>
        </w:rPr>
        <w:t>202</w:t>
      </w:r>
      <w:r>
        <w:rPr>
          <w:rFonts w:hint="eastAsia" w:ascii="Times New Roman" w:hAnsi="Times New Roman" w:eastAsia="方正小标宋_GBK"/>
          <w:sz w:val="44"/>
          <w:szCs w:val="44"/>
          <w:lang w:val="en-US" w:eastAsia="zh-CN"/>
        </w:rPr>
        <w:t>4</w:t>
      </w:r>
      <w:r>
        <w:rPr>
          <w:rFonts w:hint="default" w:ascii="Times New Roman" w:hAnsi="Times New Roman" w:eastAsia="方正小标宋_GBK"/>
          <w:sz w:val="44"/>
          <w:szCs w:val="44"/>
        </w:rPr>
        <w:t>年度</w:t>
      </w:r>
      <w:r>
        <w:rPr>
          <w:rFonts w:hint="eastAsia" w:ascii="Times New Roman" w:hAnsi="Times New Roman" w:eastAsia="方正小标宋_GBK"/>
          <w:sz w:val="44"/>
          <w:szCs w:val="44"/>
          <w:lang w:val="en-US" w:eastAsia="zh-CN"/>
        </w:rPr>
        <w:t>单位</w:t>
      </w:r>
      <w:r>
        <w:rPr>
          <w:rFonts w:hint="default" w:ascii="Times New Roman" w:hAnsi="Times New Roman" w:eastAsia="方正小标宋_GBK"/>
          <w:sz w:val="44"/>
          <w:szCs w:val="44"/>
        </w:rPr>
        <w:t>决算情况说明</w:t>
      </w:r>
    </w:p>
    <w:p w14:paraId="086D569F">
      <w:pPr>
        <w:widowControl w:val="0"/>
        <w:spacing w:line="600" w:lineRule="exact"/>
        <w:ind w:firstLine="640" w:firstLineChars="200"/>
        <w:jc w:val="both"/>
        <w:rPr>
          <w:rFonts w:hint="default" w:ascii="Times New Roman" w:hAnsi="Times New Roman" w:eastAsia="方正黑体_GBK" w:cs="宋体"/>
          <w:bCs/>
          <w:kern w:val="0"/>
          <w:sz w:val="32"/>
          <w:szCs w:val="20"/>
        </w:rPr>
      </w:pPr>
    </w:p>
    <w:p w14:paraId="7FD75062">
      <w:pPr>
        <w:widowControl w:val="0"/>
        <w:spacing w:line="600" w:lineRule="exact"/>
        <w:ind w:firstLine="640" w:firstLineChars="200"/>
        <w:jc w:val="both"/>
        <w:rPr>
          <w:rFonts w:hint="default" w:ascii="Times New Roman" w:hAnsi="Times New Roman" w:eastAsia="方正黑体_GBK" w:cs="宋体"/>
          <w:bCs/>
          <w:kern w:val="0"/>
          <w:sz w:val="32"/>
          <w:szCs w:val="32"/>
        </w:rPr>
      </w:pPr>
      <w:r>
        <w:rPr>
          <w:rFonts w:hint="default" w:ascii="Times New Roman" w:hAnsi="Times New Roman" w:eastAsia="方正黑体_GBK" w:cs="宋体"/>
          <w:bCs/>
          <w:kern w:val="0"/>
          <w:sz w:val="32"/>
          <w:szCs w:val="32"/>
        </w:rPr>
        <w:t>一、单位基本情况</w:t>
      </w:r>
    </w:p>
    <w:p w14:paraId="542FCCB4">
      <w:pPr>
        <w:keepNext w:val="0"/>
        <w:keepLines w:val="0"/>
        <w:pageBreakBefore w:val="0"/>
        <w:kinsoku/>
        <w:wordWrap/>
        <w:overflowPunct/>
        <w:topLinePunct w:val="0"/>
        <w:autoSpaceDN/>
        <w:bidi w:val="0"/>
        <w:adjustRightInd/>
        <w:snapToGrid w:val="0"/>
        <w:spacing w:line="600" w:lineRule="exact"/>
        <w:ind w:firstLine="640" w:firstLineChars="200"/>
        <w:jc w:val="both"/>
        <w:textAlignment w:val="auto"/>
        <w:rPr>
          <w:rFonts w:hint="default" w:ascii="Times New Roman" w:hAnsi="Times New Roman" w:eastAsia="方正楷体_GBK"/>
          <w:sz w:val="32"/>
          <w:szCs w:val="32"/>
        </w:rPr>
      </w:pPr>
      <w:r>
        <w:rPr>
          <w:rFonts w:hint="default" w:ascii="Times New Roman" w:hAnsi="Times New Roman" w:eastAsia="方正楷体_GBK"/>
          <w:sz w:val="32"/>
          <w:szCs w:val="32"/>
        </w:rPr>
        <w:t>（一）职能职责</w:t>
      </w:r>
    </w:p>
    <w:p w14:paraId="464BC9D3">
      <w:pPr>
        <w:pStyle w:val="8"/>
        <w:keepNext w:val="0"/>
        <w:keepLines w:val="0"/>
        <w:pageBreakBefore w:val="0"/>
        <w:shd w:val="clear" w:color="auto" w:fill="FFFFFF"/>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r>
        <w:rPr>
          <w:rFonts w:hint="default" w:ascii="Times New Roman" w:hAnsi="Times New Roman" w:eastAsia="方正仿宋_GBK" w:cs="宋体"/>
          <w:kern w:val="0"/>
          <w:sz w:val="32"/>
          <w:szCs w:val="32"/>
          <w:lang w:val="en-US" w:eastAsia="zh-CN" w:bidi="ar-SA"/>
        </w:rPr>
        <w:t>重庆市九龙坡区华福实验幼儿园的主要职能是：为学龄前儿童提供保育和教育服务，开展保育教育服务；促进幼儿的智力发展；培养幼儿热爱祖国的情感和良好的品德行为；开展基本卫生保健服务；负责幼儿园人事、财务、档案及后勤等行政管理工作；维护园区安全，提供后勤保障服务。</w:t>
      </w:r>
    </w:p>
    <w:p w14:paraId="29F3A717">
      <w:pPr>
        <w:keepNext w:val="0"/>
        <w:keepLines w:val="0"/>
        <w:pageBreakBefore w:val="0"/>
        <w:kinsoku/>
        <w:wordWrap/>
        <w:overflowPunct/>
        <w:topLinePunct w:val="0"/>
        <w:autoSpaceDN/>
        <w:bidi w:val="0"/>
        <w:adjustRightInd/>
        <w:snapToGrid w:val="0"/>
        <w:spacing w:line="600"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楷体_GBK"/>
          <w:sz w:val="32"/>
          <w:szCs w:val="32"/>
        </w:rPr>
        <w:t>（二）机构设置</w:t>
      </w:r>
    </w:p>
    <w:p w14:paraId="0DC30E36">
      <w:pPr>
        <w:pStyle w:val="16"/>
        <w:keepNext w:val="0"/>
        <w:keepLines w:val="0"/>
        <w:pageBreakBefore w:val="0"/>
        <w:kinsoku/>
        <w:wordWrap/>
        <w:overflowPunct/>
        <w:topLinePunct w:val="0"/>
        <w:autoSpaceDN/>
        <w:bidi w:val="0"/>
        <w:adjustRightInd/>
        <w:snapToGrid w:val="0"/>
        <w:spacing w:line="600" w:lineRule="exact"/>
        <w:ind w:firstLine="640" w:firstLineChars="200"/>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重庆市九龙坡区华福实验幼儿园是财政全额拨款的事业单位，内设机构有行政办公室、总务处、保教部、保健部、财务室等5个处室。</w:t>
      </w:r>
    </w:p>
    <w:p w14:paraId="6FC86DD0">
      <w:pPr>
        <w:widowControl w:val="0"/>
        <w:spacing w:line="600" w:lineRule="exact"/>
        <w:ind w:firstLine="640" w:firstLineChars="200"/>
        <w:jc w:val="both"/>
        <w:rPr>
          <w:rFonts w:hint="default" w:ascii="Times New Roman" w:hAnsi="Times New Roman" w:eastAsia="方正黑体_GBK" w:cs="宋体"/>
          <w:bCs/>
          <w:kern w:val="0"/>
          <w:sz w:val="32"/>
          <w:szCs w:val="32"/>
        </w:rPr>
      </w:pPr>
      <w:r>
        <w:rPr>
          <w:rFonts w:hint="default" w:ascii="Times New Roman" w:hAnsi="Times New Roman" w:eastAsia="方正黑体_GBK" w:cs="宋体"/>
          <w:bCs/>
          <w:kern w:val="0"/>
          <w:sz w:val="32"/>
          <w:szCs w:val="32"/>
        </w:rPr>
        <w:t>二、单位决算情况说明</w:t>
      </w:r>
    </w:p>
    <w:p w14:paraId="5775C94D">
      <w:pPr>
        <w:keepNext w:val="0"/>
        <w:keepLines w:val="0"/>
        <w:pageBreakBefore w:val="0"/>
        <w:kinsoku/>
        <w:wordWrap/>
        <w:overflowPunct/>
        <w:topLinePunct w:val="0"/>
        <w:autoSpaceDN/>
        <w:bidi w:val="0"/>
        <w:adjustRightInd/>
        <w:snapToGrid w:val="0"/>
        <w:spacing w:line="600" w:lineRule="exact"/>
        <w:ind w:firstLine="640" w:firstLineChars="200"/>
        <w:jc w:val="both"/>
        <w:textAlignment w:val="auto"/>
        <w:rPr>
          <w:rFonts w:hint="default" w:ascii="Times New Roman" w:hAnsi="Times New Roman" w:eastAsia="方正楷体_GBK"/>
          <w:sz w:val="32"/>
          <w:szCs w:val="32"/>
        </w:rPr>
      </w:pPr>
      <w:r>
        <w:rPr>
          <w:rFonts w:hint="default" w:ascii="Times New Roman" w:hAnsi="Times New Roman" w:eastAsia="方正楷体_GBK"/>
          <w:sz w:val="32"/>
          <w:szCs w:val="32"/>
        </w:rPr>
        <w:t>（一）收入支出决算总体情况说明</w:t>
      </w:r>
    </w:p>
    <w:p w14:paraId="697E863A">
      <w:pPr>
        <w:pStyle w:val="17"/>
        <w:keepNext w:val="0"/>
        <w:keepLines w:val="0"/>
        <w:pageBreakBefore w:val="0"/>
        <w:widowControl w:val="0"/>
        <w:kinsoku/>
        <w:wordWrap/>
        <w:overflowPunct/>
        <w:topLinePunct w:val="0"/>
        <w:autoSpaceDN/>
        <w:bidi w:val="0"/>
        <w:adjustRightInd/>
        <w:snapToGrid w:val="0"/>
        <w:spacing w:line="600" w:lineRule="exact"/>
        <w:ind w:firstLine="643" w:firstLineChars="200"/>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b/>
          <w:bCs/>
          <w:kern w:val="0"/>
          <w:sz w:val="32"/>
          <w:szCs w:val="32"/>
          <w:lang w:val="en-US" w:eastAsia="zh-CN" w:bidi="ar-SA"/>
        </w:rPr>
        <w:t>1.总体情况。</w:t>
      </w:r>
      <w:r>
        <w:rPr>
          <w:rFonts w:hint="eastAsia" w:ascii="Times New Roman" w:hAnsi="Times New Roman" w:eastAsia="方正仿宋_GBK" w:cs="宋体"/>
          <w:kern w:val="0"/>
          <w:sz w:val="32"/>
          <w:szCs w:val="32"/>
          <w:lang w:val="en-US" w:eastAsia="zh-CN" w:bidi="ar-SA"/>
        </w:rPr>
        <w:t>2024年度收入总计1391.91万元，支出总计1391.91万元。收、支与2023年度相比，减少51.70万元，下降3.6%，主要原因是我校学生人数减少，人员经费和维持运转需要的日常公用经费相应减少。</w:t>
      </w:r>
    </w:p>
    <w:p w14:paraId="7E4AB5B4">
      <w:pPr>
        <w:pStyle w:val="17"/>
        <w:keepNext w:val="0"/>
        <w:keepLines w:val="0"/>
        <w:pageBreakBefore w:val="0"/>
        <w:widowControl w:val="0"/>
        <w:kinsoku/>
        <w:wordWrap/>
        <w:overflowPunct/>
        <w:topLinePunct w:val="0"/>
        <w:autoSpaceDN/>
        <w:bidi w:val="0"/>
        <w:adjustRightInd/>
        <w:snapToGrid w:val="0"/>
        <w:spacing w:line="600" w:lineRule="exact"/>
        <w:ind w:firstLine="643" w:firstLineChars="200"/>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b/>
          <w:bCs/>
          <w:kern w:val="0"/>
          <w:sz w:val="32"/>
          <w:szCs w:val="32"/>
          <w:lang w:val="en-US" w:eastAsia="zh-CN" w:bidi="ar-SA"/>
        </w:rPr>
        <w:t>2.收入情况</w:t>
      </w:r>
      <w:r>
        <w:rPr>
          <w:rFonts w:hint="eastAsia" w:ascii="Times New Roman" w:hAnsi="Times New Roman" w:eastAsia="方正仿宋_GBK" w:cs="宋体"/>
          <w:kern w:val="0"/>
          <w:sz w:val="32"/>
          <w:szCs w:val="32"/>
          <w:lang w:val="en-US" w:eastAsia="zh-CN" w:bidi="ar-SA"/>
        </w:rPr>
        <w:t>。2024年度收入合计1391.91万元，与2023年度相比，减少51.70万元，下降3.6%，主要原因是我校学生人数减少，人员经费和维持运转需要的日常公用经费相应减少。其中：财政拨款收入852.82万元，占61.27%；事业收入539.08万元，占38.73%。</w:t>
      </w:r>
    </w:p>
    <w:p w14:paraId="4FA8B7FA">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宋体"/>
          <w:kern w:val="0"/>
          <w:sz w:val="32"/>
          <w:szCs w:val="32"/>
          <w:lang w:val="en-US" w:eastAsia="zh-CN" w:bidi="ar-SA"/>
        </w:rPr>
      </w:pPr>
      <w:r>
        <w:rPr>
          <w:rFonts w:hint="default" w:ascii="Times New Roman" w:hAnsi="Times New Roman" w:eastAsia="方正仿宋_GBK" w:cs="宋体"/>
          <w:b/>
          <w:bCs/>
          <w:kern w:val="0"/>
          <w:sz w:val="32"/>
          <w:szCs w:val="32"/>
          <w:lang w:val="en-US" w:eastAsia="zh-CN" w:bidi="ar-SA"/>
        </w:rPr>
        <w:t>3.支出情况。</w:t>
      </w:r>
      <w:r>
        <w:rPr>
          <w:rFonts w:hint="eastAsia" w:ascii="Times New Roman" w:hAnsi="Times New Roman" w:eastAsia="方正仿宋_GBK" w:cs="宋体"/>
          <w:kern w:val="0"/>
          <w:sz w:val="32"/>
          <w:szCs w:val="32"/>
          <w:lang w:val="en-US" w:eastAsia="zh-CN" w:bidi="ar-SA"/>
        </w:rPr>
        <w:t>2024年度支出合计1391.91万元，与2023年度相比，减少51.70万元，下降3.6%，主要原因是我校学生人数减少，人员经费和维持运转需要的日常公用经费相应减少。其中：基本支出335.27万元，占24.09%；项目支出1056.64万元，占75.91%。</w:t>
      </w:r>
    </w:p>
    <w:p w14:paraId="7CD1B562">
      <w:pPr>
        <w:keepNext w:val="0"/>
        <w:keepLines w:val="0"/>
        <w:pageBreakBefore w:val="0"/>
        <w:kinsoku/>
        <w:wordWrap/>
        <w:overflowPunct/>
        <w:topLinePunct w:val="0"/>
        <w:autoSpaceDN/>
        <w:bidi w:val="0"/>
        <w:adjustRightInd/>
        <w:snapToGrid w:val="0"/>
        <w:spacing w:line="600" w:lineRule="exact"/>
        <w:ind w:firstLine="643" w:firstLineChars="200"/>
        <w:jc w:val="both"/>
        <w:textAlignment w:val="auto"/>
        <w:rPr>
          <w:rFonts w:hint="default" w:ascii="Times New Roman" w:hAnsi="Times New Roman"/>
          <w:sz w:val="32"/>
          <w:szCs w:val="32"/>
        </w:rPr>
      </w:pPr>
      <w:r>
        <w:rPr>
          <w:rFonts w:hint="default" w:ascii="Times New Roman" w:hAnsi="Times New Roman" w:eastAsia="方正仿宋_GBK" w:cs="宋体"/>
          <w:b/>
          <w:bCs/>
          <w:kern w:val="0"/>
          <w:sz w:val="32"/>
          <w:szCs w:val="32"/>
        </w:rPr>
        <w:t>4.结转结余情况。</w:t>
      </w:r>
      <w:r>
        <w:rPr>
          <w:rFonts w:hint="eastAsia" w:ascii="Times New Roman" w:hAnsi="Times New Roman" w:eastAsia="方正仿宋_GBK" w:cs="宋体"/>
          <w:kern w:val="0"/>
          <w:sz w:val="32"/>
          <w:szCs w:val="32"/>
          <w:lang w:eastAsia="zh-CN"/>
        </w:rPr>
        <w:t>2024年</w:t>
      </w:r>
      <w:r>
        <w:rPr>
          <w:rFonts w:hint="eastAsia" w:ascii="Times New Roman" w:hAnsi="Times New Roman" w:eastAsia="方正仿宋_GBK" w:cs="宋体"/>
          <w:kern w:val="0"/>
          <w:sz w:val="32"/>
          <w:szCs w:val="32"/>
        </w:rPr>
        <w:t>度年末结转和结余0.00万元，与2023年度相比，无增减，主要原因是</w:t>
      </w:r>
      <w:r>
        <w:rPr>
          <w:rFonts w:hint="default" w:ascii="Times New Roman" w:hAnsi="Times New Roman" w:eastAsia="方正仿宋_GBK" w:cs="宋体"/>
          <w:kern w:val="0"/>
          <w:sz w:val="32"/>
          <w:szCs w:val="32"/>
        </w:rPr>
        <w:t>我单位合理安排收支，保证经费的使用效率和使用进度，无结余。</w:t>
      </w:r>
    </w:p>
    <w:p w14:paraId="4E007036">
      <w:pPr>
        <w:keepNext w:val="0"/>
        <w:keepLines w:val="0"/>
        <w:pageBreakBefore w:val="0"/>
        <w:kinsoku/>
        <w:wordWrap/>
        <w:overflowPunct/>
        <w:topLinePunct w:val="0"/>
        <w:autoSpaceDN/>
        <w:bidi w:val="0"/>
        <w:adjustRightInd/>
        <w:snapToGrid w:val="0"/>
        <w:spacing w:line="600" w:lineRule="exact"/>
        <w:ind w:firstLine="640" w:firstLineChars="200"/>
        <w:jc w:val="both"/>
        <w:textAlignment w:val="auto"/>
        <w:rPr>
          <w:rFonts w:hint="default" w:ascii="Times New Roman" w:hAnsi="Times New Roman" w:eastAsia="方正楷体_GBK"/>
          <w:sz w:val="32"/>
          <w:szCs w:val="32"/>
        </w:rPr>
      </w:pPr>
      <w:r>
        <w:rPr>
          <w:rFonts w:hint="default" w:ascii="Times New Roman" w:hAnsi="Times New Roman" w:eastAsia="方正楷体_GBK"/>
          <w:sz w:val="32"/>
          <w:szCs w:val="32"/>
        </w:rPr>
        <w:t>（二）财政拨款收入支出决算总体情况说明</w:t>
      </w:r>
    </w:p>
    <w:p w14:paraId="58F3CD54">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2024年度财政拨款收、支总计852.82万元。与2023年相比，财政拨款收、支总计各减少87.94万元，下降9.4%。主要原因是我校学生人数减少，人员经费和维持运转需要的日常公用经费相应减少。</w:t>
      </w:r>
    </w:p>
    <w:p w14:paraId="4FA10DBA">
      <w:pPr>
        <w:keepNext w:val="0"/>
        <w:keepLines w:val="0"/>
        <w:pageBreakBefore w:val="0"/>
        <w:kinsoku/>
        <w:wordWrap/>
        <w:overflowPunct/>
        <w:topLinePunct w:val="0"/>
        <w:autoSpaceDN/>
        <w:bidi w:val="0"/>
        <w:adjustRightInd/>
        <w:snapToGrid w:val="0"/>
        <w:spacing w:line="600" w:lineRule="exact"/>
        <w:ind w:firstLine="640" w:firstLineChars="200"/>
        <w:jc w:val="both"/>
        <w:textAlignment w:val="auto"/>
        <w:rPr>
          <w:rFonts w:hint="default" w:ascii="Times New Roman" w:hAnsi="Times New Roman" w:eastAsia="方正楷体_GBK"/>
          <w:sz w:val="32"/>
          <w:szCs w:val="32"/>
        </w:rPr>
      </w:pPr>
      <w:r>
        <w:rPr>
          <w:rFonts w:hint="default" w:ascii="Times New Roman" w:hAnsi="Times New Roman" w:eastAsia="方正楷体_GBK"/>
          <w:sz w:val="32"/>
          <w:szCs w:val="32"/>
        </w:rPr>
        <w:t>（三）一般公共预算财政拨款收入支出决算情况说明</w:t>
      </w:r>
    </w:p>
    <w:p w14:paraId="25793817">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宋体"/>
          <w:kern w:val="0"/>
          <w:sz w:val="32"/>
          <w:szCs w:val="32"/>
          <w:lang w:val="en-US" w:eastAsia="zh-CN" w:bidi="ar-SA"/>
        </w:rPr>
      </w:pPr>
      <w:r>
        <w:rPr>
          <w:rFonts w:hint="default" w:ascii="Times New Roman" w:hAnsi="Times New Roman" w:eastAsia="方正仿宋_GBK" w:cs="宋体"/>
          <w:b/>
          <w:bCs/>
          <w:kern w:val="0"/>
          <w:sz w:val="32"/>
          <w:szCs w:val="32"/>
          <w:lang w:val="en-US" w:eastAsia="zh-CN" w:bidi="ar-SA"/>
        </w:rPr>
        <w:t>1.收入情况。</w:t>
      </w:r>
      <w:r>
        <w:rPr>
          <w:rFonts w:hint="eastAsia" w:ascii="Times New Roman" w:hAnsi="Times New Roman" w:eastAsia="方正仿宋_GBK" w:cs="宋体"/>
          <w:kern w:val="0"/>
          <w:sz w:val="32"/>
          <w:szCs w:val="32"/>
          <w:lang w:val="en-US" w:eastAsia="zh-CN" w:bidi="ar-SA"/>
        </w:rPr>
        <w:t>2024年度一般公共预算财政拨款收入852.82万元，与2023年度相比，减少87.94万元，下降9.4%。主要原因是我校学生人数减少，人员经费和维持运转需要的日常公用经费相应减少。较年初预算数增加135.04万元，增长18.8%。主要原因是</w:t>
      </w:r>
      <w:r>
        <w:rPr>
          <w:rFonts w:hint="default" w:ascii="Times New Roman" w:hAnsi="Times New Roman" w:eastAsia="方正仿宋_GBK" w:cs="宋体"/>
          <w:kern w:val="0"/>
          <w:sz w:val="32"/>
          <w:szCs w:val="32"/>
          <w:lang w:val="en-US" w:eastAsia="zh-CN" w:bidi="ar-SA"/>
        </w:rPr>
        <w:t>我校新增</w:t>
      </w:r>
      <w:r>
        <w:rPr>
          <w:rFonts w:hint="eastAsia" w:ascii="Times New Roman" w:hAnsi="Times New Roman" w:eastAsia="方正仿宋_GBK" w:cs="宋体"/>
          <w:kern w:val="0"/>
          <w:sz w:val="32"/>
          <w:szCs w:val="32"/>
          <w:lang w:val="en-US" w:eastAsia="zh-CN" w:bidi="ar-SA"/>
        </w:rPr>
        <w:t>项目</w:t>
      </w:r>
      <w:r>
        <w:rPr>
          <w:rFonts w:hint="default" w:ascii="Times New Roman" w:hAnsi="Times New Roman" w:eastAsia="方正仿宋_GBK" w:cs="宋体"/>
          <w:kern w:val="0"/>
          <w:sz w:val="32"/>
          <w:szCs w:val="32"/>
          <w:lang w:val="en-US" w:eastAsia="zh-CN" w:bidi="ar-SA"/>
        </w:rPr>
        <w:t>经费</w:t>
      </w:r>
      <w:r>
        <w:rPr>
          <w:rFonts w:hint="eastAsia" w:ascii="Times New Roman" w:hAnsi="Times New Roman" w:eastAsia="方正仿宋_GBK" w:cs="宋体"/>
          <w:kern w:val="0"/>
          <w:sz w:val="32"/>
          <w:szCs w:val="32"/>
          <w:lang w:val="en-US" w:eastAsia="zh-CN" w:bidi="ar-SA"/>
        </w:rPr>
        <w:t>。</w:t>
      </w:r>
    </w:p>
    <w:p w14:paraId="1766EC5C">
      <w:pPr>
        <w:pStyle w:val="17"/>
        <w:keepNext w:val="0"/>
        <w:keepLines w:val="0"/>
        <w:pageBreakBefore w:val="0"/>
        <w:kinsoku/>
        <w:wordWrap/>
        <w:overflowPunct/>
        <w:topLinePunct w:val="0"/>
        <w:autoSpaceDN/>
        <w:bidi w:val="0"/>
        <w:adjustRightInd/>
        <w:snapToGrid w:val="0"/>
        <w:spacing w:line="600" w:lineRule="exact"/>
        <w:ind w:firstLine="643" w:firstLineChars="200"/>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b/>
          <w:bCs/>
          <w:kern w:val="0"/>
          <w:sz w:val="32"/>
          <w:szCs w:val="32"/>
          <w:lang w:val="en-US" w:eastAsia="zh-CN" w:bidi="ar-SA"/>
        </w:rPr>
        <w:t>2.支出情况。</w:t>
      </w:r>
      <w:r>
        <w:rPr>
          <w:rFonts w:hint="eastAsia" w:ascii="Times New Roman" w:hAnsi="Times New Roman" w:eastAsia="方正仿宋_GBK" w:cs="宋体"/>
          <w:kern w:val="0"/>
          <w:sz w:val="32"/>
          <w:szCs w:val="32"/>
          <w:lang w:val="en-US" w:eastAsia="zh-CN" w:bidi="ar-SA"/>
        </w:rPr>
        <w:t>2024年度一般公共预算财政拨款支出852.82万元，与2023年度相比，减少87.94万元，下降9.4%。主要原因是我校学生人数减少，人员经费和维持运转需要的日常公用经费相应减少。较年初预算数增加135.04万元，增长18.8%。主要原因是</w:t>
      </w:r>
      <w:r>
        <w:rPr>
          <w:rFonts w:hint="default" w:ascii="Times New Roman" w:hAnsi="Times New Roman" w:eastAsia="方正仿宋_GBK" w:cs="宋体"/>
          <w:kern w:val="0"/>
          <w:sz w:val="32"/>
          <w:szCs w:val="32"/>
          <w:lang w:val="en-US" w:eastAsia="zh-CN" w:bidi="ar-SA"/>
        </w:rPr>
        <w:t>我校新增</w:t>
      </w:r>
      <w:r>
        <w:rPr>
          <w:rFonts w:hint="eastAsia" w:ascii="Times New Roman" w:hAnsi="Times New Roman" w:eastAsia="方正仿宋_GBK" w:cs="宋体"/>
          <w:kern w:val="0"/>
          <w:sz w:val="32"/>
          <w:szCs w:val="32"/>
          <w:lang w:val="en-US" w:eastAsia="zh-CN" w:bidi="ar-SA"/>
        </w:rPr>
        <w:t>项目</w:t>
      </w:r>
      <w:r>
        <w:rPr>
          <w:rFonts w:hint="default" w:ascii="Times New Roman" w:hAnsi="Times New Roman" w:eastAsia="方正仿宋_GBK" w:cs="宋体"/>
          <w:kern w:val="0"/>
          <w:sz w:val="32"/>
          <w:szCs w:val="32"/>
          <w:lang w:val="en-US" w:eastAsia="zh-CN" w:bidi="ar-SA"/>
        </w:rPr>
        <w:t>经费</w:t>
      </w:r>
      <w:r>
        <w:rPr>
          <w:rFonts w:hint="eastAsia" w:ascii="Times New Roman" w:hAnsi="Times New Roman" w:eastAsia="方正仿宋_GBK" w:cs="宋体"/>
          <w:kern w:val="0"/>
          <w:sz w:val="32"/>
          <w:szCs w:val="32"/>
          <w:lang w:val="en-US" w:eastAsia="zh-CN" w:bidi="ar-SA"/>
        </w:rPr>
        <w:t>。</w:t>
      </w:r>
    </w:p>
    <w:p w14:paraId="053428BD">
      <w:pPr>
        <w:keepNext w:val="0"/>
        <w:keepLines w:val="0"/>
        <w:pageBreakBefore w:val="0"/>
        <w:kinsoku/>
        <w:wordWrap/>
        <w:overflowPunct/>
        <w:topLinePunct w:val="0"/>
        <w:autoSpaceDN/>
        <w:bidi w:val="0"/>
        <w:adjustRightInd/>
        <w:snapToGrid w:val="0"/>
        <w:spacing w:line="600" w:lineRule="exact"/>
        <w:ind w:firstLine="643" w:firstLineChars="200"/>
        <w:jc w:val="both"/>
        <w:textAlignment w:val="auto"/>
        <w:rPr>
          <w:rFonts w:hint="default" w:ascii="Times New Roman" w:hAnsi="Times New Roman" w:eastAsia="方正仿宋_GBK" w:cs="宋体"/>
          <w:kern w:val="0"/>
          <w:sz w:val="32"/>
          <w:szCs w:val="32"/>
        </w:rPr>
      </w:pPr>
      <w:r>
        <w:rPr>
          <w:rFonts w:hint="default" w:ascii="Times New Roman" w:hAnsi="Times New Roman" w:eastAsia="方正仿宋_GBK" w:cs="宋体"/>
          <w:b/>
          <w:bCs/>
          <w:kern w:val="0"/>
          <w:sz w:val="32"/>
          <w:szCs w:val="32"/>
        </w:rPr>
        <w:t>3.结转结余情况。</w:t>
      </w:r>
      <w:bookmarkStart w:id="0" w:name="_Hlk181105542"/>
      <w:r>
        <w:rPr>
          <w:rFonts w:hint="eastAsia" w:ascii="Times New Roman" w:hAnsi="Times New Roman" w:eastAsia="方正仿宋_GBK" w:cs="宋体"/>
          <w:kern w:val="0"/>
          <w:sz w:val="32"/>
          <w:szCs w:val="32"/>
          <w:lang w:eastAsia="zh-CN"/>
        </w:rPr>
        <w:t>2024年</w:t>
      </w:r>
      <w:r>
        <w:rPr>
          <w:rFonts w:hint="eastAsia" w:ascii="Times New Roman" w:hAnsi="Times New Roman" w:eastAsia="方正仿宋_GBK" w:cs="宋体"/>
          <w:kern w:val="0"/>
          <w:sz w:val="32"/>
          <w:szCs w:val="32"/>
        </w:rPr>
        <w:t>度年末一般公共预算财政拨款结转和结余0.00万元，与2023年度相比，无增减，</w:t>
      </w:r>
      <w:r>
        <w:rPr>
          <w:rFonts w:hint="default" w:ascii="Times New Roman" w:hAnsi="Times New Roman" w:eastAsia="方正仿宋_GBK" w:cs="宋体"/>
          <w:kern w:val="0"/>
          <w:sz w:val="32"/>
          <w:szCs w:val="32"/>
        </w:rPr>
        <w:t>主要原因是我单位合理安排收支，保证经费的使用效率和使用进度，无结余。</w:t>
      </w:r>
    </w:p>
    <w:bookmarkEnd w:id="0"/>
    <w:p w14:paraId="4E3FC143">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宋体"/>
          <w:kern w:val="0"/>
          <w:sz w:val="32"/>
          <w:szCs w:val="32"/>
          <w:lang w:val="en-US" w:eastAsia="zh-CN" w:bidi="ar-SA"/>
        </w:rPr>
      </w:pPr>
      <w:r>
        <w:rPr>
          <w:rFonts w:hint="default" w:ascii="Times New Roman" w:hAnsi="Times New Roman" w:eastAsia="方正仿宋_GBK" w:cs="宋体"/>
          <w:b/>
          <w:bCs/>
          <w:kern w:val="0"/>
          <w:sz w:val="32"/>
          <w:szCs w:val="32"/>
          <w:lang w:val="en-US" w:eastAsia="zh-CN" w:bidi="ar-SA"/>
        </w:rPr>
        <w:t>4.比较情况。</w:t>
      </w:r>
      <w:r>
        <w:rPr>
          <w:rFonts w:hint="default" w:ascii="Times New Roman" w:hAnsi="Times New Roman" w:eastAsia="方正仿宋_GBK" w:cs="宋体"/>
          <w:kern w:val="0"/>
          <w:sz w:val="32"/>
          <w:szCs w:val="32"/>
          <w:lang w:val="en-US" w:eastAsia="zh-CN" w:bidi="ar-SA"/>
        </w:rPr>
        <w:t>本单位2024年度一般公共预算财政拨款支出主要用于以下几个方面：</w:t>
      </w:r>
    </w:p>
    <w:p w14:paraId="59E5F274">
      <w:pPr>
        <w:pStyle w:val="17"/>
        <w:keepNext w:val="0"/>
        <w:keepLines w:val="0"/>
        <w:pageBreakBefore w:val="0"/>
        <w:widowControl w:val="0"/>
        <w:kinsoku/>
        <w:wordWrap/>
        <w:overflowPunct/>
        <w:topLinePunct w:val="0"/>
        <w:autoSpaceDN/>
        <w:bidi w:val="0"/>
        <w:adjustRightInd/>
        <w:snapToGrid w:val="0"/>
        <w:spacing w:line="600" w:lineRule="exact"/>
        <w:ind w:firstLine="640" w:firstLineChars="200"/>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（1）教育支出780.73万元，占91.55%，较年初预算数增加112.44万元，增长16.8%，主要原因是</w:t>
      </w:r>
      <w:r>
        <w:rPr>
          <w:rFonts w:hint="default" w:ascii="Times New Roman" w:hAnsi="Times New Roman" w:eastAsia="方正仿宋_GBK" w:cs="宋体"/>
          <w:kern w:val="0"/>
          <w:sz w:val="32"/>
          <w:szCs w:val="32"/>
          <w:lang w:val="en-US" w:eastAsia="zh-CN" w:bidi="ar-SA"/>
        </w:rPr>
        <w:t>我校新增</w:t>
      </w:r>
      <w:r>
        <w:rPr>
          <w:rFonts w:hint="eastAsia" w:ascii="Times New Roman" w:hAnsi="Times New Roman" w:eastAsia="方正仿宋_GBK" w:cs="宋体"/>
          <w:kern w:val="0"/>
          <w:sz w:val="32"/>
          <w:szCs w:val="32"/>
          <w:lang w:val="en-US" w:eastAsia="zh-CN" w:bidi="ar-SA"/>
        </w:rPr>
        <w:t>项目</w:t>
      </w:r>
      <w:r>
        <w:rPr>
          <w:rFonts w:hint="default" w:ascii="Times New Roman" w:hAnsi="Times New Roman" w:eastAsia="方正仿宋_GBK" w:cs="宋体"/>
          <w:kern w:val="0"/>
          <w:sz w:val="32"/>
          <w:szCs w:val="32"/>
          <w:lang w:val="en-US" w:eastAsia="zh-CN" w:bidi="ar-SA"/>
        </w:rPr>
        <w:t>经费</w:t>
      </w:r>
      <w:r>
        <w:rPr>
          <w:rFonts w:hint="eastAsia" w:ascii="Times New Roman" w:hAnsi="Times New Roman" w:eastAsia="方正仿宋_GBK" w:cs="宋体"/>
          <w:kern w:val="0"/>
          <w:sz w:val="32"/>
          <w:szCs w:val="32"/>
          <w:lang w:val="en-US" w:eastAsia="zh-CN" w:bidi="ar-SA"/>
        </w:rPr>
        <w:t>，支出增加。</w:t>
      </w:r>
    </w:p>
    <w:p w14:paraId="45C0D09D">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宋体"/>
          <w:kern w:val="0"/>
          <w:sz w:val="32"/>
          <w:szCs w:val="32"/>
          <w:lang w:val="en-US" w:eastAsia="zh-CN" w:bidi="ar-SA"/>
        </w:rPr>
      </w:pPr>
      <w:r>
        <w:rPr>
          <w:rFonts w:hint="default" w:ascii="Times New Roman" w:hAnsi="Times New Roman" w:eastAsia="方正仿宋_GBK" w:cs="宋体"/>
          <w:kern w:val="0"/>
          <w:sz w:val="32"/>
          <w:szCs w:val="32"/>
          <w:lang w:val="en-US" w:eastAsia="zh-CN" w:bidi="ar-SA"/>
        </w:rPr>
        <w:t>（2）</w:t>
      </w:r>
      <w:r>
        <w:rPr>
          <w:rFonts w:hint="eastAsia" w:ascii="Times New Roman" w:hAnsi="Times New Roman" w:eastAsia="方正仿宋_GBK" w:cs="宋体"/>
          <w:kern w:val="0"/>
          <w:sz w:val="32"/>
          <w:szCs w:val="32"/>
          <w:lang w:val="en-US" w:eastAsia="zh-CN" w:bidi="ar-SA"/>
        </w:rPr>
        <w:t>社会保障与就业支出30.30万元，占3.55%，较年初预算数增加9.85万元，增长48.2%，主要原因是在职人员社保基数上涨。</w:t>
      </w:r>
    </w:p>
    <w:p w14:paraId="2FFDA19D">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宋体"/>
          <w:kern w:val="0"/>
          <w:sz w:val="32"/>
          <w:szCs w:val="32"/>
          <w:lang w:val="en-US" w:eastAsia="zh-CN" w:bidi="ar-SA"/>
        </w:rPr>
      </w:pPr>
      <w:r>
        <w:rPr>
          <w:rFonts w:hint="default" w:ascii="Times New Roman" w:hAnsi="Times New Roman" w:eastAsia="方正仿宋_GBK" w:cs="宋体"/>
          <w:kern w:val="0"/>
          <w:sz w:val="32"/>
          <w:szCs w:val="32"/>
          <w:lang w:val="en-US" w:eastAsia="zh-CN" w:bidi="ar-SA"/>
        </w:rPr>
        <w:t>（3）</w:t>
      </w:r>
      <w:r>
        <w:rPr>
          <w:rFonts w:hint="eastAsia" w:ascii="Times New Roman" w:hAnsi="Times New Roman" w:eastAsia="方正仿宋_GBK" w:cs="宋体"/>
          <w:kern w:val="0"/>
          <w:sz w:val="32"/>
          <w:szCs w:val="32"/>
          <w:lang w:val="en-US" w:eastAsia="zh-CN" w:bidi="ar-SA"/>
        </w:rPr>
        <w:t>卫生健康支出10.44万元，占1.22%，较年初预算数无增减。</w:t>
      </w:r>
    </w:p>
    <w:p w14:paraId="25A53804">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宋体"/>
          <w:kern w:val="0"/>
          <w:sz w:val="32"/>
          <w:szCs w:val="32"/>
          <w:lang w:val="en-US" w:eastAsia="zh-CN" w:bidi="ar-SA"/>
        </w:rPr>
      </w:pPr>
      <w:r>
        <w:rPr>
          <w:rFonts w:hint="default" w:ascii="Times New Roman" w:hAnsi="Times New Roman" w:eastAsia="方正仿宋_GBK" w:cs="宋体"/>
          <w:kern w:val="0"/>
          <w:sz w:val="32"/>
          <w:szCs w:val="32"/>
          <w:lang w:val="en-US" w:eastAsia="zh-CN" w:bidi="ar-SA"/>
        </w:rPr>
        <w:t>（4）</w:t>
      </w:r>
      <w:r>
        <w:rPr>
          <w:rFonts w:hint="eastAsia" w:ascii="Times New Roman" w:hAnsi="Times New Roman" w:eastAsia="方正仿宋_GBK" w:cs="宋体"/>
          <w:kern w:val="0"/>
          <w:sz w:val="32"/>
          <w:szCs w:val="32"/>
          <w:lang w:val="en-US" w:eastAsia="zh-CN" w:bidi="ar-SA"/>
        </w:rPr>
        <w:t>住房保障支出31.35万元，占3.68%，较年初预算数增加12.75万元，增长68.6%，主要原因是在职人员住房补贴增加。</w:t>
      </w:r>
    </w:p>
    <w:p w14:paraId="2AD20265">
      <w:pPr>
        <w:keepNext w:val="0"/>
        <w:keepLines w:val="0"/>
        <w:pageBreakBefore w:val="0"/>
        <w:kinsoku/>
        <w:wordWrap/>
        <w:overflowPunct/>
        <w:topLinePunct w:val="0"/>
        <w:autoSpaceDN/>
        <w:bidi w:val="0"/>
        <w:adjustRightInd/>
        <w:snapToGrid w:val="0"/>
        <w:spacing w:line="600" w:lineRule="exact"/>
        <w:ind w:firstLine="640" w:firstLineChars="200"/>
        <w:jc w:val="both"/>
        <w:textAlignment w:val="auto"/>
        <w:rPr>
          <w:rFonts w:hint="default" w:ascii="Times New Roman" w:hAnsi="Times New Roman" w:eastAsia="方正楷体_GBK"/>
          <w:color w:val="000000" w:themeColor="text1"/>
          <w:sz w:val="32"/>
          <w:szCs w:val="32"/>
          <w14:textFill>
            <w14:solidFill>
              <w14:schemeClr w14:val="tx1"/>
            </w14:solidFill>
          </w14:textFill>
        </w:rPr>
      </w:pPr>
      <w:r>
        <w:rPr>
          <w:rFonts w:hint="default" w:ascii="Times New Roman" w:hAnsi="Times New Roman" w:eastAsia="方正楷体_GBK"/>
          <w:color w:val="000000" w:themeColor="text1"/>
          <w:sz w:val="32"/>
          <w:szCs w:val="32"/>
          <w14:textFill>
            <w14:solidFill>
              <w14:schemeClr w14:val="tx1"/>
            </w14:solidFill>
          </w14:textFill>
        </w:rPr>
        <w:t>（四）一般公共预算财政拨款基本支出决算情况说明</w:t>
      </w:r>
    </w:p>
    <w:p w14:paraId="16D1D662">
      <w:pPr>
        <w:pStyle w:val="8"/>
        <w:keepNext w:val="0"/>
        <w:keepLines w:val="0"/>
        <w:pageBreakBefore w:val="0"/>
        <w:shd w:val="clear" w:color="auto" w:fill="FFFFFF"/>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 2024年度一般公共财政拨款基本支出335.27万元。其中：人员经费205.39万元，与2023年度相比，增加38.82万元，增长23.3%，主要原因是</w:t>
      </w:r>
      <w:r>
        <w:rPr>
          <w:rFonts w:hint="default" w:ascii="Times New Roman" w:hAnsi="Times New Roman" w:eastAsia="方正仿宋_GBK" w:cs="宋体"/>
          <w:kern w:val="0"/>
          <w:sz w:val="32"/>
          <w:szCs w:val="32"/>
          <w:lang w:val="en-US" w:eastAsia="zh-CN" w:bidi="ar-SA"/>
        </w:rPr>
        <w:t>增人</w:t>
      </w:r>
      <w:r>
        <w:rPr>
          <w:rFonts w:hint="eastAsia" w:ascii="Times New Roman" w:hAnsi="Times New Roman" w:eastAsia="方正仿宋_GBK" w:cs="宋体"/>
          <w:kern w:val="0"/>
          <w:sz w:val="32"/>
          <w:szCs w:val="32"/>
          <w:lang w:val="en-US" w:eastAsia="zh-CN" w:bidi="ar-SA"/>
        </w:rPr>
        <w:t>增</w:t>
      </w:r>
      <w:r>
        <w:rPr>
          <w:rFonts w:hint="default" w:ascii="Times New Roman" w:hAnsi="Times New Roman" w:eastAsia="方正仿宋_GBK" w:cs="宋体"/>
          <w:kern w:val="0"/>
          <w:sz w:val="32"/>
          <w:szCs w:val="32"/>
          <w:lang w:val="en-US" w:eastAsia="zh-CN" w:bidi="ar-SA"/>
        </w:rPr>
        <w:t>资。人员经费用途主要包括基本工资、津贴补贴、绩效工资、机关事业单位基本养老保险费、职业年金缴费、职工基本医疗保险缴费、其他社会保障缴费、住房公积金、医疗费。</w:t>
      </w:r>
      <w:r>
        <w:rPr>
          <w:rFonts w:hint="eastAsia" w:ascii="Times New Roman" w:hAnsi="Times New Roman" w:eastAsia="方正仿宋_GBK" w:cs="宋体"/>
          <w:kern w:val="0"/>
          <w:sz w:val="32"/>
          <w:szCs w:val="32"/>
          <w:lang w:val="en-US" w:eastAsia="zh-CN" w:bidi="ar-SA"/>
        </w:rPr>
        <w:t>公用经费129.87万元，与2023年度相比，减少3.06万元，下降2.3%，主要原因是学生</w:t>
      </w:r>
      <w:r>
        <w:rPr>
          <w:rFonts w:hint="default" w:ascii="Times New Roman" w:hAnsi="Times New Roman" w:eastAsia="方正仿宋_GBK" w:cs="宋体"/>
          <w:kern w:val="0"/>
          <w:sz w:val="32"/>
          <w:szCs w:val="32"/>
          <w:lang w:val="en-US" w:eastAsia="zh-CN" w:bidi="ar-SA"/>
        </w:rPr>
        <w:t>数量</w:t>
      </w:r>
      <w:r>
        <w:rPr>
          <w:rFonts w:hint="eastAsia" w:ascii="Times New Roman" w:hAnsi="Times New Roman" w:eastAsia="方正仿宋_GBK" w:cs="宋体"/>
          <w:kern w:val="0"/>
          <w:sz w:val="32"/>
          <w:szCs w:val="32"/>
          <w:lang w:val="en-US" w:eastAsia="zh-CN" w:bidi="ar-SA"/>
        </w:rPr>
        <w:t>减少</w:t>
      </w:r>
      <w:r>
        <w:rPr>
          <w:rFonts w:hint="default" w:ascii="Times New Roman" w:hAnsi="Times New Roman" w:eastAsia="方正仿宋_GBK" w:cs="宋体"/>
          <w:kern w:val="0"/>
          <w:sz w:val="32"/>
          <w:szCs w:val="32"/>
          <w:lang w:val="en-US" w:eastAsia="zh-CN" w:bidi="ar-SA"/>
        </w:rPr>
        <w:t>，办公经费</w:t>
      </w:r>
      <w:r>
        <w:rPr>
          <w:rFonts w:hint="eastAsia" w:ascii="Times New Roman" w:hAnsi="Times New Roman" w:eastAsia="方正仿宋_GBK" w:cs="宋体"/>
          <w:kern w:val="0"/>
          <w:sz w:val="32"/>
          <w:szCs w:val="32"/>
          <w:lang w:val="en-US" w:eastAsia="zh-CN" w:bidi="ar-SA"/>
        </w:rPr>
        <w:t>减少</w:t>
      </w:r>
      <w:r>
        <w:rPr>
          <w:rFonts w:hint="default" w:ascii="Times New Roman" w:hAnsi="Times New Roman" w:eastAsia="方正仿宋_GBK" w:cs="宋体"/>
          <w:kern w:val="0"/>
          <w:sz w:val="32"/>
          <w:szCs w:val="32"/>
          <w:lang w:val="en-US" w:eastAsia="zh-CN" w:bidi="ar-SA"/>
        </w:rPr>
        <w:t>。公用经费用途主要包括劳务费、办公费、水费、电费、物业管理费、办公设备购置、其他商品和服务支出。</w:t>
      </w:r>
    </w:p>
    <w:p w14:paraId="117C70B4">
      <w:pPr>
        <w:keepNext w:val="0"/>
        <w:keepLines w:val="0"/>
        <w:pageBreakBefore w:val="0"/>
        <w:kinsoku/>
        <w:wordWrap/>
        <w:overflowPunct/>
        <w:topLinePunct w:val="0"/>
        <w:autoSpaceDN/>
        <w:bidi w:val="0"/>
        <w:adjustRightInd/>
        <w:snapToGrid w:val="0"/>
        <w:spacing w:line="600" w:lineRule="exact"/>
        <w:ind w:firstLine="640" w:firstLineChars="200"/>
        <w:jc w:val="both"/>
        <w:textAlignment w:val="auto"/>
        <w:rPr>
          <w:rFonts w:hint="default" w:ascii="Times New Roman" w:hAnsi="Times New Roman" w:eastAsia="方正楷体_GBK"/>
          <w:sz w:val="32"/>
          <w:szCs w:val="32"/>
        </w:rPr>
      </w:pPr>
      <w:r>
        <w:rPr>
          <w:rFonts w:hint="default" w:ascii="Times New Roman" w:hAnsi="Times New Roman" w:eastAsia="方正楷体_GBK"/>
          <w:sz w:val="32"/>
          <w:szCs w:val="32"/>
        </w:rPr>
        <w:t>（五）政府性基金预算收支决算情况说明</w:t>
      </w:r>
    </w:p>
    <w:p w14:paraId="1B7750CC">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cs="宋体"/>
          <w:kern w:val="0"/>
          <w:sz w:val="32"/>
          <w:szCs w:val="32"/>
          <w:lang w:val="en-US" w:eastAsia="zh-CN" w:bidi="ar-SA"/>
        </w:rPr>
        <w:t>本单位2024年度无政府性基金预算财政拨款收支。</w:t>
      </w:r>
    </w:p>
    <w:p w14:paraId="5611BDAE">
      <w:pPr>
        <w:pStyle w:val="12"/>
        <w:keepNext w:val="0"/>
        <w:keepLines w:val="0"/>
        <w:pageBreakBefore w:val="0"/>
        <w:kinsoku/>
        <w:wordWrap/>
        <w:overflowPunct/>
        <w:topLinePunct w:val="0"/>
        <w:autoSpaceDE w:val="0"/>
        <w:autoSpaceDN/>
        <w:bidi w:val="0"/>
        <w:adjustRightInd/>
        <w:snapToGrid w:val="0"/>
        <w:spacing w:line="600" w:lineRule="exact"/>
        <w:ind w:firstLine="640"/>
        <w:jc w:val="both"/>
        <w:textAlignment w:val="auto"/>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（六）国有资本经营预算财政拨款支出决算情况说明</w:t>
      </w:r>
    </w:p>
    <w:p w14:paraId="6E830BF1">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cs="宋体"/>
          <w:kern w:val="0"/>
          <w:sz w:val="32"/>
          <w:szCs w:val="32"/>
          <w:lang w:val="en-US" w:eastAsia="zh-CN" w:bidi="ar-SA"/>
        </w:rPr>
        <w:t>本单位2024年度无国有资本经营预算财政拨款支出。</w:t>
      </w:r>
    </w:p>
    <w:p w14:paraId="1894F810">
      <w:pPr>
        <w:widowControl w:val="0"/>
        <w:spacing w:line="600" w:lineRule="exact"/>
        <w:ind w:firstLine="640" w:firstLineChars="200"/>
        <w:jc w:val="both"/>
        <w:rPr>
          <w:rFonts w:hint="default" w:ascii="Times New Roman" w:hAnsi="Times New Roman" w:eastAsia="方正黑体_GBK" w:cs="宋体"/>
          <w:bCs/>
          <w:kern w:val="0"/>
          <w:sz w:val="32"/>
          <w:szCs w:val="32"/>
        </w:rPr>
      </w:pPr>
      <w:r>
        <w:rPr>
          <w:rFonts w:hint="default" w:ascii="Times New Roman" w:hAnsi="Times New Roman" w:eastAsia="方正黑体_GBK" w:cs="宋体"/>
          <w:bCs/>
          <w:kern w:val="0"/>
          <w:sz w:val="32"/>
          <w:szCs w:val="32"/>
        </w:rPr>
        <w:t>三、“三公”经费情况说明</w:t>
      </w:r>
    </w:p>
    <w:p w14:paraId="5CBC1CD5">
      <w:pPr>
        <w:pStyle w:val="12"/>
        <w:keepNext w:val="0"/>
        <w:keepLines w:val="0"/>
        <w:pageBreakBefore w:val="0"/>
        <w:kinsoku/>
        <w:wordWrap/>
        <w:overflowPunct/>
        <w:topLinePunct w:val="0"/>
        <w:autoSpaceDE w:val="0"/>
        <w:autoSpaceDN/>
        <w:bidi w:val="0"/>
        <w:adjustRightInd/>
        <w:snapToGrid w:val="0"/>
        <w:spacing w:line="600" w:lineRule="exact"/>
        <w:ind w:firstLine="640"/>
        <w:jc w:val="both"/>
        <w:textAlignment w:val="auto"/>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（一）</w:t>
      </w:r>
      <w:r>
        <w:rPr>
          <w:rFonts w:hint="eastAsia" w:ascii="方正楷体_GBK" w:hAnsi="方正楷体_GBK" w:eastAsia="方正楷体_GBK" w:cs="方正楷体_GBK"/>
          <w:sz w:val="32"/>
          <w:szCs w:val="32"/>
          <w:shd w:val="clear" w:color="auto" w:fill="FFFFFF"/>
        </w:rPr>
        <w:t>“三公”经费</w:t>
      </w:r>
      <w:r>
        <w:rPr>
          <w:rFonts w:ascii="Times New Roman" w:hAnsi="Times New Roman" w:eastAsia="方正楷体_GBK"/>
          <w:sz w:val="32"/>
          <w:szCs w:val="32"/>
          <w:shd w:val="clear" w:color="auto" w:fill="FFFFFF"/>
        </w:rPr>
        <w:t>支出总体情况说明</w:t>
      </w:r>
    </w:p>
    <w:p w14:paraId="2917F284">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Times New Roman"/>
          <w:sz w:val="32"/>
          <w:szCs w:val="32"/>
          <w:shd w:val="clear" w:color="auto" w:fill="FFFFFF"/>
          <w:lang w:val="en-US" w:eastAsia="zh-CN" w:bidi="ar-SA"/>
        </w:rPr>
        <w:t>2024年度“三公”经费支出共计0.00万元，较年初预算数无增减，较上年支出数无增减，主要原因是</w:t>
      </w:r>
      <w:bookmarkStart w:id="1" w:name="OLE_LINK277"/>
      <w:bookmarkStart w:id="2" w:name="OLE_LINK275"/>
      <w:bookmarkStart w:id="3" w:name="OLE_LINK267"/>
      <w:bookmarkStart w:id="4" w:name="OLE_LINK274"/>
      <w:bookmarkStart w:id="5" w:name="OLE_LINK276"/>
      <w:r>
        <w:rPr>
          <w:rFonts w:hint="default" w:ascii="Times New Roman" w:hAnsi="方正仿宋_GBK" w:eastAsia="方正仿宋_GBK"/>
          <w:sz w:val="32"/>
          <w:szCs w:val="32"/>
          <w:shd w:val="clear" w:color="auto" w:fill="FFFFFF"/>
        </w:rPr>
        <w:t>本单位</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default" w:ascii="Times New Roman" w:hAnsi="方正仿宋_GBK" w:eastAsia="方正仿宋_GBK"/>
          <w:sz w:val="32"/>
          <w:szCs w:val="32"/>
          <w:shd w:val="clear" w:color="auto" w:fill="FFFFFF"/>
        </w:rPr>
        <w:t>年度未发</w:t>
      </w:r>
      <w:r>
        <w:rPr>
          <w:rFonts w:hint="eastAsia" w:ascii="方正仿宋_GBK" w:hAnsi="方正仿宋_GBK" w:eastAsia="方正仿宋_GBK" w:cs="方正仿宋_GBK"/>
          <w:sz w:val="32"/>
          <w:szCs w:val="32"/>
          <w:shd w:val="clear" w:color="auto" w:fill="FFFFFF"/>
        </w:rPr>
        <w:t>生“三公”</w:t>
      </w:r>
      <w:r>
        <w:rPr>
          <w:rFonts w:hint="default" w:ascii="Times New Roman" w:hAnsi="方正仿宋_GBK" w:eastAsia="方正仿宋_GBK"/>
          <w:sz w:val="32"/>
          <w:szCs w:val="32"/>
          <w:shd w:val="clear" w:color="auto" w:fill="FFFFFF"/>
        </w:rPr>
        <w:t>经费支出</w:t>
      </w:r>
      <w:bookmarkStart w:id="6" w:name="OLE_LINK293"/>
      <w:bookmarkStart w:id="7" w:name="OLE_LINK294"/>
      <w:bookmarkStart w:id="8" w:name="OLE_LINK296"/>
      <w:r>
        <w:rPr>
          <w:rFonts w:hint="default" w:ascii="Times New Roman" w:hAnsi="方正仿宋_GBK" w:eastAsia="方正仿宋_GBK"/>
          <w:sz w:val="32"/>
          <w:szCs w:val="32"/>
          <w:shd w:val="clear" w:color="auto" w:fill="FFFFFF"/>
        </w:rPr>
        <w:t>，与上年决算数持平</w:t>
      </w:r>
      <w:bookmarkEnd w:id="1"/>
      <w:bookmarkEnd w:id="2"/>
      <w:bookmarkEnd w:id="3"/>
      <w:bookmarkEnd w:id="4"/>
      <w:bookmarkEnd w:id="5"/>
      <w:bookmarkEnd w:id="6"/>
      <w:bookmarkEnd w:id="7"/>
      <w:bookmarkEnd w:id="8"/>
      <w:r>
        <w:rPr>
          <w:rFonts w:hint="eastAsia" w:ascii="Times New Roman" w:hAnsi="方正仿宋_GBK" w:eastAsia="方正仿宋_GBK"/>
          <w:sz w:val="32"/>
          <w:szCs w:val="32"/>
          <w:shd w:val="clear" w:color="auto" w:fill="FFFFFF"/>
          <w:lang w:eastAsia="zh-CN"/>
        </w:rPr>
        <w:t>。</w:t>
      </w:r>
    </w:p>
    <w:p w14:paraId="7E3B71AC">
      <w:pPr>
        <w:pStyle w:val="12"/>
        <w:keepNext w:val="0"/>
        <w:keepLines w:val="0"/>
        <w:pageBreakBefore w:val="0"/>
        <w:kinsoku/>
        <w:wordWrap/>
        <w:overflowPunct/>
        <w:topLinePunct w:val="0"/>
        <w:autoSpaceDE w:val="0"/>
        <w:autoSpaceDN/>
        <w:bidi w:val="0"/>
        <w:adjustRightInd/>
        <w:snapToGrid w:val="0"/>
        <w:spacing w:line="600" w:lineRule="exact"/>
        <w:ind w:firstLine="640"/>
        <w:jc w:val="both"/>
        <w:textAlignment w:val="auto"/>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（二）</w:t>
      </w:r>
      <w:r>
        <w:rPr>
          <w:rFonts w:hint="eastAsia" w:ascii="方正楷体_GBK" w:hAnsi="方正楷体_GBK" w:eastAsia="方正楷体_GBK" w:cs="方正楷体_GBK"/>
          <w:sz w:val="32"/>
          <w:szCs w:val="32"/>
          <w:shd w:val="clear" w:color="auto" w:fill="FFFFFF"/>
        </w:rPr>
        <w:t>“三公”经费分项</w:t>
      </w:r>
      <w:r>
        <w:rPr>
          <w:rFonts w:ascii="Times New Roman" w:hAnsi="Times New Roman" w:eastAsia="方正楷体_GBK"/>
          <w:sz w:val="32"/>
          <w:szCs w:val="32"/>
          <w:shd w:val="clear" w:color="auto" w:fill="FFFFFF"/>
        </w:rPr>
        <w:t>支出情况</w:t>
      </w:r>
    </w:p>
    <w:p w14:paraId="76F43C65">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仿宋_GBK" w:cs="Times New Roman"/>
          <w:sz w:val="32"/>
          <w:szCs w:val="32"/>
          <w:shd w:val="clear" w:color="auto" w:fill="FFFFFF"/>
          <w:lang w:val="en-US" w:eastAsia="zh-CN" w:bidi="ar-SA"/>
        </w:rPr>
        <w:t>2024年度本单位因公出国（境）费用0.00万元，费用支出较年初预算数无增减，</w:t>
      </w:r>
      <w:r>
        <w:rPr>
          <w:rFonts w:hint="default" w:ascii="Times New Roman" w:hAnsi="方正仿宋_GBK" w:eastAsia="方正仿宋_GBK"/>
          <w:sz w:val="32"/>
          <w:szCs w:val="32"/>
          <w:shd w:val="clear" w:color="auto" w:fill="FFFFFF"/>
        </w:rPr>
        <w:t>较上年支出数无增减，主要原因是本单位</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default" w:ascii="Times New Roman" w:hAnsi="方正仿宋_GBK" w:eastAsia="方正仿宋_GBK"/>
          <w:sz w:val="32"/>
          <w:szCs w:val="32"/>
          <w:shd w:val="clear" w:color="auto" w:fill="FFFFFF"/>
        </w:rPr>
        <w:t>年度未发生因公出国（境）费用支出，与上年决算数持平。</w:t>
      </w:r>
    </w:p>
    <w:p w14:paraId="2F579FC4">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olor w:val="auto"/>
          <w:sz w:val="32"/>
          <w:szCs w:val="32"/>
        </w:rPr>
      </w:pPr>
      <w:r>
        <w:rPr>
          <w:rFonts w:ascii="方正仿宋_GBK" w:hAnsi="方正仿宋_GBK" w:eastAsia="方正仿宋_GBK" w:cs="方正仿宋_GBK"/>
          <w:sz w:val="32"/>
          <w:szCs w:val="32"/>
          <w:shd w:val="clear" w:color="auto" w:fill="FFFFFF"/>
        </w:rPr>
        <w:t> </w:t>
      </w:r>
      <w:r>
        <w:rPr>
          <w:rFonts w:hint="default" w:ascii="Times New Roman" w:hAnsi="方正仿宋_GBK" w:eastAsia="方正仿宋_GBK"/>
          <w:color w:val="auto"/>
          <w:sz w:val="32"/>
          <w:szCs w:val="32"/>
          <w:shd w:val="clear" w:color="auto" w:fill="FFFFFF"/>
        </w:rPr>
        <w:t>公务车购置费</w:t>
      </w:r>
      <w:r>
        <w:rPr>
          <w:rFonts w:hint="default" w:ascii="Times New Roman" w:hAnsi="Times New Roman" w:eastAsia="方正仿宋_GBK"/>
          <w:color w:val="auto"/>
          <w:sz w:val="32"/>
          <w:szCs w:val="32"/>
        </w:rPr>
        <w:t>0.00</w:t>
      </w:r>
      <w:r>
        <w:rPr>
          <w:rFonts w:hint="default" w:ascii="Times New Roman" w:hAnsi="方正仿宋_GBK" w:eastAsia="方正仿宋_GBK"/>
          <w:color w:val="auto"/>
          <w:sz w:val="32"/>
          <w:szCs w:val="32"/>
          <w:shd w:val="clear" w:color="auto" w:fill="FFFFFF"/>
        </w:rPr>
        <w:t>万元</w:t>
      </w:r>
      <w:bookmarkStart w:id="9" w:name="OLE_LINK299"/>
      <w:bookmarkStart w:id="10" w:name="OLE_LINK300"/>
      <w:r>
        <w:rPr>
          <w:rFonts w:hint="default" w:ascii="Times New Roman" w:hAnsi="方正仿宋_GBK" w:eastAsia="方正仿宋_GBK"/>
          <w:color w:val="auto"/>
          <w:sz w:val="32"/>
          <w:szCs w:val="32"/>
          <w:shd w:val="clear" w:color="auto" w:fill="FFFFFF"/>
        </w:rPr>
        <w:t>。</w:t>
      </w:r>
      <w:bookmarkEnd w:id="9"/>
      <w:bookmarkEnd w:id="10"/>
      <w:r>
        <w:rPr>
          <w:rFonts w:hint="default" w:ascii="Times New Roman" w:hAnsi="方正仿宋_GBK" w:eastAsia="方正仿宋_GBK"/>
          <w:color w:val="auto"/>
          <w:sz w:val="32"/>
          <w:szCs w:val="32"/>
          <w:shd w:val="clear" w:color="auto" w:fill="FFFFFF"/>
        </w:rPr>
        <w:t>费用支出较年初预算数无增减，</w:t>
      </w:r>
      <w:bookmarkStart w:id="11" w:name="OLE_LINK309"/>
      <w:bookmarkStart w:id="12" w:name="OLE_LINK308"/>
      <w:r>
        <w:rPr>
          <w:rFonts w:hint="default" w:ascii="Times New Roman" w:hAnsi="方正仿宋_GBK" w:eastAsia="方正仿宋_GBK"/>
          <w:color w:val="auto"/>
          <w:sz w:val="32"/>
          <w:szCs w:val="32"/>
          <w:shd w:val="clear" w:color="auto" w:fill="FFFFFF"/>
        </w:rPr>
        <w:t>较上年支出数无增减，主要原因是本单位</w:t>
      </w:r>
      <w:r>
        <w:rPr>
          <w:rFonts w:hint="default" w:ascii="Times New Roman" w:hAnsi="Times New Roman" w:eastAsia="方正仿宋_GBK"/>
          <w:color w:val="auto"/>
          <w:sz w:val="32"/>
          <w:szCs w:val="32"/>
          <w:shd w:val="clear" w:color="auto" w:fill="FFFFFF"/>
        </w:rPr>
        <w:t>202</w:t>
      </w:r>
      <w:r>
        <w:rPr>
          <w:rFonts w:hint="eastAsia" w:ascii="Times New Roman" w:hAnsi="Times New Roman" w:eastAsia="方正仿宋_GBK"/>
          <w:color w:val="auto"/>
          <w:sz w:val="32"/>
          <w:szCs w:val="32"/>
          <w:shd w:val="clear" w:color="auto" w:fill="FFFFFF"/>
          <w:lang w:val="en-US" w:eastAsia="zh-CN"/>
        </w:rPr>
        <w:t>4</w:t>
      </w:r>
      <w:r>
        <w:rPr>
          <w:rFonts w:hint="default" w:ascii="Times New Roman" w:hAnsi="方正仿宋_GBK" w:eastAsia="方正仿宋_GBK"/>
          <w:color w:val="auto"/>
          <w:sz w:val="32"/>
          <w:szCs w:val="32"/>
          <w:shd w:val="clear" w:color="auto" w:fill="FFFFFF"/>
        </w:rPr>
        <w:t>年度未发生公务车购置费支出，与上年</w:t>
      </w:r>
      <w:bookmarkStart w:id="13" w:name="OLE_LINK315"/>
      <w:r>
        <w:rPr>
          <w:rFonts w:hint="default" w:ascii="Times New Roman" w:hAnsi="方正仿宋_GBK" w:eastAsia="方正仿宋_GBK"/>
          <w:color w:val="auto"/>
          <w:sz w:val="32"/>
          <w:szCs w:val="32"/>
          <w:shd w:val="clear" w:color="auto" w:fill="FFFFFF"/>
        </w:rPr>
        <w:t>决算数持平。</w:t>
      </w:r>
    </w:p>
    <w:bookmarkEnd w:id="11"/>
    <w:bookmarkEnd w:id="12"/>
    <w:bookmarkEnd w:id="13"/>
    <w:p w14:paraId="2AA81114">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olor w:val="auto"/>
          <w:sz w:val="32"/>
          <w:szCs w:val="32"/>
          <w:shd w:val="clear" w:color="auto" w:fill="FFFFFF"/>
        </w:rPr>
      </w:pPr>
      <w:r>
        <w:rPr>
          <w:rFonts w:hint="default" w:ascii="Times New Roman" w:hAnsi="方正仿宋_GBK" w:eastAsia="方正仿宋_GBK"/>
          <w:color w:val="auto"/>
          <w:sz w:val="32"/>
          <w:szCs w:val="32"/>
          <w:shd w:val="clear" w:color="auto" w:fill="FFFFFF"/>
        </w:rPr>
        <w:t>公务车运行维护费</w:t>
      </w:r>
      <w:r>
        <w:rPr>
          <w:rFonts w:hint="default" w:ascii="Times New Roman" w:hAnsi="Times New Roman" w:eastAsia="方正仿宋_GBK"/>
          <w:color w:val="auto"/>
          <w:sz w:val="32"/>
          <w:szCs w:val="32"/>
        </w:rPr>
        <w:t>0.00</w:t>
      </w:r>
      <w:r>
        <w:rPr>
          <w:rFonts w:hint="default" w:ascii="Times New Roman" w:hAnsi="方正仿宋_GBK" w:eastAsia="方正仿宋_GBK"/>
          <w:color w:val="auto"/>
          <w:sz w:val="32"/>
          <w:szCs w:val="32"/>
          <w:shd w:val="clear" w:color="auto" w:fill="FFFFFF"/>
        </w:rPr>
        <w:t>万元。费用支出较年初预算数无增减，</w:t>
      </w:r>
      <w:bookmarkStart w:id="14" w:name="OLE_LINK316"/>
      <w:r>
        <w:rPr>
          <w:rFonts w:hint="default" w:ascii="Times New Roman" w:hAnsi="方正仿宋_GBK" w:eastAsia="方正仿宋_GBK"/>
          <w:color w:val="auto"/>
          <w:sz w:val="32"/>
          <w:szCs w:val="32"/>
          <w:shd w:val="clear" w:color="auto" w:fill="FFFFFF"/>
        </w:rPr>
        <w:t>较上年支出</w:t>
      </w:r>
      <w:bookmarkEnd w:id="14"/>
      <w:r>
        <w:rPr>
          <w:rFonts w:hint="default" w:ascii="Times New Roman" w:hAnsi="方正仿宋_GBK" w:eastAsia="方正仿宋_GBK"/>
          <w:color w:val="auto"/>
          <w:sz w:val="32"/>
          <w:szCs w:val="32"/>
          <w:shd w:val="clear" w:color="auto" w:fill="FFFFFF"/>
        </w:rPr>
        <w:t>数无增减，主要原因是本单位</w:t>
      </w:r>
      <w:r>
        <w:rPr>
          <w:rFonts w:hint="default" w:ascii="Times New Roman" w:hAnsi="Times New Roman" w:eastAsia="方正仿宋_GBK"/>
          <w:color w:val="auto"/>
          <w:sz w:val="32"/>
          <w:szCs w:val="32"/>
          <w:shd w:val="clear" w:color="auto" w:fill="FFFFFF"/>
        </w:rPr>
        <w:t>202</w:t>
      </w:r>
      <w:r>
        <w:rPr>
          <w:rFonts w:hint="eastAsia" w:ascii="Times New Roman" w:hAnsi="Times New Roman" w:eastAsia="方正仿宋_GBK"/>
          <w:color w:val="auto"/>
          <w:sz w:val="32"/>
          <w:szCs w:val="32"/>
          <w:shd w:val="clear" w:color="auto" w:fill="FFFFFF"/>
          <w:lang w:val="en-US" w:eastAsia="zh-CN"/>
        </w:rPr>
        <w:t>4</w:t>
      </w:r>
      <w:r>
        <w:rPr>
          <w:rFonts w:hint="default" w:ascii="Times New Roman" w:hAnsi="方正仿宋_GBK" w:eastAsia="方正仿宋_GBK"/>
          <w:color w:val="auto"/>
          <w:sz w:val="32"/>
          <w:szCs w:val="32"/>
          <w:shd w:val="clear" w:color="auto" w:fill="FFFFFF"/>
        </w:rPr>
        <w:t>年度未发生公务车运行维护费支出，与上年决算数持平。</w:t>
      </w:r>
    </w:p>
    <w:p w14:paraId="390447B3">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r>
        <w:rPr>
          <w:rFonts w:hint="default" w:ascii="Times New Roman" w:hAnsi="方正仿宋_GBK" w:eastAsia="方正仿宋_GBK"/>
          <w:color w:val="auto"/>
          <w:sz w:val="32"/>
          <w:szCs w:val="32"/>
          <w:shd w:val="clear" w:color="auto" w:fill="FFFFFF"/>
        </w:rPr>
        <w:t>公务接待费</w:t>
      </w:r>
      <w:r>
        <w:rPr>
          <w:rFonts w:hint="default" w:ascii="Times New Roman" w:hAnsi="Times New Roman" w:eastAsia="方正仿宋_GBK"/>
          <w:color w:val="auto"/>
          <w:sz w:val="32"/>
          <w:szCs w:val="32"/>
        </w:rPr>
        <w:t>0.00</w:t>
      </w:r>
      <w:r>
        <w:rPr>
          <w:rFonts w:hint="default" w:ascii="Times New Roman" w:hAnsi="方正仿宋_GBK" w:eastAsia="方正仿宋_GBK"/>
          <w:color w:val="auto"/>
          <w:sz w:val="32"/>
          <w:szCs w:val="32"/>
          <w:shd w:val="clear" w:color="auto" w:fill="FFFFFF"/>
        </w:rPr>
        <w:t>万元。费用支出较年初预算数无增减，</w:t>
      </w:r>
      <w:bookmarkStart w:id="15" w:name="OLE_LINK321"/>
      <w:r>
        <w:rPr>
          <w:rFonts w:hint="default" w:ascii="Times New Roman" w:hAnsi="方正仿宋_GBK" w:eastAsia="方正仿宋_GBK"/>
          <w:color w:val="auto"/>
          <w:sz w:val="32"/>
          <w:szCs w:val="32"/>
          <w:shd w:val="clear" w:color="auto" w:fill="FFFFFF"/>
        </w:rPr>
        <w:t>较上年支出数无增减，主要原因是本</w:t>
      </w:r>
      <w:bookmarkEnd w:id="15"/>
      <w:r>
        <w:rPr>
          <w:rFonts w:hint="default" w:ascii="Times New Roman" w:hAnsi="方正仿宋_GBK" w:eastAsia="方正仿宋_GBK"/>
          <w:color w:val="auto"/>
          <w:sz w:val="32"/>
          <w:szCs w:val="32"/>
          <w:shd w:val="clear" w:color="auto" w:fill="FFFFFF"/>
        </w:rPr>
        <w:t>单位</w:t>
      </w:r>
      <w:r>
        <w:rPr>
          <w:rFonts w:hint="default" w:ascii="Times New Roman" w:hAnsi="Times New Roman" w:eastAsia="方正仿宋_GBK"/>
          <w:color w:val="auto"/>
          <w:sz w:val="32"/>
          <w:szCs w:val="32"/>
          <w:shd w:val="clear" w:color="auto" w:fill="FFFFFF"/>
        </w:rPr>
        <w:t>202</w:t>
      </w:r>
      <w:r>
        <w:rPr>
          <w:rFonts w:hint="eastAsia" w:ascii="Times New Roman" w:hAnsi="Times New Roman" w:eastAsia="方正仿宋_GBK"/>
          <w:color w:val="auto"/>
          <w:sz w:val="32"/>
          <w:szCs w:val="32"/>
          <w:shd w:val="clear" w:color="auto" w:fill="FFFFFF"/>
          <w:lang w:val="en-US" w:eastAsia="zh-CN"/>
        </w:rPr>
        <w:t>4</w:t>
      </w:r>
      <w:r>
        <w:rPr>
          <w:rFonts w:hint="default" w:ascii="Times New Roman" w:hAnsi="方正仿宋_GBK" w:eastAsia="方正仿宋_GBK"/>
          <w:color w:val="auto"/>
          <w:sz w:val="32"/>
          <w:szCs w:val="32"/>
          <w:shd w:val="clear" w:color="auto" w:fill="FFFFFF"/>
        </w:rPr>
        <w:t>年度未发生公务接待费支出，与上年决算数持平。</w:t>
      </w:r>
    </w:p>
    <w:p w14:paraId="20770E2B">
      <w:pPr>
        <w:pStyle w:val="8"/>
        <w:keepNext w:val="0"/>
        <w:keepLines w:val="0"/>
        <w:pageBreakBefore w:val="0"/>
        <w:shd w:val="clear" w:color="auto" w:fill="FFFFFF"/>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楷体_GBK"/>
          <w:sz w:val="32"/>
          <w:szCs w:val="32"/>
          <w:shd w:val="clear" w:color="auto" w:fill="FFFFFF"/>
        </w:rPr>
      </w:pPr>
      <w:r>
        <w:rPr>
          <w:rFonts w:hint="default" w:ascii="Times New Roman" w:hAnsi="Times New Roman" w:eastAsia="方正楷体_GBK"/>
          <w:sz w:val="32"/>
          <w:szCs w:val="32"/>
          <w:shd w:val="clear" w:color="auto" w:fill="FFFFFF"/>
        </w:rPr>
        <w:t>（三）</w:t>
      </w:r>
      <w:r>
        <w:rPr>
          <w:rFonts w:hint="default" w:ascii="方正楷体_GBK" w:hAnsi="方正楷体_GBK" w:eastAsia="方正楷体_GBK" w:cs="方正楷体_GBK"/>
          <w:sz w:val="32"/>
          <w:szCs w:val="32"/>
          <w:shd w:val="clear" w:color="auto" w:fill="FFFFFF"/>
          <w:lang w:val="en-US" w:eastAsia="zh-CN" w:bidi="ar-SA"/>
        </w:rPr>
        <w:t>“三公”经费实</w:t>
      </w:r>
      <w:r>
        <w:rPr>
          <w:rFonts w:hint="default" w:ascii="Times New Roman" w:hAnsi="Times New Roman" w:eastAsia="方正楷体_GBK"/>
          <w:sz w:val="32"/>
          <w:szCs w:val="32"/>
          <w:shd w:val="clear" w:color="auto" w:fill="FFFFFF"/>
        </w:rPr>
        <w:t>物量情况</w:t>
      </w:r>
    </w:p>
    <w:p w14:paraId="55C31F6C">
      <w:pPr>
        <w:pStyle w:val="8"/>
        <w:keepNext w:val="0"/>
        <w:keepLines w:val="0"/>
        <w:pageBreakBefore w:val="0"/>
        <w:shd w:val="clear" w:color="auto" w:fill="FFFFFF"/>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r>
        <w:rPr>
          <w:rFonts w:hint="default" w:ascii="Times New Roman" w:hAnsi="Times New Roman" w:eastAsia="方正仿宋_GBK" w:cs="宋体"/>
          <w:kern w:val="0"/>
          <w:sz w:val="32"/>
          <w:szCs w:val="32"/>
          <w:lang w:val="en-US" w:eastAsia="zh-CN" w:bidi="ar-SA"/>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14:paraId="0221818E">
      <w:pPr>
        <w:widowControl w:val="0"/>
        <w:spacing w:line="600" w:lineRule="exact"/>
        <w:ind w:firstLine="640" w:firstLineChars="200"/>
        <w:jc w:val="both"/>
        <w:rPr>
          <w:rFonts w:hint="default" w:ascii="Times New Roman" w:hAnsi="Times New Roman" w:eastAsia="方正黑体_GBK" w:cs="宋体"/>
          <w:bCs/>
          <w:kern w:val="0"/>
          <w:sz w:val="32"/>
          <w:szCs w:val="32"/>
        </w:rPr>
      </w:pPr>
      <w:r>
        <w:rPr>
          <w:rFonts w:hint="default" w:ascii="Times New Roman" w:hAnsi="Times New Roman" w:eastAsia="方正黑体_GBK" w:cs="宋体"/>
          <w:bCs/>
          <w:kern w:val="0"/>
          <w:sz w:val="32"/>
          <w:szCs w:val="32"/>
        </w:rPr>
        <w:t>四、其他需要说明的事项</w:t>
      </w:r>
    </w:p>
    <w:p w14:paraId="303145B9">
      <w:pPr>
        <w:pStyle w:val="12"/>
        <w:keepNext w:val="0"/>
        <w:keepLines w:val="0"/>
        <w:pageBreakBefore w:val="0"/>
        <w:kinsoku/>
        <w:wordWrap/>
        <w:overflowPunct/>
        <w:topLinePunct w:val="0"/>
        <w:autoSpaceDE w:val="0"/>
        <w:autoSpaceDN/>
        <w:bidi w:val="0"/>
        <w:adjustRightInd/>
        <w:snapToGrid w:val="0"/>
        <w:spacing w:line="600" w:lineRule="exact"/>
        <w:ind w:firstLine="640"/>
        <w:jc w:val="both"/>
        <w:textAlignment w:val="auto"/>
        <w:rPr>
          <w:rFonts w:ascii="Times New Roman" w:hAnsi="Times New Roman" w:eastAsia="楷体"/>
          <w:b/>
          <w:bCs/>
          <w:sz w:val="32"/>
          <w:szCs w:val="32"/>
          <w:shd w:val="clear" w:color="auto" w:fill="FFFFFF"/>
        </w:rPr>
      </w:pPr>
      <w:r>
        <w:rPr>
          <w:rFonts w:ascii="Times New Roman" w:hAnsi="Times New Roman" w:eastAsia="方正楷体_GBK"/>
          <w:sz w:val="32"/>
          <w:szCs w:val="32"/>
          <w:shd w:val="clear" w:color="auto" w:fill="FFFFFF"/>
        </w:rPr>
        <w:t>（一）财政拨款会议费和培训费情况说明</w:t>
      </w:r>
    </w:p>
    <w:p w14:paraId="0E2AD118">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r>
        <w:rPr>
          <w:rFonts w:hint="default" w:ascii="Times New Roman" w:hAnsi="Times New Roman" w:eastAsia="方正仿宋_GBK" w:cs="宋体"/>
          <w:kern w:val="0"/>
          <w:sz w:val="32"/>
          <w:szCs w:val="32"/>
          <w:lang w:val="en-US" w:eastAsia="zh-CN" w:bidi="ar-SA"/>
        </w:rPr>
        <w:t>本年度会议费支出0.00万元，较上年决算数无增减，主要原因是</w:t>
      </w:r>
      <w:bookmarkStart w:id="16" w:name="_Hlk181095854"/>
      <w:r>
        <w:rPr>
          <w:rFonts w:hint="default" w:ascii="Times New Roman" w:hAnsi="Times New Roman" w:eastAsia="方正仿宋_GBK" w:cs="宋体"/>
          <w:kern w:val="0"/>
          <w:sz w:val="32"/>
          <w:szCs w:val="32"/>
          <w:lang w:val="en-US" w:eastAsia="zh-CN" w:bidi="ar-SA"/>
        </w:rPr>
        <w:t>本年度无会议</w:t>
      </w:r>
      <w:bookmarkEnd w:id="16"/>
      <w:r>
        <w:rPr>
          <w:rFonts w:hint="default" w:ascii="Times New Roman" w:hAnsi="Times New Roman" w:eastAsia="方正仿宋_GBK" w:cs="宋体"/>
          <w:kern w:val="0"/>
          <w:sz w:val="32"/>
          <w:szCs w:val="32"/>
          <w:lang w:val="en-US" w:eastAsia="zh-CN" w:bidi="ar-SA"/>
        </w:rPr>
        <w:t>。</w:t>
      </w:r>
      <w:r>
        <w:rPr>
          <w:rFonts w:hint="eastAsia" w:ascii="Times New Roman" w:hAnsi="Times New Roman" w:eastAsia="方正仿宋_GBK" w:cs="宋体"/>
          <w:kern w:val="0"/>
          <w:sz w:val="32"/>
          <w:szCs w:val="32"/>
          <w:lang w:val="en-US" w:eastAsia="zh-CN" w:bidi="ar-SA"/>
        </w:rPr>
        <w:t>本年度培训费支出12.01万元，与2023年度相比，增加5.76万元，增长92.2%，</w:t>
      </w:r>
      <w:r>
        <w:rPr>
          <w:rFonts w:hint="default" w:ascii="Times New Roman" w:hAnsi="Times New Roman" w:eastAsia="方正仿宋_GBK" w:cs="宋体"/>
          <w:kern w:val="0"/>
          <w:sz w:val="32"/>
          <w:szCs w:val="32"/>
          <w:lang w:val="en-US" w:eastAsia="zh-CN" w:bidi="ar-SA"/>
        </w:rPr>
        <w:t>主要原因是培训人数</w:t>
      </w:r>
      <w:r>
        <w:rPr>
          <w:rFonts w:hint="eastAsia" w:ascii="Times New Roman" w:hAnsi="Times New Roman" w:eastAsia="方正仿宋_GBK" w:cs="宋体"/>
          <w:kern w:val="0"/>
          <w:sz w:val="32"/>
          <w:szCs w:val="32"/>
          <w:lang w:val="en-US" w:eastAsia="zh-CN" w:bidi="ar-SA"/>
        </w:rPr>
        <w:t>增加</w:t>
      </w:r>
      <w:r>
        <w:rPr>
          <w:rFonts w:hint="default" w:ascii="Times New Roman" w:hAnsi="Times New Roman" w:eastAsia="方正仿宋_GBK" w:cs="宋体"/>
          <w:kern w:val="0"/>
          <w:sz w:val="32"/>
          <w:szCs w:val="32"/>
          <w:lang w:val="en-US" w:eastAsia="zh-CN" w:bidi="ar-SA"/>
        </w:rPr>
        <w:t>。</w:t>
      </w:r>
    </w:p>
    <w:p w14:paraId="3B139442">
      <w:pPr>
        <w:pStyle w:val="12"/>
        <w:keepNext w:val="0"/>
        <w:keepLines w:val="0"/>
        <w:pageBreakBefore w:val="0"/>
        <w:kinsoku/>
        <w:wordWrap/>
        <w:overflowPunct/>
        <w:topLinePunct w:val="0"/>
        <w:autoSpaceDE w:val="0"/>
        <w:autoSpaceDN/>
        <w:bidi w:val="0"/>
        <w:adjustRightInd/>
        <w:snapToGrid w:val="0"/>
        <w:spacing w:line="600" w:lineRule="exact"/>
        <w:ind w:firstLine="640"/>
        <w:jc w:val="both"/>
        <w:textAlignment w:val="auto"/>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（二）机关运行经费情况说明</w:t>
      </w:r>
    </w:p>
    <w:p w14:paraId="68FB676A">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cs="宋体"/>
          <w:kern w:val="0"/>
          <w:sz w:val="32"/>
          <w:szCs w:val="32"/>
          <w:lang w:val="en-US" w:eastAsia="zh-CN" w:bidi="ar-SA"/>
        </w:rPr>
        <w:t>按照部门决算列报口径，我单位不在机关运行经费统计范围之内。</w:t>
      </w:r>
    </w:p>
    <w:p w14:paraId="26AD8E4E">
      <w:pPr>
        <w:pStyle w:val="12"/>
        <w:keepNext w:val="0"/>
        <w:keepLines w:val="0"/>
        <w:pageBreakBefore w:val="0"/>
        <w:kinsoku/>
        <w:wordWrap/>
        <w:overflowPunct/>
        <w:topLinePunct w:val="0"/>
        <w:autoSpaceDE w:val="0"/>
        <w:autoSpaceDN/>
        <w:bidi w:val="0"/>
        <w:adjustRightInd/>
        <w:snapToGrid w:val="0"/>
        <w:spacing w:line="600" w:lineRule="exact"/>
        <w:ind w:firstLine="640"/>
        <w:jc w:val="both"/>
        <w:textAlignment w:val="auto"/>
        <w:rPr>
          <w:rFonts w:ascii="Times New Roman" w:hAnsi="Times New Roman" w:eastAsia="楷体"/>
          <w:b/>
          <w:bCs/>
          <w:sz w:val="32"/>
          <w:szCs w:val="32"/>
          <w:shd w:val="clear" w:color="auto" w:fill="FFFFFF"/>
        </w:rPr>
      </w:pPr>
      <w:r>
        <w:rPr>
          <w:rFonts w:ascii="Times New Roman" w:hAnsi="Times New Roman" w:eastAsia="方正楷体_GBK"/>
          <w:sz w:val="32"/>
          <w:szCs w:val="32"/>
          <w:shd w:val="clear" w:color="auto" w:fill="FFFFFF"/>
        </w:rPr>
        <w:t>（三）国有资产占用情况说明</w:t>
      </w:r>
    </w:p>
    <w:p w14:paraId="7C6E08F2">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r>
        <w:rPr>
          <w:rFonts w:hint="default" w:ascii="Times New Roman" w:hAnsi="Times New Roman" w:eastAsia="方正仿宋_GBK" w:cs="宋体"/>
          <w:kern w:val="0"/>
          <w:sz w:val="32"/>
          <w:szCs w:val="32"/>
          <w:lang w:val="en-US" w:eastAsia="zh-CN" w:bidi="ar-SA"/>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415331DC">
      <w:pPr>
        <w:pStyle w:val="12"/>
        <w:keepNext w:val="0"/>
        <w:keepLines w:val="0"/>
        <w:pageBreakBefore w:val="0"/>
        <w:kinsoku/>
        <w:wordWrap/>
        <w:overflowPunct/>
        <w:topLinePunct w:val="0"/>
        <w:autoSpaceDE w:val="0"/>
        <w:autoSpaceDN/>
        <w:bidi w:val="0"/>
        <w:adjustRightInd/>
        <w:snapToGrid w:val="0"/>
        <w:spacing w:line="600" w:lineRule="exact"/>
        <w:ind w:firstLine="640"/>
        <w:jc w:val="both"/>
        <w:textAlignment w:val="auto"/>
        <w:rPr>
          <w:rFonts w:ascii="Times New Roman" w:hAnsi="Times New Roman" w:eastAsia="楷体"/>
          <w:b/>
          <w:bCs/>
          <w:sz w:val="32"/>
          <w:szCs w:val="32"/>
          <w:shd w:val="clear" w:color="auto" w:fill="FFFFFF"/>
        </w:rPr>
      </w:pPr>
      <w:r>
        <w:rPr>
          <w:rFonts w:ascii="Times New Roman" w:hAnsi="Times New Roman" w:eastAsia="方正楷体_GBK"/>
          <w:sz w:val="32"/>
          <w:szCs w:val="32"/>
          <w:shd w:val="clear" w:color="auto" w:fill="FFFFFF"/>
        </w:rPr>
        <w:t>（四）政府采购支出情况说明</w:t>
      </w:r>
    </w:p>
    <w:p w14:paraId="66B36371">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2024年度本单位政府采购支出总额0.52万元，其中：政府采购货物支出0.52万元、政府采购工程支出0.00万元、政府采购服务支出0.00万元。授予中小企业合同金额0.52万元，占政府采购支出总额的100.00%，其中：授予小微企业合同金额0.52万元，占政府采购支出总额的100.00 %。主要用于采购</w:t>
      </w:r>
      <w:r>
        <w:rPr>
          <w:rFonts w:hint="default" w:ascii="Times New Roman" w:hAnsi="Times New Roman" w:eastAsia="方正仿宋_GBK" w:cs="宋体"/>
          <w:kern w:val="0"/>
          <w:sz w:val="32"/>
          <w:szCs w:val="32"/>
          <w:lang w:val="en-US" w:eastAsia="zh-CN" w:bidi="ar-SA"/>
        </w:rPr>
        <w:t>暑期维修服务。</w:t>
      </w:r>
    </w:p>
    <w:p w14:paraId="2D6DCB35">
      <w:pPr>
        <w:widowControl w:val="0"/>
        <w:spacing w:line="600" w:lineRule="exact"/>
        <w:ind w:firstLine="640" w:firstLineChars="200"/>
        <w:jc w:val="both"/>
        <w:rPr>
          <w:rFonts w:hint="eastAsia" w:ascii="Times New Roman" w:hAnsi="Times New Roman" w:eastAsia="方正黑体_GBK" w:cs="宋体"/>
          <w:bCs/>
          <w:kern w:val="0"/>
          <w:sz w:val="32"/>
          <w:szCs w:val="32"/>
          <w:lang w:val="en-US" w:eastAsia="zh-CN"/>
        </w:rPr>
      </w:pPr>
      <w:r>
        <w:rPr>
          <w:rFonts w:hint="eastAsia" w:ascii="Times New Roman" w:hAnsi="Times New Roman" w:eastAsia="方正黑体_GBK" w:cs="宋体"/>
          <w:bCs/>
          <w:kern w:val="0"/>
          <w:sz w:val="32"/>
          <w:szCs w:val="32"/>
          <w:lang w:val="en-US" w:eastAsia="zh-CN"/>
        </w:rPr>
        <w:t>五、预算绩效管理情况说明</w:t>
      </w:r>
    </w:p>
    <w:p w14:paraId="6E4E237D">
      <w:pPr>
        <w:pStyle w:val="12"/>
        <w:keepNext w:val="0"/>
        <w:keepLines w:val="0"/>
        <w:pageBreakBefore w:val="0"/>
        <w:kinsoku/>
        <w:wordWrap/>
        <w:overflowPunct/>
        <w:topLinePunct w:val="0"/>
        <w:autoSpaceDE w:val="0"/>
        <w:autoSpaceDN/>
        <w:bidi w:val="0"/>
        <w:adjustRightInd/>
        <w:snapToGrid w:val="0"/>
        <w:spacing w:line="600" w:lineRule="exact"/>
        <w:ind w:firstLine="640"/>
        <w:jc w:val="both"/>
        <w:textAlignment w:val="auto"/>
        <w:rPr>
          <w:rFonts w:hint="eastAsia" w:ascii="方正楷体_GBK" w:hAnsi="Times New Roman" w:eastAsia="方正楷体_GBK" w:cs="宋体"/>
          <w:kern w:val="0"/>
          <w:sz w:val="32"/>
          <w:szCs w:val="32"/>
          <w:lang w:val="en-US" w:eastAsia="zh-CN" w:bidi="ar-SA"/>
        </w:rPr>
      </w:pPr>
      <w:r>
        <w:rPr>
          <w:rFonts w:hint="eastAsia" w:ascii="方正楷体_GBK" w:hAnsi="Times New Roman" w:eastAsia="方正楷体_GBK" w:cs="宋体"/>
          <w:kern w:val="0"/>
          <w:sz w:val="32"/>
          <w:szCs w:val="32"/>
          <w:lang w:val="en-US" w:eastAsia="zh-CN" w:bidi="ar-SA"/>
        </w:rPr>
        <w:t>（一）单位自评情况</w:t>
      </w:r>
    </w:p>
    <w:p w14:paraId="262AD82B">
      <w:pPr>
        <w:keepNext w:val="0"/>
        <w:keepLines w:val="0"/>
        <w:pageBreakBefore w:val="0"/>
        <w:widowControl w:val="0"/>
        <w:kinsoku/>
        <w:wordWrap/>
        <w:overflowPunct/>
        <w:topLinePunct w:val="0"/>
        <w:autoSpaceDN/>
        <w:bidi w:val="0"/>
        <w:adjustRightInd/>
        <w:spacing w:line="600" w:lineRule="exact"/>
        <w:ind w:firstLine="627" w:firstLineChars="196"/>
        <w:jc w:val="both"/>
        <w:textAlignment w:val="auto"/>
        <w:rPr>
          <w:rFonts w:hint="eastAsia"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lang w:val="en-US" w:eastAsia="zh-CN"/>
        </w:rPr>
        <w:t>根据预算绩效管理要求，我单位对</w:t>
      </w:r>
      <w:r>
        <w:rPr>
          <w:rFonts w:hint="default" w:ascii="Times New Roman" w:hAnsi="Times New Roman" w:eastAsia="方正仿宋_GBK" w:cs="宋体"/>
          <w:kern w:val="0"/>
          <w:sz w:val="32"/>
          <w:szCs w:val="32"/>
          <w:lang w:val="en-US" w:eastAsia="zh-CN"/>
        </w:rPr>
        <w:t>8</w:t>
      </w:r>
      <w:r>
        <w:rPr>
          <w:rFonts w:hint="eastAsia" w:ascii="Times New Roman" w:hAnsi="Times New Roman" w:eastAsia="方正仿宋_GBK" w:cs="宋体"/>
          <w:kern w:val="0"/>
          <w:sz w:val="32"/>
          <w:szCs w:val="32"/>
          <w:lang w:val="en-US" w:eastAsia="zh-CN"/>
        </w:rPr>
        <w:t>个项目开展了绩效自评，涉及财政拨款项目支出517.56万元。</w:t>
      </w:r>
    </w:p>
    <w:p w14:paraId="48A8A8F2">
      <w:pPr>
        <w:keepNext w:val="0"/>
        <w:keepLines w:val="0"/>
        <w:pageBreakBefore w:val="0"/>
        <w:tabs>
          <w:tab w:val="center" w:pos="4153"/>
          <w:tab w:val="left" w:pos="7275"/>
        </w:tabs>
        <w:kinsoku/>
        <w:wordWrap/>
        <w:overflowPunct/>
        <w:topLinePunct w:val="0"/>
        <w:autoSpaceDN/>
        <w:bidi w:val="0"/>
        <w:adjustRightInd/>
        <w:spacing w:line="600" w:lineRule="exact"/>
        <w:jc w:val="center"/>
        <w:textAlignment w:val="auto"/>
        <w:rPr>
          <w:rFonts w:hint="eastAsia" w:ascii="方正黑体_GBK" w:hAnsi="方正黑体_GBK" w:eastAsia="方正黑体_GBK" w:cs="方正黑体_GBK"/>
          <w:kern w:val="0"/>
          <w:sz w:val="28"/>
          <w:szCs w:val="28"/>
        </w:rPr>
      </w:pPr>
      <w:r>
        <w:rPr>
          <w:rFonts w:hint="eastAsia" w:ascii="方正黑体_GBK" w:hAnsi="方正黑体_GBK" w:eastAsia="方正黑体_GBK" w:cs="方正黑体_GBK"/>
          <w:color w:val="000000"/>
          <w:kern w:val="0"/>
          <w:sz w:val="28"/>
          <w:szCs w:val="28"/>
          <w:lang w:val="en-US" w:eastAsia="zh-CN" w:bidi="ar"/>
        </w:rPr>
        <w:t>重庆市九龙坡区</w:t>
      </w:r>
      <w:r>
        <w:rPr>
          <w:rFonts w:hint="eastAsia" w:ascii="方正黑体_GBK" w:hAnsi="方正黑体_GBK" w:eastAsia="方正黑体_GBK" w:cs="方正黑体_GBK"/>
          <w:color w:val="000000"/>
          <w:kern w:val="0"/>
          <w:sz w:val="28"/>
          <w:szCs w:val="28"/>
          <w:lang w:eastAsia="zh-CN" w:bidi="ar"/>
        </w:rPr>
        <w:t>华福实验幼儿园</w:t>
      </w:r>
      <w:r>
        <w:rPr>
          <w:rFonts w:hint="eastAsia" w:ascii="方正黑体_GBK" w:hAnsi="方正黑体_GBK" w:eastAsia="方正黑体_GBK" w:cs="方正黑体_GBK"/>
          <w:color w:val="000000"/>
          <w:kern w:val="0"/>
          <w:sz w:val="28"/>
          <w:szCs w:val="28"/>
          <w:lang w:bidi="ar"/>
        </w:rPr>
        <w:t>2024年度项目支出绩效自评表</w:t>
      </w:r>
    </w:p>
    <w:tbl>
      <w:tblPr>
        <w:tblStyle w:val="9"/>
        <w:tblW w:w="8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1035"/>
        <w:gridCol w:w="1695"/>
        <w:gridCol w:w="720"/>
        <w:gridCol w:w="960"/>
        <w:gridCol w:w="660"/>
        <w:gridCol w:w="645"/>
        <w:gridCol w:w="885"/>
        <w:gridCol w:w="675"/>
        <w:gridCol w:w="480"/>
        <w:gridCol w:w="626"/>
      </w:tblGrid>
      <w:tr w14:paraId="7603A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417" w:type="dxa"/>
            <w:tcBorders>
              <w:top w:val="single" w:color="auto" w:sz="4" w:space="0"/>
            </w:tcBorders>
            <w:noWrap w:val="0"/>
            <w:vAlign w:val="center"/>
          </w:tcPr>
          <w:p w14:paraId="0FA724D2">
            <w:pPr>
              <w:widowControl/>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序号</w:t>
            </w:r>
          </w:p>
        </w:tc>
        <w:tc>
          <w:tcPr>
            <w:tcW w:w="1035" w:type="dxa"/>
            <w:tcBorders>
              <w:top w:val="single" w:color="auto" w:sz="4" w:space="0"/>
            </w:tcBorders>
            <w:noWrap w:val="0"/>
            <w:vAlign w:val="center"/>
          </w:tcPr>
          <w:p w14:paraId="7A51F3EB">
            <w:pPr>
              <w:widowControl/>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项目名称</w:t>
            </w:r>
          </w:p>
        </w:tc>
        <w:tc>
          <w:tcPr>
            <w:tcW w:w="1695" w:type="dxa"/>
            <w:tcBorders>
              <w:top w:val="single" w:color="auto" w:sz="4" w:space="0"/>
            </w:tcBorders>
            <w:noWrap w:val="0"/>
            <w:vAlign w:val="center"/>
          </w:tcPr>
          <w:p w14:paraId="7CFD7BEE">
            <w:pPr>
              <w:widowControl/>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指标名称</w:t>
            </w:r>
          </w:p>
        </w:tc>
        <w:tc>
          <w:tcPr>
            <w:tcW w:w="720" w:type="dxa"/>
            <w:tcBorders>
              <w:top w:val="single" w:color="auto" w:sz="4" w:space="0"/>
            </w:tcBorders>
            <w:noWrap w:val="0"/>
            <w:vAlign w:val="center"/>
          </w:tcPr>
          <w:p w14:paraId="2C1CF9CA">
            <w:pPr>
              <w:widowControl/>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指标性质</w:t>
            </w:r>
          </w:p>
        </w:tc>
        <w:tc>
          <w:tcPr>
            <w:tcW w:w="960" w:type="dxa"/>
            <w:tcBorders>
              <w:top w:val="single" w:color="auto" w:sz="4" w:space="0"/>
            </w:tcBorders>
            <w:noWrap w:val="0"/>
            <w:vAlign w:val="center"/>
          </w:tcPr>
          <w:p w14:paraId="0E5C9C8B">
            <w:pPr>
              <w:widowControl/>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指标值</w:t>
            </w:r>
          </w:p>
        </w:tc>
        <w:tc>
          <w:tcPr>
            <w:tcW w:w="660" w:type="dxa"/>
            <w:tcBorders>
              <w:top w:val="single" w:color="auto" w:sz="4" w:space="0"/>
            </w:tcBorders>
            <w:noWrap w:val="0"/>
            <w:vAlign w:val="center"/>
          </w:tcPr>
          <w:p w14:paraId="25ACDB42">
            <w:pPr>
              <w:widowControl/>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计量单位</w:t>
            </w:r>
          </w:p>
        </w:tc>
        <w:tc>
          <w:tcPr>
            <w:tcW w:w="645" w:type="dxa"/>
            <w:tcBorders>
              <w:top w:val="single" w:color="auto" w:sz="4" w:space="0"/>
            </w:tcBorders>
            <w:noWrap w:val="0"/>
            <w:vAlign w:val="center"/>
          </w:tcPr>
          <w:p w14:paraId="42C6D5CC">
            <w:pPr>
              <w:widowControl/>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指标权重</w:t>
            </w:r>
          </w:p>
        </w:tc>
        <w:tc>
          <w:tcPr>
            <w:tcW w:w="885" w:type="dxa"/>
            <w:tcBorders>
              <w:top w:val="single" w:color="auto" w:sz="4" w:space="0"/>
            </w:tcBorders>
            <w:noWrap w:val="0"/>
            <w:vAlign w:val="center"/>
          </w:tcPr>
          <w:p w14:paraId="4692FAAE">
            <w:pPr>
              <w:widowControl/>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全年完成值</w:t>
            </w:r>
          </w:p>
        </w:tc>
        <w:tc>
          <w:tcPr>
            <w:tcW w:w="675" w:type="dxa"/>
            <w:tcBorders>
              <w:top w:val="single" w:color="auto" w:sz="4" w:space="0"/>
            </w:tcBorders>
            <w:noWrap w:val="0"/>
            <w:vAlign w:val="center"/>
          </w:tcPr>
          <w:p w14:paraId="16D303A7">
            <w:pPr>
              <w:widowControl/>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指标得分</w:t>
            </w:r>
          </w:p>
        </w:tc>
        <w:tc>
          <w:tcPr>
            <w:tcW w:w="480" w:type="dxa"/>
            <w:tcBorders>
              <w:top w:val="single" w:color="auto" w:sz="4" w:space="0"/>
            </w:tcBorders>
            <w:noWrap w:val="0"/>
            <w:vAlign w:val="center"/>
          </w:tcPr>
          <w:p w14:paraId="71A4B244">
            <w:pPr>
              <w:widowControl/>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说明</w:t>
            </w:r>
          </w:p>
        </w:tc>
        <w:tc>
          <w:tcPr>
            <w:tcW w:w="626" w:type="dxa"/>
            <w:tcBorders>
              <w:top w:val="single" w:color="auto" w:sz="4" w:space="0"/>
            </w:tcBorders>
            <w:noWrap w:val="0"/>
            <w:vAlign w:val="center"/>
          </w:tcPr>
          <w:p w14:paraId="35E897D9">
            <w:pPr>
              <w:widowControl/>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自评得分</w:t>
            </w:r>
          </w:p>
        </w:tc>
      </w:tr>
      <w:tr w14:paraId="727B7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17" w:type="dxa"/>
            <w:vMerge w:val="restart"/>
            <w:noWrap/>
            <w:vAlign w:val="center"/>
          </w:tcPr>
          <w:p w14:paraId="6314D2F5">
            <w:pPr>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kern w:val="0"/>
                <w:sz w:val="20"/>
                <w:szCs w:val="20"/>
                <w:lang w:bidi="ar"/>
              </w:rPr>
              <w:t>1</w:t>
            </w:r>
          </w:p>
        </w:tc>
        <w:tc>
          <w:tcPr>
            <w:tcW w:w="1035" w:type="dxa"/>
            <w:vMerge w:val="restart"/>
            <w:noWrap/>
            <w:vAlign w:val="center"/>
          </w:tcPr>
          <w:p w14:paraId="4B6EF737">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2024年学前教育家庭经济困难幼儿资助专项经费</w:t>
            </w:r>
          </w:p>
        </w:tc>
        <w:tc>
          <w:tcPr>
            <w:tcW w:w="1695" w:type="dxa"/>
            <w:noWrap/>
            <w:vAlign w:val="center"/>
          </w:tcPr>
          <w:p w14:paraId="0B94C292">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完成支付时间</w:t>
            </w:r>
          </w:p>
        </w:tc>
        <w:tc>
          <w:tcPr>
            <w:tcW w:w="720" w:type="dxa"/>
            <w:noWrap/>
            <w:vAlign w:val="center"/>
          </w:tcPr>
          <w:p w14:paraId="27A64BA7">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960" w:type="dxa"/>
            <w:noWrap/>
            <w:vAlign w:val="center"/>
          </w:tcPr>
          <w:p w14:paraId="04C0CB24">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2024</w:t>
            </w:r>
          </w:p>
        </w:tc>
        <w:tc>
          <w:tcPr>
            <w:tcW w:w="660" w:type="dxa"/>
            <w:noWrap/>
            <w:vAlign w:val="center"/>
          </w:tcPr>
          <w:p w14:paraId="6808529A">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年</w:t>
            </w:r>
          </w:p>
        </w:tc>
        <w:tc>
          <w:tcPr>
            <w:tcW w:w="645" w:type="dxa"/>
            <w:noWrap/>
            <w:vAlign w:val="center"/>
          </w:tcPr>
          <w:p w14:paraId="12CB1550">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885" w:type="dxa"/>
            <w:noWrap/>
            <w:vAlign w:val="center"/>
          </w:tcPr>
          <w:p w14:paraId="414E15CD">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675" w:type="dxa"/>
            <w:noWrap/>
            <w:vAlign w:val="center"/>
          </w:tcPr>
          <w:p w14:paraId="382B1832">
            <w:pPr>
              <w:jc w:val="center"/>
              <w:rPr>
                <w:rFonts w:hint="eastAsia" w:ascii="方正仿宋_GBK" w:hAnsi="方正仿宋_GBK" w:eastAsia="方正仿宋_GBK" w:cs="方正仿宋_GBK"/>
                <w:color w:val="000000"/>
                <w:sz w:val="20"/>
                <w:szCs w:val="20"/>
                <w:lang w:val="en-US" w:eastAsia="zh-CN" w:bidi="ar-SA"/>
              </w:rPr>
            </w:pPr>
            <w:r>
              <w:rPr>
                <w:rFonts w:hint="eastAsia" w:ascii="方正仿宋_GBK" w:hAnsi="方正仿宋_GBK" w:eastAsia="方正仿宋_GBK" w:cs="方正仿宋_GBK"/>
                <w:color w:val="000000"/>
                <w:sz w:val="20"/>
                <w:szCs w:val="20"/>
              </w:rPr>
              <w:t>20</w:t>
            </w:r>
          </w:p>
        </w:tc>
        <w:tc>
          <w:tcPr>
            <w:tcW w:w="480" w:type="dxa"/>
            <w:noWrap/>
            <w:vAlign w:val="center"/>
          </w:tcPr>
          <w:p w14:paraId="4C073280">
            <w:pPr>
              <w:rPr>
                <w:rFonts w:hint="eastAsia" w:ascii="方正仿宋_GBK" w:hAnsi="方正仿宋_GBK" w:eastAsia="方正仿宋_GBK" w:cs="方正仿宋_GBK"/>
                <w:color w:val="000000"/>
                <w:sz w:val="20"/>
                <w:szCs w:val="20"/>
              </w:rPr>
            </w:pPr>
          </w:p>
        </w:tc>
        <w:tc>
          <w:tcPr>
            <w:tcW w:w="626" w:type="dxa"/>
            <w:vMerge w:val="restart"/>
            <w:noWrap/>
            <w:vAlign w:val="center"/>
          </w:tcPr>
          <w:p w14:paraId="4F174971">
            <w:pPr>
              <w:jc w:val="center"/>
              <w:rPr>
                <w:rFonts w:hint="eastAsia" w:ascii="方正仿宋_GBK" w:hAnsi="方正仿宋_GBK" w:eastAsia="方正仿宋_GBK" w:cs="方正仿宋_GBK"/>
                <w:color w:val="000000"/>
                <w:sz w:val="20"/>
                <w:szCs w:val="20"/>
                <w:lang w:val="en-US"/>
              </w:rPr>
            </w:pPr>
            <w:r>
              <w:rPr>
                <w:rFonts w:hint="eastAsia" w:ascii="方正仿宋_GBK" w:hAnsi="方正仿宋_GBK" w:eastAsia="方正仿宋_GBK" w:cs="方正仿宋_GBK"/>
                <w:color w:val="000000"/>
                <w:sz w:val="20"/>
                <w:szCs w:val="20"/>
                <w:lang w:val="en-US"/>
              </w:rPr>
              <w:t>100</w:t>
            </w:r>
          </w:p>
        </w:tc>
      </w:tr>
      <w:tr w14:paraId="70769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17" w:type="dxa"/>
            <w:vMerge w:val="continue"/>
            <w:noWrap/>
            <w:vAlign w:val="center"/>
          </w:tcPr>
          <w:p w14:paraId="6E55B21F">
            <w:pPr>
              <w:jc w:val="center"/>
              <w:textAlignment w:val="center"/>
              <w:rPr>
                <w:rFonts w:hint="eastAsia" w:ascii="方正仿宋_GBK" w:hAnsi="方正仿宋_GBK" w:eastAsia="方正仿宋_GBK" w:cs="方正仿宋_GBK"/>
                <w:color w:val="000000"/>
                <w:sz w:val="20"/>
                <w:szCs w:val="20"/>
              </w:rPr>
            </w:pPr>
          </w:p>
        </w:tc>
        <w:tc>
          <w:tcPr>
            <w:tcW w:w="1035" w:type="dxa"/>
            <w:vMerge w:val="continue"/>
            <w:noWrap/>
            <w:vAlign w:val="center"/>
          </w:tcPr>
          <w:p w14:paraId="33BA5E5F">
            <w:pPr>
              <w:jc w:val="center"/>
              <w:rPr>
                <w:rFonts w:hint="eastAsia" w:ascii="方正仿宋_GBK" w:hAnsi="方正仿宋_GBK" w:eastAsia="方正仿宋_GBK" w:cs="方正仿宋_GBK"/>
                <w:color w:val="000000"/>
                <w:sz w:val="20"/>
                <w:szCs w:val="20"/>
              </w:rPr>
            </w:pPr>
          </w:p>
        </w:tc>
        <w:tc>
          <w:tcPr>
            <w:tcW w:w="1695" w:type="dxa"/>
            <w:noWrap/>
            <w:vAlign w:val="center"/>
          </w:tcPr>
          <w:p w14:paraId="5981B5FA">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资助到位时间</w:t>
            </w:r>
          </w:p>
        </w:tc>
        <w:tc>
          <w:tcPr>
            <w:tcW w:w="720" w:type="dxa"/>
            <w:noWrap/>
            <w:vAlign w:val="center"/>
          </w:tcPr>
          <w:p w14:paraId="2ED2FFF1">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960" w:type="dxa"/>
            <w:noWrap/>
            <w:vAlign w:val="center"/>
          </w:tcPr>
          <w:p w14:paraId="2DD0D7F5">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50</w:t>
            </w:r>
          </w:p>
        </w:tc>
        <w:tc>
          <w:tcPr>
            <w:tcW w:w="660" w:type="dxa"/>
            <w:noWrap/>
            <w:vAlign w:val="center"/>
          </w:tcPr>
          <w:p w14:paraId="4452A5E9">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天</w:t>
            </w:r>
          </w:p>
        </w:tc>
        <w:tc>
          <w:tcPr>
            <w:tcW w:w="645" w:type="dxa"/>
            <w:noWrap/>
            <w:vAlign w:val="center"/>
          </w:tcPr>
          <w:p w14:paraId="2EE19189">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885" w:type="dxa"/>
            <w:noWrap/>
            <w:vAlign w:val="center"/>
          </w:tcPr>
          <w:p w14:paraId="5B7DC237">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675" w:type="dxa"/>
            <w:noWrap/>
            <w:vAlign w:val="center"/>
          </w:tcPr>
          <w:p w14:paraId="221DDC48">
            <w:pPr>
              <w:jc w:val="center"/>
              <w:rPr>
                <w:rFonts w:hint="eastAsia" w:ascii="方正仿宋_GBK" w:hAnsi="方正仿宋_GBK" w:eastAsia="方正仿宋_GBK" w:cs="方正仿宋_GBK"/>
                <w:color w:val="000000"/>
                <w:sz w:val="20"/>
                <w:szCs w:val="20"/>
                <w:lang w:val="en-US" w:eastAsia="zh-CN" w:bidi="ar-SA"/>
              </w:rPr>
            </w:pPr>
            <w:r>
              <w:rPr>
                <w:rFonts w:hint="eastAsia" w:ascii="方正仿宋_GBK" w:hAnsi="方正仿宋_GBK" w:eastAsia="方正仿宋_GBK" w:cs="方正仿宋_GBK"/>
                <w:color w:val="000000"/>
                <w:sz w:val="20"/>
                <w:szCs w:val="20"/>
              </w:rPr>
              <w:t>20</w:t>
            </w:r>
          </w:p>
        </w:tc>
        <w:tc>
          <w:tcPr>
            <w:tcW w:w="480" w:type="dxa"/>
            <w:noWrap/>
            <w:vAlign w:val="center"/>
          </w:tcPr>
          <w:p w14:paraId="3C506921">
            <w:pPr>
              <w:rPr>
                <w:rFonts w:hint="eastAsia" w:ascii="方正仿宋_GBK" w:hAnsi="方正仿宋_GBK" w:eastAsia="方正仿宋_GBK" w:cs="方正仿宋_GBK"/>
                <w:color w:val="000000"/>
                <w:sz w:val="20"/>
                <w:szCs w:val="20"/>
              </w:rPr>
            </w:pPr>
          </w:p>
        </w:tc>
        <w:tc>
          <w:tcPr>
            <w:tcW w:w="626" w:type="dxa"/>
            <w:vMerge w:val="continue"/>
            <w:noWrap/>
            <w:vAlign w:val="center"/>
          </w:tcPr>
          <w:p w14:paraId="519062B3">
            <w:pPr>
              <w:jc w:val="center"/>
              <w:rPr>
                <w:rFonts w:hint="eastAsia" w:ascii="方正仿宋_GBK" w:hAnsi="方正仿宋_GBK" w:eastAsia="方正仿宋_GBK" w:cs="方正仿宋_GBK"/>
                <w:color w:val="000000"/>
                <w:sz w:val="20"/>
                <w:szCs w:val="20"/>
              </w:rPr>
            </w:pPr>
          </w:p>
        </w:tc>
      </w:tr>
      <w:tr w14:paraId="0523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17" w:type="dxa"/>
            <w:vMerge w:val="continue"/>
            <w:noWrap/>
            <w:vAlign w:val="center"/>
          </w:tcPr>
          <w:p w14:paraId="67F2413B">
            <w:pPr>
              <w:jc w:val="center"/>
              <w:textAlignment w:val="center"/>
              <w:rPr>
                <w:rFonts w:hint="eastAsia" w:ascii="方正仿宋_GBK" w:hAnsi="方正仿宋_GBK" w:eastAsia="方正仿宋_GBK" w:cs="方正仿宋_GBK"/>
                <w:color w:val="000000"/>
                <w:sz w:val="20"/>
                <w:szCs w:val="20"/>
              </w:rPr>
            </w:pPr>
          </w:p>
        </w:tc>
        <w:tc>
          <w:tcPr>
            <w:tcW w:w="1035" w:type="dxa"/>
            <w:vMerge w:val="continue"/>
            <w:noWrap/>
            <w:vAlign w:val="center"/>
          </w:tcPr>
          <w:p w14:paraId="27F575CF">
            <w:pPr>
              <w:jc w:val="center"/>
              <w:rPr>
                <w:rFonts w:hint="eastAsia" w:ascii="方正仿宋_GBK" w:hAnsi="方正仿宋_GBK" w:eastAsia="方正仿宋_GBK" w:cs="方正仿宋_GBK"/>
                <w:color w:val="000000"/>
                <w:sz w:val="20"/>
                <w:szCs w:val="20"/>
              </w:rPr>
            </w:pPr>
          </w:p>
        </w:tc>
        <w:tc>
          <w:tcPr>
            <w:tcW w:w="1695" w:type="dxa"/>
            <w:noWrap/>
            <w:vAlign w:val="center"/>
          </w:tcPr>
          <w:p w14:paraId="4077B80B">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补助金额</w:t>
            </w:r>
          </w:p>
        </w:tc>
        <w:tc>
          <w:tcPr>
            <w:tcW w:w="720" w:type="dxa"/>
            <w:noWrap/>
            <w:vAlign w:val="center"/>
          </w:tcPr>
          <w:p w14:paraId="26E4E07C">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960" w:type="dxa"/>
            <w:noWrap/>
            <w:vAlign w:val="center"/>
          </w:tcPr>
          <w:p w14:paraId="014B466A">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473200</w:t>
            </w:r>
          </w:p>
        </w:tc>
        <w:tc>
          <w:tcPr>
            <w:tcW w:w="660" w:type="dxa"/>
            <w:noWrap/>
            <w:vAlign w:val="center"/>
          </w:tcPr>
          <w:p w14:paraId="437CB485">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元</w:t>
            </w:r>
          </w:p>
        </w:tc>
        <w:tc>
          <w:tcPr>
            <w:tcW w:w="645" w:type="dxa"/>
            <w:noWrap/>
            <w:vAlign w:val="center"/>
          </w:tcPr>
          <w:p w14:paraId="7C10BE7C">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w:t>
            </w:r>
          </w:p>
        </w:tc>
        <w:tc>
          <w:tcPr>
            <w:tcW w:w="885" w:type="dxa"/>
            <w:noWrap/>
            <w:vAlign w:val="center"/>
          </w:tcPr>
          <w:p w14:paraId="6E4E08DD">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w:t>
            </w:r>
          </w:p>
        </w:tc>
        <w:tc>
          <w:tcPr>
            <w:tcW w:w="675" w:type="dxa"/>
            <w:noWrap/>
            <w:vAlign w:val="center"/>
          </w:tcPr>
          <w:p w14:paraId="22F955D1">
            <w:pPr>
              <w:jc w:val="center"/>
              <w:rPr>
                <w:rFonts w:hint="eastAsia" w:ascii="方正仿宋_GBK" w:hAnsi="方正仿宋_GBK" w:eastAsia="方正仿宋_GBK" w:cs="方正仿宋_GBK"/>
                <w:color w:val="000000"/>
                <w:sz w:val="20"/>
                <w:szCs w:val="20"/>
                <w:lang w:val="en-US" w:eastAsia="zh-CN" w:bidi="ar-SA"/>
              </w:rPr>
            </w:pPr>
            <w:r>
              <w:rPr>
                <w:rFonts w:hint="eastAsia" w:ascii="方正仿宋_GBK" w:hAnsi="方正仿宋_GBK" w:eastAsia="方正仿宋_GBK" w:cs="方正仿宋_GBK"/>
                <w:color w:val="000000"/>
                <w:sz w:val="20"/>
                <w:szCs w:val="20"/>
              </w:rPr>
              <w:t>10</w:t>
            </w:r>
          </w:p>
        </w:tc>
        <w:tc>
          <w:tcPr>
            <w:tcW w:w="480" w:type="dxa"/>
            <w:noWrap/>
            <w:vAlign w:val="center"/>
          </w:tcPr>
          <w:p w14:paraId="12CF464E">
            <w:pPr>
              <w:rPr>
                <w:rFonts w:hint="eastAsia" w:ascii="方正仿宋_GBK" w:hAnsi="方正仿宋_GBK" w:eastAsia="方正仿宋_GBK" w:cs="方正仿宋_GBK"/>
                <w:color w:val="000000"/>
                <w:sz w:val="20"/>
                <w:szCs w:val="20"/>
              </w:rPr>
            </w:pPr>
          </w:p>
        </w:tc>
        <w:tc>
          <w:tcPr>
            <w:tcW w:w="626" w:type="dxa"/>
            <w:vMerge w:val="continue"/>
            <w:noWrap/>
            <w:vAlign w:val="center"/>
          </w:tcPr>
          <w:p w14:paraId="27A5AAB0">
            <w:pPr>
              <w:jc w:val="center"/>
              <w:rPr>
                <w:rFonts w:hint="eastAsia" w:ascii="方正仿宋_GBK" w:hAnsi="方正仿宋_GBK" w:eastAsia="方正仿宋_GBK" w:cs="方正仿宋_GBK"/>
                <w:color w:val="000000"/>
                <w:sz w:val="20"/>
                <w:szCs w:val="20"/>
              </w:rPr>
            </w:pPr>
          </w:p>
        </w:tc>
      </w:tr>
      <w:tr w14:paraId="05A8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17" w:type="dxa"/>
            <w:vMerge w:val="continue"/>
            <w:noWrap/>
            <w:vAlign w:val="center"/>
          </w:tcPr>
          <w:p w14:paraId="2B0F2A4B">
            <w:pPr>
              <w:jc w:val="center"/>
              <w:textAlignment w:val="center"/>
              <w:rPr>
                <w:rFonts w:hint="eastAsia" w:ascii="方正仿宋_GBK" w:hAnsi="方正仿宋_GBK" w:eastAsia="方正仿宋_GBK" w:cs="方正仿宋_GBK"/>
                <w:color w:val="000000"/>
                <w:sz w:val="20"/>
                <w:szCs w:val="20"/>
              </w:rPr>
            </w:pPr>
          </w:p>
        </w:tc>
        <w:tc>
          <w:tcPr>
            <w:tcW w:w="1035" w:type="dxa"/>
            <w:vMerge w:val="continue"/>
            <w:noWrap/>
            <w:vAlign w:val="center"/>
          </w:tcPr>
          <w:p w14:paraId="6C56CF4A">
            <w:pPr>
              <w:jc w:val="center"/>
              <w:rPr>
                <w:rFonts w:hint="eastAsia" w:ascii="方正仿宋_GBK" w:hAnsi="方正仿宋_GBK" w:eastAsia="方正仿宋_GBK" w:cs="方正仿宋_GBK"/>
                <w:color w:val="000000"/>
                <w:sz w:val="20"/>
                <w:szCs w:val="20"/>
              </w:rPr>
            </w:pPr>
          </w:p>
        </w:tc>
        <w:tc>
          <w:tcPr>
            <w:tcW w:w="1695" w:type="dxa"/>
            <w:noWrap/>
            <w:vAlign w:val="center"/>
          </w:tcPr>
          <w:p w14:paraId="77951039">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困难学生覆盖率</w:t>
            </w:r>
          </w:p>
        </w:tc>
        <w:tc>
          <w:tcPr>
            <w:tcW w:w="720" w:type="dxa"/>
            <w:noWrap/>
            <w:vAlign w:val="center"/>
          </w:tcPr>
          <w:p w14:paraId="5164CD65">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960" w:type="dxa"/>
            <w:noWrap/>
            <w:vAlign w:val="center"/>
          </w:tcPr>
          <w:p w14:paraId="299B58CD">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95</w:t>
            </w:r>
          </w:p>
        </w:tc>
        <w:tc>
          <w:tcPr>
            <w:tcW w:w="660" w:type="dxa"/>
            <w:noWrap/>
            <w:vAlign w:val="center"/>
          </w:tcPr>
          <w:p w14:paraId="14908032">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645" w:type="dxa"/>
            <w:noWrap/>
            <w:vAlign w:val="center"/>
          </w:tcPr>
          <w:p w14:paraId="5EDAECC6">
            <w:pPr>
              <w:jc w:val="center"/>
              <w:rPr>
                <w:rFonts w:hint="eastAsia" w:ascii="方正仿宋_GBK" w:hAnsi="方正仿宋_GBK" w:eastAsia="方正仿宋_GBK" w:cs="方正仿宋_GBK"/>
                <w:color w:val="000000"/>
                <w:sz w:val="20"/>
                <w:szCs w:val="20"/>
                <w:lang w:val="en-US"/>
              </w:rPr>
            </w:pPr>
            <w:r>
              <w:rPr>
                <w:rFonts w:hint="eastAsia" w:ascii="方正仿宋_GBK" w:hAnsi="方正仿宋_GBK" w:eastAsia="方正仿宋_GBK" w:cs="方正仿宋_GBK"/>
                <w:color w:val="000000"/>
                <w:sz w:val="20"/>
                <w:szCs w:val="20"/>
                <w:lang w:val="en-US"/>
              </w:rPr>
              <w:t>15</w:t>
            </w:r>
          </w:p>
        </w:tc>
        <w:tc>
          <w:tcPr>
            <w:tcW w:w="885" w:type="dxa"/>
            <w:noWrap/>
            <w:vAlign w:val="center"/>
          </w:tcPr>
          <w:p w14:paraId="6E74859A">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lang w:val="en-US"/>
              </w:rPr>
              <w:t>15</w:t>
            </w:r>
          </w:p>
        </w:tc>
        <w:tc>
          <w:tcPr>
            <w:tcW w:w="675" w:type="dxa"/>
            <w:noWrap/>
            <w:vAlign w:val="center"/>
          </w:tcPr>
          <w:p w14:paraId="392D41D5">
            <w:pPr>
              <w:jc w:val="center"/>
              <w:rPr>
                <w:rFonts w:hint="eastAsia" w:ascii="方正仿宋_GBK" w:hAnsi="方正仿宋_GBK" w:eastAsia="方正仿宋_GBK" w:cs="方正仿宋_GBK"/>
                <w:color w:val="000000"/>
                <w:sz w:val="20"/>
                <w:szCs w:val="20"/>
                <w:lang w:val="en-US" w:eastAsia="zh-CN" w:bidi="ar-SA"/>
              </w:rPr>
            </w:pPr>
            <w:r>
              <w:rPr>
                <w:rFonts w:hint="eastAsia" w:ascii="方正仿宋_GBK" w:hAnsi="方正仿宋_GBK" w:eastAsia="方正仿宋_GBK" w:cs="方正仿宋_GBK"/>
                <w:color w:val="000000"/>
                <w:sz w:val="20"/>
                <w:szCs w:val="20"/>
                <w:lang w:val="en-US"/>
              </w:rPr>
              <w:t>15</w:t>
            </w:r>
          </w:p>
        </w:tc>
        <w:tc>
          <w:tcPr>
            <w:tcW w:w="480" w:type="dxa"/>
            <w:noWrap/>
            <w:vAlign w:val="center"/>
          </w:tcPr>
          <w:p w14:paraId="5D4288F3">
            <w:pPr>
              <w:rPr>
                <w:rFonts w:hint="eastAsia" w:ascii="方正仿宋_GBK" w:hAnsi="方正仿宋_GBK" w:eastAsia="方正仿宋_GBK" w:cs="方正仿宋_GBK"/>
                <w:color w:val="000000"/>
                <w:sz w:val="20"/>
                <w:szCs w:val="20"/>
              </w:rPr>
            </w:pPr>
          </w:p>
        </w:tc>
        <w:tc>
          <w:tcPr>
            <w:tcW w:w="626" w:type="dxa"/>
            <w:vMerge w:val="continue"/>
            <w:noWrap/>
            <w:vAlign w:val="center"/>
          </w:tcPr>
          <w:p w14:paraId="56EA92F6">
            <w:pPr>
              <w:jc w:val="center"/>
              <w:rPr>
                <w:rFonts w:hint="eastAsia" w:ascii="方正仿宋_GBK" w:hAnsi="方正仿宋_GBK" w:eastAsia="方正仿宋_GBK" w:cs="方正仿宋_GBK"/>
                <w:color w:val="000000"/>
                <w:sz w:val="20"/>
                <w:szCs w:val="20"/>
              </w:rPr>
            </w:pPr>
          </w:p>
        </w:tc>
      </w:tr>
      <w:tr w14:paraId="203B0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17" w:type="dxa"/>
            <w:vMerge w:val="continue"/>
            <w:noWrap/>
            <w:vAlign w:val="center"/>
          </w:tcPr>
          <w:p w14:paraId="6901BC55">
            <w:pPr>
              <w:jc w:val="center"/>
              <w:textAlignment w:val="center"/>
              <w:rPr>
                <w:rFonts w:hint="eastAsia" w:ascii="方正仿宋_GBK" w:hAnsi="方正仿宋_GBK" w:eastAsia="方正仿宋_GBK" w:cs="方正仿宋_GBK"/>
                <w:color w:val="000000"/>
                <w:sz w:val="20"/>
                <w:szCs w:val="20"/>
              </w:rPr>
            </w:pPr>
          </w:p>
        </w:tc>
        <w:tc>
          <w:tcPr>
            <w:tcW w:w="1035" w:type="dxa"/>
            <w:vMerge w:val="continue"/>
            <w:noWrap/>
            <w:vAlign w:val="center"/>
          </w:tcPr>
          <w:p w14:paraId="659324C5">
            <w:pPr>
              <w:jc w:val="center"/>
              <w:rPr>
                <w:rFonts w:hint="eastAsia" w:ascii="方正仿宋_GBK" w:hAnsi="方正仿宋_GBK" w:eastAsia="方正仿宋_GBK" w:cs="方正仿宋_GBK"/>
                <w:color w:val="000000"/>
                <w:sz w:val="20"/>
                <w:szCs w:val="20"/>
              </w:rPr>
            </w:pPr>
          </w:p>
        </w:tc>
        <w:tc>
          <w:tcPr>
            <w:tcW w:w="1695" w:type="dxa"/>
            <w:noWrap/>
            <w:vAlign w:val="center"/>
          </w:tcPr>
          <w:p w14:paraId="6909F873">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效益</w:t>
            </w:r>
          </w:p>
        </w:tc>
        <w:tc>
          <w:tcPr>
            <w:tcW w:w="720" w:type="dxa"/>
            <w:noWrap/>
            <w:vAlign w:val="center"/>
          </w:tcPr>
          <w:p w14:paraId="47FBA6DE">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定性</w:t>
            </w:r>
          </w:p>
        </w:tc>
        <w:tc>
          <w:tcPr>
            <w:tcW w:w="960" w:type="dxa"/>
            <w:noWrap/>
            <w:vAlign w:val="center"/>
          </w:tcPr>
          <w:p w14:paraId="38FDC4A9">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好</w:t>
            </w:r>
          </w:p>
        </w:tc>
        <w:tc>
          <w:tcPr>
            <w:tcW w:w="660" w:type="dxa"/>
            <w:noWrap/>
            <w:vAlign w:val="center"/>
          </w:tcPr>
          <w:p w14:paraId="72016438">
            <w:pPr>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无</w:t>
            </w:r>
          </w:p>
        </w:tc>
        <w:tc>
          <w:tcPr>
            <w:tcW w:w="645" w:type="dxa"/>
            <w:noWrap/>
            <w:vAlign w:val="center"/>
          </w:tcPr>
          <w:p w14:paraId="4C514630">
            <w:pPr>
              <w:jc w:val="center"/>
              <w:rPr>
                <w:rFonts w:hint="eastAsia" w:ascii="方正仿宋_GBK" w:hAnsi="方正仿宋_GBK" w:eastAsia="方正仿宋_GBK" w:cs="方正仿宋_GBK"/>
                <w:color w:val="000000"/>
                <w:sz w:val="20"/>
                <w:szCs w:val="20"/>
                <w:lang w:val="en-US"/>
              </w:rPr>
            </w:pPr>
            <w:r>
              <w:rPr>
                <w:rFonts w:hint="eastAsia" w:ascii="方正仿宋_GBK" w:hAnsi="方正仿宋_GBK" w:eastAsia="方正仿宋_GBK" w:cs="方正仿宋_GBK"/>
                <w:color w:val="000000"/>
                <w:sz w:val="20"/>
                <w:szCs w:val="20"/>
                <w:lang w:val="en-US"/>
              </w:rPr>
              <w:t>15</w:t>
            </w:r>
          </w:p>
        </w:tc>
        <w:tc>
          <w:tcPr>
            <w:tcW w:w="885" w:type="dxa"/>
            <w:noWrap/>
            <w:vAlign w:val="center"/>
          </w:tcPr>
          <w:p w14:paraId="3F337DE8">
            <w:pPr>
              <w:jc w:val="center"/>
              <w:rPr>
                <w:rFonts w:hint="eastAsia" w:ascii="方正仿宋_GBK" w:hAnsi="方正仿宋_GBK" w:eastAsia="方正仿宋_GBK" w:cs="方正仿宋_GBK"/>
                <w:color w:val="000000"/>
                <w:sz w:val="20"/>
                <w:szCs w:val="20"/>
                <w:lang w:val="en-US"/>
              </w:rPr>
            </w:pPr>
            <w:r>
              <w:rPr>
                <w:rFonts w:hint="eastAsia" w:ascii="方正仿宋_GBK" w:hAnsi="方正仿宋_GBK" w:eastAsia="方正仿宋_GBK" w:cs="方正仿宋_GBK"/>
                <w:color w:val="000000"/>
                <w:sz w:val="20"/>
                <w:szCs w:val="20"/>
                <w:lang w:val="en-US"/>
              </w:rPr>
              <w:t>15</w:t>
            </w:r>
          </w:p>
        </w:tc>
        <w:tc>
          <w:tcPr>
            <w:tcW w:w="675" w:type="dxa"/>
            <w:noWrap/>
            <w:vAlign w:val="center"/>
          </w:tcPr>
          <w:p w14:paraId="77274F6F">
            <w:pPr>
              <w:jc w:val="center"/>
              <w:rPr>
                <w:rFonts w:hint="eastAsia" w:ascii="方正仿宋_GBK" w:hAnsi="方正仿宋_GBK" w:eastAsia="方正仿宋_GBK" w:cs="方正仿宋_GBK"/>
                <w:color w:val="000000"/>
                <w:sz w:val="20"/>
                <w:szCs w:val="20"/>
                <w:lang w:val="en-US" w:eastAsia="zh-CN" w:bidi="ar-SA"/>
              </w:rPr>
            </w:pPr>
            <w:r>
              <w:rPr>
                <w:rFonts w:hint="eastAsia" w:ascii="方正仿宋_GBK" w:hAnsi="方正仿宋_GBK" w:eastAsia="方正仿宋_GBK" w:cs="方正仿宋_GBK"/>
                <w:color w:val="000000"/>
                <w:sz w:val="20"/>
                <w:szCs w:val="20"/>
                <w:lang w:val="en-US"/>
              </w:rPr>
              <w:t>15</w:t>
            </w:r>
          </w:p>
        </w:tc>
        <w:tc>
          <w:tcPr>
            <w:tcW w:w="480" w:type="dxa"/>
            <w:noWrap/>
            <w:vAlign w:val="center"/>
          </w:tcPr>
          <w:p w14:paraId="59A32D6C">
            <w:pPr>
              <w:rPr>
                <w:rFonts w:hint="eastAsia" w:ascii="方正仿宋_GBK" w:hAnsi="方正仿宋_GBK" w:eastAsia="方正仿宋_GBK" w:cs="方正仿宋_GBK"/>
                <w:color w:val="000000"/>
                <w:sz w:val="20"/>
                <w:szCs w:val="20"/>
              </w:rPr>
            </w:pPr>
          </w:p>
        </w:tc>
        <w:tc>
          <w:tcPr>
            <w:tcW w:w="626" w:type="dxa"/>
            <w:vMerge w:val="continue"/>
            <w:noWrap/>
            <w:vAlign w:val="center"/>
          </w:tcPr>
          <w:p w14:paraId="698DB7DD">
            <w:pPr>
              <w:jc w:val="center"/>
              <w:rPr>
                <w:rFonts w:hint="eastAsia" w:ascii="方正仿宋_GBK" w:hAnsi="方正仿宋_GBK" w:eastAsia="方正仿宋_GBK" w:cs="方正仿宋_GBK"/>
                <w:color w:val="000000"/>
                <w:sz w:val="20"/>
                <w:szCs w:val="20"/>
              </w:rPr>
            </w:pPr>
          </w:p>
        </w:tc>
      </w:tr>
      <w:tr w14:paraId="0ABD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17" w:type="dxa"/>
            <w:vMerge w:val="continue"/>
            <w:noWrap/>
            <w:vAlign w:val="center"/>
          </w:tcPr>
          <w:p w14:paraId="45C9C127">
            <w:pPr>
              <w:jc w:val="center"/>
              <w:textAlignment w:val="center"/>
              <w:rPr>
                <w:rFonts w:hint="eastAsia" w:ascii="方正仿宋_GBK" w:hAnsi="方正仿宋_GBK" w:eastAsia="方正仿宋_GBK" w:cs="方正仿宋_GBK"/>
                <w:color w:val="000000"/>
                <w:sz w:val="20"/>
                <w:szCs w:val="20"/>
              </w:rPr>
            </w:pPr>
          </w:p>
        </w:tc>
        <w:tc>
          <w:tcPr>
            <w:tcW w:w="1035" w:type="dxa"/>
            <w:vMerge w:val="continue"/>
            <w:noWrap/>
            <w:vAlign w:val="center"/>
          </w:tcPr>
          <w:p w14:paraId="1E3D76BE">
            <w:pPr>
              <w:jc w:val="center"/>
              <w:rPr>
                <w:rFonts w:hint="eastAsia" w:ascii="方正仿宋_GBK" w:hAnsi="方正仿宋_GBK" w:eastAsia="方正仿宋_GBK" w:cs="方正仿宋_GBK"/>
                <w:color w:val="000000"/>
                <w:sz w:val="20"/>
                <w:szCs w:val="20"/>
              </w:rPr>
            </w:pPr>
          </w:p>
        </w:tc>
        <w:tc>
          <w:tcPr>
            <w:tcW w:w="1695" w:type="dxa"/>
            <w:noWrap/>
            <w:vAlign w:val="center"/>
          </w:tcPr>
          <w:p w14:paraId="3D5AF3F7">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家长满意度</w:t>
            </w:r>
          </w:p>
        </w:tc>
        <w:tc>
          <w:tcPr>
            <w:tcW w:w="720" w:type="dxa"/>
            <w:noWrap/>
            <w:vAlign w:val="center"/>
          </w:tcPr>
          <w:p w14:paraId="3A394367">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960" w:type="dxa"/>
            <w:noWrap/>
            <w:vAlign w:val="center"/>
          </w:tcPr>
          <w:p w14:paraId="06413E56">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95</w:t>
            </w:r>
          </w:p>
        </w:tc>
        <w:tc>
          <w:tcPr>
            <w:tcW w:w="660" w:type="dxa"/>
            <w:noWrap/>
            <w:vAlign w:val="center"/>
          </w:tcPr>
          <w:p w14:paraId="4546140D">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645" w:type="dxa"/>
            <w:noWrap/>
            <w:vAlign w:val="center"/>
          </w:tcPr>
          <w:p w14:paraId="39570C16">
            <w:pPr>
              <w:jc w:val="center"/>
              <w:rPr>
                <w:rFonts w:hint="eastAsia" w:ascii="方正仿宋_GBK" w:hAnsi="方正仿宋_GBK" w:eastAsia="方正仿宋_GBK" w:cs="方正仿宋_GBK"/>
                <w:color w:val="000000"/>
                <w:sz w:val="20"/>
                <w:szCs w:val="20"/>
                <w:lang w:val="en-US"/>
              </w:rPr>
            </w:pPr>
            <w:r>
              <w:rPr>
                <w:rFonts w:hint="eastAsia" w:ascii="方正仿宋_GBK" w:hAnsi="方正仿宋_GBK" w:eastAsia="方正仿宋_GBK" w:cs="方正仿宋_GBK"/>
                <w:color w:val="000000"/>
                <w:sz w:val="20"/>
                <w:szCs w:val="20"/>
                <w:lang w:val="en-US"/>
              </w:rPr>
              <w:t>10</w:t>
            </w:r>
          </w:p>
        </w:tc>
        <w:tc>
          <w:tcPr>
            <w:tcW w:w="885" w:type="dxa"/>
            <w:noWrap/>
            <w:vAlign w:val="center"/>
          </w:tcPr>
          <w:p w14:paraId="29F27245">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lang w:val="en-US"/>
              </w:rPr>
              <w:t>10</w:t>
            </w:r>
          </w:p>
        </w:tc>
        <w:tc>
          <w:tcPr>
            <w:tcW w:w="675" w:type="dxa"/>
            <w:noWrap/>
            <w:vAlign w:val="center"/>
          </w:tcPr>
          <w:p w14:paraId="7400C6B8">
            <w:pPr>
              <w:jc w:val="center"/>
              <w:rPr>
                <w:rFonts w:hint="eastAsia" w:ascii="方正仿宋_GBK" w:hAnsi="方正仿宋_GBK" w:eastAsia="方正仿宋_GBK" w:cs="方正仿宋_GBK"/>
                <w:color w:val="000000"/>
                <w:sz w:val="20"/>
                <w:szCs w:val="20"/>
                <w:lang w:val="en-US" w:eastAsia="zh-CN" w:bidi="ar-SA"/>
              </w:rPr>
            </w:pPr>
            <w:r>
              <w:rPr>
                <w:rFonts w:hint="eastAsia" w:ascii="方正仿宋_GBK" w:hAnsi="方正仿宋_GBK" w:eastAsia="方正仿宋_GBK" w:cs="方正仿宋_GBK"/>
                <w:color w:val="000000"/>
                <w:sz w:val="20"/>
                <w:szCs w:val="20"/>
                <w:lang w:val="en-US"/>
              </w:rPr>
              <w:t>10</w:t>
            </w:r>
          </w:p>
        </w:tc>
        <w:tc>
          <w:tcPr>
            <w:tcW w:w="480" w:type="dxa"/>
            <w:noWrap/>
            <w:vAlign w:val="center"/>
          </w:tcPr>
          <w:p w14:paraId="58D12F51">
            <w:pPr>
              <w:rPr>
                <w:rFonts w:hint="eastAsia" w:ascii="方正仿宋_GBK" w:hAnsi="方正仿宋_GBK" w:eastAsia="方正仿宋_GBK" w:cs="方正仿宋_GBK"/>
                <w:color w:val="000000"/>
                <w:sz w:val="20"/>
                <w:szCs w:val="20"/>
              </w:rPr>
            </w:pPr>
          </w:p>
        </w:tc>
        <w:tc>
          <w:tcPr>
            <w:tcW w:w="626" w:type="dxa"/>
            <w:vMerge w:val="continue"/>
            <w:noWrap/>
            <w:vAlign w:val="center"/>
          </w:tcPr>
          <w:p w14:paraId="1DB59DBA">
            <w:pPr>
              <w:jc w:val="center"/>
              <w:rPr>
                <w:rFonts w:hint="eastAsia" w:ascii="方正仿宋_GBK" w:hAnsi="方正仿宋_GBK" w:eastAsia="方正仿宋_GBK" w:cs="方正仿宋_GBK"/>
                <w:color w:val="000000"/>
                <w:sz w:val="20"/>
                <w:szCs w:val="20"/>
              </w:rPr>
            </w:pPr>
          </w:p>
        </w:tc>
      </w:tr>
    </w:tbl>
    <w:p w14:paraId="33C5F431">
      <w:pPr>
        <w:pStyle w:val="12"/>
        <w:keepNext w:val="0"/>
        <w:keepLines w:val="0"/>
        <w:pageBreakBefore w:val="0"/>
        <w:kinsoku/>
        <w:wordWrap/>
        <w:overflowPunct/>
        <w:topLinePunct w:val="0"/>
        <w:autoSpaceDE w:val="0"/>
        <w:autoSpaceDN/>
        <w:bidi w:val="0"/>
        <w:adjustRightInd/>
        <w:snapToGrid w:val="0"/>
        <w:spacing w:line="600" w:lineRule="exact"/>
        <w:ind w:firstLine="640"/>
        <w:jc w:val="both"/>
        <w:textAlignment w:val="auto"/>
        <w:rPr>
          <w:rFonts w:hint="eastAsia" w:ascii="Times New Roman" w:hAnsi="Times New Roman" w:eastAsia="方正楷体_GBK"/>
          <w:sz w:val="32"/>
          <w:szCs w:val="32"/>
          <w:shd w:val="clear" w:color="auto" w:fill="FFFFFF"/>
          <w:lang w:val="en-US" w:eastAsia="zh-CN"/>
        </w:rPr>
      </w:pPr>
      <w:r>
        <w:rPr>
          <w:rFonts w:hint="eastAsia" w:ascii="Times New Roman" w:hAnsi="Times New Roman" w:eastAsia="方正楷体_GBK"/>
          <w:sz w:val="32"/>
          <w:szCs w:val="32"/>
          <w:shd w:val="clear" w:color="auto" w:fill="FFFFFF"/>
          <w:lang w:val="en-US" w:eastAsia="zh-CN"/>
        </w:rPr>
        <w:t>（二）单位重点绩效评价情况</w:t>
      </w:r>
    </w:p>
    <w:p w14:paraId="33969A6F">
      <w:pPr>
        <w:pStyle w:val="12"/>
        <w:keepNext w:val="0"/>
        <w:keepLines w:val="0"/>
        <w:pageBreakBefore w:val="0"/>
        <w:widowControl w:val="0"/>
        <w:kinsoku/>
        <w:wordWrap/>
        <w:overflowPunct/>
        <w:topLinePunct w:val="0"/>
        <w:autoSpaceDE w:val="0"/>
        <w:autoSpaceDN/>
        <w:bidi w:val="0"/>
        <w:adjustRightInd/>
        <w:snapToGrid w:val="0"/>
        <w:spacing w:line="600" w:lineRule="exact"/>
        <w:ind w:firstLine="64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我单位对2024年学前教育家庭经济困难幼儿资助专项经费开展了绩效评价，涉及财政拨款项目资金</w:t>
      </w:r>
      <w:r>
        <w:rPr>
          <w:rFonts w:hint="default" w:ascii="Times New Roman" w:hAnsi="Times New Roman" w:eastAsia="方正仿宋_GBK" w:cs="宋体"/>
          <w:kern w:val="0"/>
          <w:sz w:val="32"/>
          <w:szCs w:val="32"/>
          <w:lang w:val="en-US" w:eastAsia="zh-CN" w:bidi="ar-SA"/>
        </w:rPr>
        <w:t>47.32</w:t>
      </w:r>
      <w:r>
        <w:rPr>
          <w:rFonts w:hint="eastAsia" w:ascii="Times New Roman" w:hAnsi="Times New Roman" w:eastAsia="方正仿宋_GBK" w:cs="宋体"/>
          <w:kern w:val="0"/>
          <w:sz w:val="32"/>
          <w:szCs w:val="32"/>
          <w:lang w:val="en-US" w:eastAsia="zh-CN" w:bidi="ar-SA"/>
        </w:rPr>
        <w:t>万元，评价得分</w:t>
      </w:r>
      <w:r>
        <w:rPr>
          <w:rFonts w:hint="default" w:ascii="Times New Roman" w:hAnsi="Times New Roman" w:eastAsia="方正仿宋_GBK" w:cs="宋体"/>
          <w:kern w:val="0"/>
          <w:sz w:val="32"/>
          <w:szCs w:val="32"/>
          <w:lang w:val="en-US" w:eastAsia="zh-CN" w:bidi="ar-SA"/>
        </w:rPr>
        <w:t>100</w:t>
      </w:r>
      <w:r>
        <w:rPr>
          <w:rFonts w:hint="eastAsia" w:ascii="Times New Roman" w:hAnsi="Times New Roman" w:eastAsia="方正仿宋_GBK" w:cs="宋体"/>
          <w:kern w:val="0"/>
          <w:sz w:val="32"/>
          <w:szCs w:val="32"/>
          <w:lang w:val="en-US" w:eastAsia="zh-CN" w:bidi="ar-SA"/>
        </w:rPr>
        <w:t>分，评价等次为优</w:t>
      </w:r>
      <w:r>
        <w:rPr>
          <w:rFonts w:hint="default" w:ascii="Times New Roman" w:hAnsi="Times New Roman" w:eastAsia="方正仿宋_GBK" w:cs="Times New Roman"/>
          <w:kern w:val="0"/>
          <w:sz w:val="32"/>
          <w:szCs w:val="32"/>
          <w:shd w:val="clear" w:fill="FFFFFF"/>
          <w:lang w:val="en-US" w:eastAsia="zh-CN" w:bidi="ar-SA"/>
        </w:rPr>
        <w:t>，绩效评价中，未发现明显问题，财政资金均实行专项管理，专款专用。在项目实施过程中，严格按专项资金管理办法和各项财务管理制度执行，审批流程齐全、附件资料完整，资金使用无截留、挤占、挪用、虚列支出等情况</w:t>
      </w:r>
      <w:bookmarkStart w:id="17" w:name="_GoBack"/>
      <w:bookmarkEnd w:id="17"/>
      <w:r>
        <w:rPr>
          <w:rFonts w:hint="eastAsia" w:ascii="Times New Roman" w:hAnsi="Times New Roman" w:eastAsia="方正仿宋_GBK" w:cs="宋体"/>
          <w:kern w:val="0"/>
          <w:sz w:val="32"/>
          <w:szCs w:val="32"/>
          <w:lang w:val="en-US" w:eastAsia="zh-CN" w:bidi="ar-SA"/>
        </w:rPr>
        <w:t>。</w:t>
      </w:r>
    </w:p>
    <w:p w14:paraId="3BA8D933">
      <w:pPr>
        <w:pStyle w:val="12"/>
        <w:keepNext w:val="0"/>
        <w:keepLines w:val="0"/>
        <w:pageBreakBefore w:val="0"/>
        <w:kinsoku/>
        <w:wordWrap/>
        <w:overflowPunct/>
        <w:topLinePunct w:val="0"/>
        <w:autoSpaceDE w:val="0"/>
        <w:autoSpaceDN/>
        <w:bidi w:val="0"/>
        <w:adjustRightInd/>
        <w:snapToGrid w:val="0"/>
        <w:spacing w:line="600" w:lineRule="exact"/>
        <w:ind w:firstLine="640"/>
        <w:jc w:val="both"/>
        <w:textAlignment w:val="auto"/>
        <w:rPr>
          <w:rFonts w:hint="eastAsia" w:ascii="Times New Roman" w:hAnsi="Times New Roman" w:eastAsia="方正楷体_GBK"/>
          <w:sz w:val="32"/>
          <w:szCs w:val="32"/>
          <w:shd w:val="clear" w:color="auto" w:fill="FFFFFF"/>
          <w:lang w:val="en-US" w:eastAsia="zh-CN"/>
        </w:rPr>
      </w:pPr>
      <w:r>
        <w:rPr>
          <w:rFonts w:hint="eastAsia" w:ascii="Times New Roman" w:hAnsi="Times New Roman" w:eastAsia="方正楷体_GBK"/>
          <w:sz w:val="32"/>
          <w:szCs w:val="32"/>
          <w:shd w:val="clear" w:color="auto" w:fill="FFFFFF"/>
          <w:lang w:val="en-US" w:eastAsia="zh-CN"/>
        </w:rPr>
        <w:t>（三）财政绩效评价情况</w:t>
      </w:r>
    </w:p>
    <w:p w14:paraId="10150B83">
      <w:pPr>
        <w:keepNext w:val="0"/>
        <w:keepLines w:val="0"/>
        <w:pageBreakBefore w:val="0"/>
        <w:widowControl w:val="0"/>
        <w:kinsoku/>
        <w:wordWrap/>
        <w:overflowPunct/>
        <w:topLinePunct w:val="0"/>
        <w:autoSpaceDN/>
        <w:bidi w:val="0"/>
        <w:adjustRightInd/>
        <w:spacing w:line="600" w:lineRule="exact"/>
        <w:ind w:firstLine="627" w:firstLineChars="196"/>
        <w:jc w:val="both"/>
        <w:textAlignment w:val="auto"/>
        <w:rPr>
          <w:rFonts w:hint="eastAsia"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lang w:val="en-US" w:eastAsia="zh-CN"/>
        </w:rPr>
        <w:t>财政重点绩效评价由区财政局统一公开。</w:t>
      </w:r>
    </w:p>
    <w:p w14:paraId="352378E2">
      <w:pPr>
        <w:widowControl w:val="0"/>
        <w:spacing w:line="600" w:lineRule="exact"/>
        <w:ind w:firstLine="640" w:firstLineChars="200"/>
        <w:jc w:val="both"/>
        <w:rPr>
          <w:rFonts w:hint="default" w:ascii="Times New Roman" w:hAnsi="Times New Roman" w:eastAsia="方正黑体_GBK" w:cs="宋体"/>
          <w:bCs/>
          <w:kern w:val="0"/>
          <w:sz w:val="32"/>
          <w:szCs w:val="32"/>
        </w:rPr>
      </w:pPr>
      <w:r>
        <w:rPr>
          <w:rFonts w:hint="default" w:ascii="Times New Roman" w:hAnsi="Times New Roman" w:eastAsia="方正黑体_GBK" w:cs="宋体"/>
          <w:bCs/>
          <w:kern w:val="0"/>
          <w:sz w:val="32"/>
          <w:szCs w:val="32"/>
        </w:rPr>
        <w:t>六、专业名词解释</w:t>
      </w:r>
    </w:p>
    <w:p w14:paraId="4D9F4203">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楷体_GBK"/>
          <w:sz w:val="32"/>
          <w:szCs w:val="32"/>
          <w:shd w:val="clear" w:color="auto" w:fill="FFFFFF"/>
        </w:rPr>
        <w:t>（一）财政拨款收入：</w:t>
      </w:r>
      <w:r>
        <w:rPr>
          <w:rFonts w:hint="default" w:ascii="Times New Roman" w:hAnsi="Times New Roman" w:eastAsia="方正仿宋_GBK"/>
          <w:sz w:val="32"/>
          <w:szCs w:val="32"/>
          <w:shd w:val="clear" w:color="auto" w:fill="FFFFFF"/>
        </w:rPr>
        <w:t>指本年度从本级财政部门取得的财政拨款，包括一般公共预算财政拨款和政府性基金预算财政拨款。</w:t>
      </w:r>
    </w:p>
    <w:p w14:paraId="69D896BB">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楷体_GBK"/>
          <w:sz w:val="32"/>
          <w:szCs w:val="32"/>
          <w:shd w:val="clear" w:color="auto" w:fill="FFFFFF"/>
        </w:rPr>
        <w:t>（二）事业收入：</w:t>
      </w:r>
      <w:r>
        <w:rPr>
          <w:rFonts w:hint="default"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14:paraId="1E71B2B9">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楷体_GBK"/>
          <w:sz w:val="32"/>
          <w:szCs w:val="32"/>
        </w:rPr>
        <w:t>（三）经营收入</w:t>
      </w:r>
      <w:r>
        <w:rPr>
          <w:rFonts w:hint="default" w:ascii="Times New Roman" w:hAnsi="Times New Roman" w:eastAsia="方正楷体_GBK"/>
          <w:sz w:val="32"/>
          <w:szCs w:val="32"/>
          <w:shd w:val="clear" w:color="auto" w:fill="FFFFFF"/>
        </w:rPr>
        <w:t>：</w:t>
      </w:r>
      <w:r>
        <w:rPr>
          <w:rFonts w:hint="default" w:ascii="Times New Roman" w:hAnsi="Times New Roman" w:eastAsia="方正仿宋_GBK"/>
          <w:sz w:val="32"/>
          <w:szCs w:val="32"/>
          <w:shd w:val="clear" w:color="auto" w:fill="FFFFFF"/>
        </w:rPr>
        <w:t>指事业单位在专业业务活动及其辅助活动之外开展非独立核算经营活动取得的现金流入。</w:t>
      </w:r>
    </w:p>
    <w:p w14:paraId="6E216C87">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楷体_GBK"/>
          <w:sz w:val="32"/>
          <w:szCs w:val="32"/>
        </w:rPr>
        <w:t>（四）其他收入：</w:t>
      </w:r>
      <w:r>
        <w:rPr>
          <w:rFonts w:hint="default"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1AA43C3">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11"/>
          <w:rFonts w:hint="default" w:ascii="Times New Roman" w:hAnsi="Times New Roman" w:eastAsia="方正楷体_GBK"/>
          <w:b w:val="0"/>
          <w:bCs/>
          <w:sz w:val="32"/>
          <w:szCs w:val="32"/>
          <w:shd w:val="clear" w:color="auto" w:fill="FFFFFF"/>
        </w:rPr>
        <w:t>（五）使用非财政拨款结余</w:t>
      </w:r>
      <w:r>
        <w:rPr>
          <w:rFonts w:hint="default" w:ascii="Times New Roman" w:hAnsi="Times New Roman" w:eastAsia="方正楷体_GBK"/>
          <w:b/>
          <w:bCs/>
          <w:sz w:val="32"/>
          <w:szCs w:val="32"/>
          <w:shd w:val="clear" w:color="auto" w:fill="FFFFFF"/>
        </w:rPr>
        <w:t>：</w:t>
      </w:r>
      <w:r>
        <w:rPr>
          <w:rFonts w:hint="default"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2B96499D">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rPr>
      </w:pPr>
      <w:r>
        <w:rPr>
          <w:rStyle w:val="11"/>
          <w:rFonts w:hint="default" w:ascii="Times New Roman" w:hAnsi="Times New Roman" w:eastAsia="方正楷体_GBK"/>
          <w:b w:val="0"/>
          <w:bCs/>
          <w:sz w:val="32"/>
          <w:szCs w:val="32"/>
          <w:shd w:val="clear" w:color="auto" w:fill="FFFFFF"/>
        </w:rPr>
        <w:t>（六）年初结转和结余</w:t>
      </w:r>
      <w:r>
        <w:rPr>
          <w:rFonts w:hint="default" w:ascii="Times New Roman" w:hAnsi="Times New Roman" w:eastAsia="方正楷体_GBK"/>
          <w:b/>
          <w:bCs/>
          <w:sz w:val="32"/>
          <w:szCs w:val="32"/>
          <w:shd w:val="clear" w:color="auto" w:fill="FFFFFF"/>
        </w:rPr>
        <w:t>：</w:t>
      </w:r>
      <w:r>
        <w:rPr>
          <w:rFonts w:hint="default" w:ascii="Times New Roman" w:hAnsi="Times New Roman" w:eastAsia="方正仿宋_GBK"/>
          <w:sz w:val="32"/>
          <w:szCs w:val="32"/>
          <w:shd w:val="clear" w:color="auto" w:fill="FFFFFF"/>
        </w:rPr>
        <w:t>指单位上年结转本年使用的基本支出结转、项目支出结转和结余、经营结余。</w:t>
      </w:r>
    </w:p>
    <w:p w14:paraId="6809280D">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rPr>
      </w:pPr>
      <w:r>
        <w:rPr>
          <w:rStyle w:val="11"/>
          <w:rFonts w:hint="default" w:ascii="Times New Roman" w:hAnsi="Times New Roman" w:eastAsia="方正楷体_GBK"/>
          <w:b w:val="0"/>
          <w:bCs/>
          <w:sz w:val="32"/>
          <w:szCs w:val="32"/>
          <w:shd w:val="clear" w:color="auto" w:fill="FFFFFF"/>
        </w:rPr>
        <w:t>（七）结余分配</w:t>
      </w:r>
      <w:r>
        <w:rPr>
          <w:rFonts w:hint="default" w:ascii="Times New Roman" w:hAnsi="Times New Roman" w:eastAsia="方正楷体_GBK"/>
          <w:b/>
          <w:bCs/>
          <w:sz w:val="32"/>
          <w:szCs w:val="32"/>
          <w:shd w:val="clear" w:color="auto" w:fill="FFFFFF"/>
        </w:rPr>
        <w:t>：</w:t>
      </w:r>
      <w:r>
        <w:rPr>
          <w:rFonts w:hint="default" w:ascii="Times New Roman" w:hAnsi="Times New Roman" w:eastAsia="方正仿宋_GBK"/>
          <w:sz w:val="32"/>
          <w:szCs w:val="32"/>
          <w:shd w:val="clear" w:color="auto" w:fill="FFFFFF"/>
        </w:rPr>
        <w:t>指单位按照国家有关规定，缴纳所得税、提取专用基金、转入非财政拨款结余等当年结余的分配情况。</w:t>
      </w:r>
    </w:p>
    <w:p w14:paraId="03F57364">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rPr>
      </w:pPr>
      <w:r>
        <w:rPr>
          <w:rStyle w:val="11"/>
          <w:rFonts w:hint="default" w:ascii="Times New Roman" w:hAnsi="Times New Roman" w:eastAsia="方正楷体_GBK"/>
          <w:b w:val="0"/>
          <w:bCs/>
          <w:sz w:val="32"/>
          <w:szCs w:val="32"/>
          <w:shd w:val="clear" w:color="auto" w:fill="FFFFFF"/>
        </w:rPr>
        <w:t>（八）年末结转和结余</w:t>
      </w:r>
      <w:r>
        <w:rPr>
          <w:rFonts w:hint="default" w:ascii="Times New Roman" w:hAnsi="Times New Roman" w:eastAsia="方正楷体_GBK"/>
          <w:b/>
          <w:bCs/>
          <w:sz w:val="32"/>
          <w:szCs w:val="32"/>
          <w:shd w:val="clear" w:color="auto" w:fill="FFFFFF"/>
        </w:rPr>
        <w:t>：</w:t>
      </w:r>
      <w:r>
        <w:rPr>
          <w:rFonts w:hint="default" w:ascii="Times New Roman" w:hAnsi="Times New Roman" w:eastAsia="方正仿宋_GBK"/>
          <w:sz w:val="32"/>
          <w:szCs w:val="32"/>
          <w:shd w:val="clear" w:color="auto" w:fill="FFFFFF"/>
        </w:rPr>
        <w:t>指单位结转下年的基本支出结转、项目支出结转和结余、经营结余。</w:t>
      </w:r>
    </w:p>
    <w:p w14:paraId="0AC50DAD">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11"/>
          <w:rFonts w:hint="default" w:ascii="Times New Roman" w:hAnsi="Times New Roman" w:eastAsia="方正楷体_GBK"/>
          <w:b w:val="0"/>
          <w:bCs/>
          <w:sz w:val="32"/>
          <w:szCs w:val="32"/>
          <w:shd w:val="clear" w:color="auto" w:fill="FFFFFF"/>
        </w:rPr>
        <w:t>（九）基本支出</w:t>
      </w:r>
      <w:r>
        <w:rPr>
          <w:rFonts w:hint="default" w:ascii="Times New Roman" w:hAnsi="Times New Roman" w:eastAsia="方正楷体_GBK"/>
          <w:b/>
          <w:bCs/>
          <w:sz w:val="32"/>
          <w:szCs w:val="32"/>
          <w:shd w:val="clear" w:color="auto" w:fill="FFFFFF"/>
        </w:rPr>
        <w:t>：</w:t>
      </w:r>
      <w:r>
        <w:rPr>
          <w:rFonts w:hint="default"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97A45B9">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rPr>
      </w:pPr>
      <w:r>
        <w:rPr>
          <w:rStyle w:val="11"/>
          <w:rFonts w:hint="default" w:ascii="Times New Roman" w:hAnsi="Times New Roman" w:eastAsia="方正楷体_GBK"/>
          <w:b w:val="0"/>
          <w:bCs/>
          <w:sz w:val="32"/>
          <w:szCs w:val="32"/>
          <w:shd w:val="clear" w:color="auto" w:fill="FFFFFF"/>
        </w:rPr>
        <w:t>（十）项目支出</w:t>
      </w:r>
      <w:r>
        <w:rPr>
          <w:rFonts w:hint="default" w:ascii="Times New Roman" w:hAnsi="Times New Roman" w:eastAsia="方正楷体_GBK"/>
          <w:b/>
          <w:bCs/>
          <w:sz w:val="32"/>
          <w:szCs w:val="32"/>
          <w:shd w:val="clear" w:color="auto" w:fill="FFFFFF"/>
        </w:rPr>
        <w:t>：</w:t>
      </w:r>
      <w:r>
        <w:rPr>
          <w:rFonts w:hint="default" w:ascii="Times New Roman" w:hAnsi="Times New Roman" w:eastAsia="方正仿宋_GBK"/>
          <w:sz w:val="32"/>
          <w:szCs w:val="32"/>
          <w:shd w:val="clear" w:color="auto" w:fill="FFFFFF"/>
        </w:rPr>
        <w:t>指在基本支出之外为完成特定行政任务和事业发展目标所发生的支出。</w:t>
      </w:r>
    </w:p>
    <w:p w14:paraId="41305FE5">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rPr>
      </w:pPr>
      <w:r>
        <w:rPr>
          <w:rStyle w:val="11"/>
          <w:rFonts w:hint="default" w:ascii="Times New Roman" w:hAnsi="Times New Roman" w:eastAsia="方正楷体_GBK"/>
          <w:b w:val="0"/>
          <w:bCs/>
          <w:sz w:val="32"/>
          <w:szCs w:val="32"/>
          <w:shd w:val="clear" w:color="auto" w:fill="FFFFFF"/>
        </w:rPr>
        <w:t>（十一）经营支出</w:t>
      </w:r>
      <w:r>
        <w:rPr>
          <w:rFonts w:hint="default" w:ascii="Times New Roman" w:hAnsi="Times New Roman" w:eastAsia="方正楷体_GBK"/>
          <w:b/>
          <w:bCs/>
          <w:sz w:val="32"/>
          <w:szCs w:val="32"/>
          <w:shd w:val="clear" w:color="auto" w:fill="FFFFFF"/>
        </w:rPr>
        <w:t>：</w:t>
      </w:r>
      <w:r>
        <w:rPr>
          <w:rFonts w:hint="default" w:ascii="Times New Roman" w:hAnsi="Times New Roman" w:eastAsia="方正仿宋_GBK"/>
          <w:sz w:val="32"/>
          <w:szCs w:val="32"/>
          <w:shd w:val="clear" w:color="auto" w:fill="FFFFFF"/>
        </w:rPr>
        <w:t>指事业单位在专业业务活动及其辅助活动之外开展非独立核算经营活动发生的支出。</w:t>
      </w:r>
    </w:p>
    <w:p w14:paraId="5A5DBCC8">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rPr>
      </w:pPr>
      <w:r>
        <w:rPr>
          <w:rStyle w:val="11"/>
          <w:rFonts w:hint="default" w:ascii="Times New Roman" w:hAnsi="Times New Roman" w:eastAsia="方正楷体_GBK"/>
          <w:b w:val="0"/>
          <w:bCs/>
          <w:sz w:val="32"/>
          <w:szCs w:val="32"/>
          <w:shd w:val="clear" w:color="auto" w:fill="FFFFFF"/>
        </w:rPr>
        <w:t>（十二）</w:t>
      </w:r>
      <w:r>
        <w:rPr>
          <w:rFonts w:hint="default" w:ascii="方正楷体_GBK" w:hAnsi="方正楷体_GBK" w:eastAsia="方正楷体_GBK" w:cs="方正楷体_GBK"/>
          <w:sz w:val="32"/>
          <w:szCs w:val="32"/>
          <w:shd w:val="clear" w:color="auto" w:fill="FFFFFF"/>
          <w:lang w:val="en-US" w:eastAsia="zh-CN" w:bidi="ar-SA"/>
        </w:rPr>
        <w:t>“三公”经</w:t>
      </w:r>
      <w:r>
        <w:rPr>
          <w:rStyle w:val="11"/>
          <w:rFonts w:hint="default" w:ascii="Times New Roman" w:hAnsi="Times New Roman" w:eastAsia="方正楷体_GBK"/>
          <w:b w:val="0"/>
          <w:bCs/>
          <w:sz w:val="32"/>
          <w:szCs w:val="32"/>
          <w:shd w:val="clear" w:color="auto" w:fill="FFFFFF"/>
        </w:rPr>
        <w:t>费</w:t>
      </w:r>
      <w:r>
        <w:rPr>
          <w:rFonts w:hint="default" w:ascii="Times New Roman" w:hAnsi="Times New Roman" w:eastAsia="方正楷体_GBK"/>
          <w:b/>
          <w:bCs/>
          <w:sz w:val="32"/>
          <w:szCs w:val="32"/>
          <w:shd w:val="clear" w:color="auto" w:fill="FFFFFF"/>
        </w:rPr>
        <w:t>：</w:t>
      </w:r>
      <w:r>
        <w:rPr>
          <w:rFonts w:hint="default"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54B4492">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rPr>
      </w:pPr>
      <w:r>
        <w:rPr>
          <w:rStyle w:val="11"/>
          <w:rFonts w:hint="default" w:ascii="Times New Roman" w:hAnsi="Times New Roman" w:eastAsia="方正楷体_GBK"/>
          <w:b w:val="0"/>
          <w:bCs/>
          <w:sz w:val="32"/>
          <w:szCs w:val="32"/>
          <w:shd w:val="clear" w:color="auto" w:fill="FFFFFF"/>
        </w:rPr>
        <w:t>（十三）机关运行经费</w:t>
      </w:r>
      <w:r>
        <w:rPr>
          <w:rFonts w:hint="default" w:ascii="Times New Roman" w:hAnsi="Times New Roman" w:eastAsia="方正楷体_GBK"/>
          <w:b/>
          <w:bCs/>
          <w:sz w:val="32"/>
          <w:szCs w:val="32"/>
          <w:shd w:val="clear" w:color="auto" w:fill="FFFFFF"/>
        </w:rPr>
        <w:t>：</w:t>
      </w:r>
      <w:r>
        <w:rPr>
          <w:rFonts w:hint="default"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77F9369">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rPr>
      </w:pPr>
      <w:r>
        <w:rPr>
          <w:rStyle w:val="11"/>
          <w:rFonts w:hint="default" w:ascii="Times New Roman" w:hAnsi="Times New Roman" w:eastAsia="方正楷体_GBK"/>
          <w:b w:val="0"/>
          <w:bCs/>
          <w:sz w:val="32"/>
          <w:szCs w:val="32"/>
          <w:shd w:val="clear" w:color="auto" w:fill="FFFFFF"/>
        </w:rPr>
        <w:t>（十四）工资福利支出（支出经济分类科目类级）</w:t>
      </w:r>
      <w:r>
        <w:rPr>
          <w:rFonts w:hint="default" w:ascii="Times New Roman" w:hAnsi="Times New Roman" w:eastAsia="方正楷体_GBK"/>
          <w:b/>
          <w:bCs/>
          <w:sz w:val="32"/>
          <w:szCs w:val="32"/>
          <w:shd w:val="clear" w:color="auto" w:fill="FFFFFF"/>
        </w:rPr>
        <w:t>：</w:t>
      </w:r>
      <w:r>
        <w:rPr>
          <w:rFonts w:hint="default" w:ascii="Times New Roman" w:hAnsi="Times New Roman" w:eastAsia="方正仿宋_GBK"/>
          <w:sz w:val="32"/>
          <w:szCs w:val="32"/>
          <w:shd w:val="clear" w:color="auto" w:fill="FFFFFF"/>
        </w:rPr>
        <w:t>反映单位开支的在职职工和编制外长期聘用人员的各类劳动报酬，以及为上述人员缴纳的各项社会保险费等。</w:t>
      </w:r>
    </w:p>
    <w:p w14:paraId="0061B15E">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rPr>
      </w:pPr>
      <w:r>
        <w:rPr>
          <w:rStyle w:val="11"/>
          <w:rFonts w:hint="default" w:ascii="Times New Roman" w:hAnsi="Times New Roman" w:eastAsia="方正楷体_GBK"/>
          <w:b w:val="0"/>
          <w:bCs/>
          <w:sz w:val="32"/>
          <w:szCs w:val="32"/>
          <w:shd w:val="clear" w:color="auto" w:fill="FFFFFF"/>
        </w:rPr>
        <w:t>（十五）商品和服务支出（支出经济分类科目类级）</w:t>
      </w:r>
      <w:r>
        <w:rPr>
          <w:rFonts w:hint="default" w:ascii="Times New Roman" w:hAnsi="Times New Roman" w:eastAsia="方正楷体_GBK"/>
          <w:b/>
          <w:bCs/>
          <w:sz w:val="32"/>
          <w:szCs w:val="32"/>
          <w:shd w:val="clear" w:color="auto" w:fill="FFFFFF"/>
        </w:rPr>
        <w:t>：</w:t>
      </w:r>
      <w:r>
        <w:rPr>
          <w:rFonts w:hint="default" w:ascii="Times New Roman" w:hAnsi="Times New Roman" w:eastAsia="方正仿宋_GBK"/>
          <w:sz w:val="32"/>
          <w:szCs w:val="32"/>
          <w:shd w:val="clear" w:color="auto" w:fill="FFFFFF"/>
        </w:rPr>
        <w:t>反映单位购买商品和服务的支出（不包括用于购置固定资产的支出、战略性和应急储备支出）。</w:t>
      </w:r>
    </w:p>
    <w:p w14:paraId="4DE3AB9E">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rPr>
      </w:pPr>
      <w:r>
        <w:rPr>
          <w:rStyle w:val="11"/>
          <w:rFonts w:hint="default" w:ascii="Times New Roman" w:hAnsi="Times New Roman" w:eastAsia="方正楷体_GBK"/>
          <w:b w:val="0"/>
          <w:bCs/>
          <w:sz w:val="32"/>
          <w:szCs w:val="32"/>
          <w:shd w:val="clear" w:color="auto" w:fill="FFFFFF"/>
        </w:rPr>
        <w:t>（十六）对个人和家庭的补助（支出经济分类科目类级）</w:t>
      </w:r>
      <w:r>
        <w:rPr>
          <w:rFonts w:hint="default" w:ascii="Times New Roman" w:hAnsi="Times New Roman" w:eastAsia="方正楷体_GBK"/>
          <w:sz w:val="32"/>
          <w:szCs w:val="32"/>
          <w:shd w:val="clear" w:color="auto" w:fill="FFFFFF"/>
        </w:rPr>
        <w:t>：</w:t>
      </w:r>
      <w:r>
        <w:rPr>
          <w:rFonts w:hint="default" w:ascii="Times New Roman" w:hAnsi="Times New Roman" w:eastAsia="方正仿宋_GBK"/>
          <w:sz w:val="32"/>
          <w:szCs w:val="32"/>
          <w:shd w:val="clear" w:color="auto" w:fill="FFFFFF"/>
        </w:rPr>
        <w:t>反映用于对个人和家庭的补助支出。</w:t>
      </w:r>
    </w:p>
    <w:p w14:paraId="764FF9B6">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rPr>
      </w:pPr>
      <w:r>
        <w:rPr>
          <w:rStyle w:val="11"/>
          <w:rFonts w:hint="default" w:ascii="Times New Roman" w:hAnsi="Times New Roman" w:eastAsia="方正楷体_GBK"/>
          <w:b w:val="0"/>
          <w:bCs/>
          <w:sz w:val="32"/>
          <w:szCs w:val="32"/>
          <w:shd w:val="clear" w:color="auto" w:fill="FFFFFF"/>
        </w:rPr>
        <w:t>（十七）其他资本性支出（支出经济分类科目类级）</w:t>
      </w:r>
      <w:r>
        <w:rPr>
          <w:rFonts w:hint="default" w:ascii="Times New Roman" w:hAnsi="Times New Roman" w:eastAsia="方正楷体_GBK"/>
          <w:b/>
          <w:bCs/>
          <w:sz w:val="32"/>
          <w:szCs w:val="32"/>
          <w:shd w:val="clear" w:color="auto" w:fill="FFFFFF"/>
        </w:rPr>
        <w:t>：</w:t>
      </w:r>
      <w:r>
        <w:rPr>
          <w:rFonts w:hint="default" w:ascii="Times New Roman" w:hAnsi="Times New Roman"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1B25BA57">
      <w:pPr>
        <w:widowControl w:val="0"/>
        <w:spacing w:line="600" w:lineRule="exact"/>
        <w:ind w:firstLine="640" w:firstLineChars="200"/>
        <w:jc w:val="both"/>
        <w:rPr>
          <w:rFonts w:hint="default" w:ascii="Times New Roman" w:hAnsi="Times New Roman" w:eastAsia="方正黑体_GBK" w:cs="宋体"/>
          <w:bCs/>
          <w:kern w:val="0"/>
          <w:sz w:val="32"/>
          <w:szCs w:val="32"/>
        </w:rPr>
      </w:pPr>
      <w:r>
        <w:rPr>
          <w:rFonts w:hint="default" w:ascii="Times New Roman" w:hAnsi="Times New Roman" w:eastAsia="方正黑体_GBK" w:cs="宋体"/>
          <w:bCs/>
          <w:kern w:val="0"/>
          <w:sz w:val="32"/>
          <w:szCs w:val="32"/>
        </w:rPr>
        <w:t>七、决算公开联系方式及信息反馈渠道</w:t>
      </w:r>
    </w:p>
    <w:p w14:paraId="509274B2">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sz w:val="32"/>
          <w:szCs w:val="32"/>
          <w:lang w:eastAsia="zh-CN"/>
        </w:rPr>
      </w:pPr>
      <w:r>
        <w:rPr>
          <w:rFonts w:hint="default" w:ascii="Times New Roman" w:hAnsi="Times New Roman" w:eastAsia="方正仿宋_GBK"/>
          <w:sz w:val="32"/>
          <w:szCs w:val="32"/>
          <w:shd w:val="clear" w:color="auto" w:fill="FFFFFF"/>
        </w:rPr>
        <w:t>本单位决算公开信息反馈和联系方式：</w:t>
      </w:r>
      <w:r>
        <w:rPr>
          <w:rFonts w:hint="default" w:ascii="Times New Roman" w:hAnsi="Times New Roman" w:eastAsia="方正仿宋_GBK"/>
          <w:sz w:val="32"/>
          <w:szCs w:val="32"/>
        </w:rPr>
        <w:t>023-68671910</w:t>
      </w:r>
      <w:r>
        <w:rPr>
          <w:rFonts w:hint="eastAsia" w:ascii="Times New Roman" w:hAnsi="Times New Roman" w:eastAsia="方正仿宋_GBK"/>
          <w:sz w:val="32"/>
          <w:szCs w:val="32"/>
          <w:lang w:eastAsia="zh-CN"/>
        </w:rPr>
        <w:t>。</w:t>
      </w:r>
    </w:p>
    <w:p w14:paraId="367BFA55">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shd w:val="clear" w:color="auto" w:fill="FFFFFF"/>
        </w:rPr>
      </w:pPr>
    </w:p>
    <w:p w14:paraId="71BDB925">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附件：</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.收入支出决算总表</w:t>
      </w:r>
    </w:p>
    <w:p w14:paraId="3037AA10">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1600" w:firstLineChars="500"/>
        <w:jc w:val="both"/>
        <w:textAlignment w:val="auto"/>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.收入决算表</w:t>
      </w:r>
    </w:p>
    <w:p w14:paraId="4F9243E7">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1600" w:firstLineChars="500"/>
        <w:jc w:val="both"/>
        <w:textAlignment w:val="auto"/>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.支出决算表</w:t>
      </w:r>
    </w:p>
    <w:p w14:paraId="1A2BBC76">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1600" w:firstLineChars="500"/>
        <w:jc w:val="both"/>
        <w:textAlignment w:val="auto"/>
        <w:rPr>
          <w:rFonts w:hint="default" w:ascii="方正仿宋_GBK" w:hAnsi="方正仿宋_GBK" w:eastAsia="方正仿宋_GBK" w:cs="方正仿宋_GBK"/>
          <w:sz w:val="32"/>
          <w:szCs w:val="32"/>
          <w:shd w:val="clear" w:color="auto" w:fill="FFFFFF"/>
        </w:rPr>
      </w:pPr>
      <w:r>
        <w:rPr>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.财政拨款收入支出决算总表</w:t>
      </w:r>
    </w:p>
    <w:p w14:paraId="5D02B0E2">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1600" w:firstLineChars="500"/>
        <w:jc w:val="both"/>
        <w:textAlignment w:val="auto"/>
        <w:rPr>
          <w:rFonts w:hint="default" w:ascii="方正仿宋_GBK" w:hAnsi="方正仿宋_GBK" w:eastAsia="方正仿宋_GBK" w:cs="方正仿宋_GBK"/>
          <w:sz w:val="32"/>
          <w:szCs w:val="32"/>
          <w:shd w:val="clear" w:color="auto" w:fill="FFFFFF"/>
        </w:rPr>
      </w:pPr>
      <w:r>
        <w:rPr>
          <w:rFonts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.一般公共预算财政拨款支出决算表</w:t>
      </w:r>
    </w:p>
    <w:p w14:paraId="1D1F50DB">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1600" w:firstLineChars="500"/>
        <w:jc w:val="both"/>
        <w:textAlignment w:val="auto"/>
        <w:rPr>
          <w:rFonts w:hint="default" w:ascii="方正仿宋_GBK" w:hAnsi="方正仿宋_GBK" w:eastAsia="方正仿宋_GBK" w:cs="方正仿宋_GBK"/>
          <w:sz w:val="32"/>
          <w:szCs w:val="32"/>
          <w:shd w:val="clear" w:color="auto" w:fill="FFFFFF"/>
        </w:rPr>
      </w:pPr>
      <w:r>
        <w:rPr>
          <w:rFonts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.一般公共预算财政拨款基本支出决算表</w:t>
      </w:r>
    </w:p>
    <w:p w14:paraId="35146019">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1600" w:firstLineChars="500"/>
        <w:jc w:val="both"/>
        <w:textAlignment w:val="auto"/>
        <w:rPr>
          <w:rFonts w:hint="default" w:ascii="方正仿宋_GBK" w:hAnsi="方正仿宋_GBK" w:eastAsia="方正仿宋_GBK" w:cs="方正仿宋_GBK"/>
          <w:sz w:val="32"/>
          <w:szCs w:val="32"/>
          <w:shd w:val="clear" w:color="auto" w:fill="FFFFFF"/>
        </w:rPr>
      </w:pPr>
      <w:r>
        <w:rPr>
          <w:rFonts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.政府性基金预算财政拨款收入支出决算表</w:t>
      </w:r>
    </w:p>
    <w:p w14:paraId="3FAE1030">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1600" w:firstLineChars="500"/>
        <w:jc w:val="both"/>
        <w:textAlignment w:val="auto"/>
        <w:rPr>
          <w:rFonts w:hint="default" w:ascii="方正仿宋_GBK" w:hAnsi="方正仿宋_GBK" w:eastAsia="方正仿宋_GBK" w:cs="方正仿宋_GBK"/>
          <w:sz w:val="32"/>
          <w:szCs w:val="32"/>
          <w:shd w:val="clear" w:color="auto" w:fill="FFFFFF"/>
        </w:rPr>
      </w:pPr>
      <w:r>
        <w:rPr>
          <w:rFonts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.国有资本经营预算财政拨款支出决算表</w:t>
      </w:r>
    </w:p>
    <w:p w14:paraId="6F405DF5">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1600" w:firstLineChars="500"/>
        <w:jc w:val="both"/>
        <w:textAlignment w:val="auto"/>
        <w:rPr>
          <w:rStyle w:val="11"/>
          <w:rFonts w:hint="default" w:ascii="方正仿宋_GBK" w:hAnsi="方正仿宋_GBK" w:eastAsia="方正仿宋_GBK" w:cs="方正仿宋_GBK"/>
          <w:b w:val="0"/>
          <w:sz w:val="32"/>
          <w:szCs w:val="32"/>
        </w:rPr>
        <w:sectPr>
          <w:footerReference r:id="rId3" w:type="default"/>
          <w:footerReference r:id="rId4" w:type="even"/>
          <w:pgSz w:w="11915" w:h="16840"/>
          <w:pgMar w:top="2098" w:right="1531" w:bottom="1985" w:left="1531" w:header="851" w:footer="992" w:gutter="0"/>
          <w:pgNumType w:fmt="numberInDash"/>
          <w:cols w:space="720" w:num="1"/>
          <w:docGrid w:type="lines" w:linePitch="326" w:charSpace="0"/>
        </w:sectPr>
      </w:pPr>
      <w:r>
        <w:rPr>
          <w:rFonts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.机构运行信息表</w:t>
      </w:r>
    </w:p>
    <w:p w14:paraId="24A56CC8">
      <w:pPr>
        <w:rPr>
          <w:rFonts w:hint="default" w:cs="宋体"/>
          <w:sz w:val="21"/>
          <w:szCs w:val="21"/>
        </w:r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12983E21">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6FE98B91">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7EDEC59B">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0FE7D1A6">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213AE9DE">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683E0405">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CB385C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24DFFEF4">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20BACF6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重庆市九龙坡区华福实验幼儿园</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8676CD5">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A380D1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92A1D73">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79785">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E353155">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14CDF63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F10AD">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D290B">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17ED7">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CC0D7">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379416F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5C8B1">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1F9E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852.82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0B7DE">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C8E7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A4FF62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BDF95">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B240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0449D">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5797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5047DF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C6051">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3E02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46E9E">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D470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04BBA1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018B2">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7FFD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353A0">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A239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4352BE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F9030">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A3BF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539.08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69FF3">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3BAC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1,319.82</w:t>
            </w:r>
            <w:r>
              <w:rPr>
                <w:rFonts w:ascii="Times New Roman" w:hAnsi="Times New Roman"/>
                <w:color w:val="000000"/>
                <w:sz w:val="20"/>
                <w:u w:color="auto"/>
              </w:rPr>
              <w:t xml:space="preserve"> </w:t>
            </w:r>
          </w:p>
        </w:tc>
      </w:tr>
      <w:tr w14:paraId="5C10087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4922B">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AC78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664F8">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FB2A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8EBF51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54E3F">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5299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18182">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6219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B1BAA5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5B32F">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73BA1A5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3F4FC">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D997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30.30</w:t>
            </w:r>
            <w:r>
              <w:rPr>
                <w:rFonts w:ascii="Times New Roman" w:hAnsi="Times New Roman"/>
                <w:color w:val="000000"/>
                <w:sz w:val="20"/>
                <w:u w:color="auto"/>
              </w:rPr>
              <w:t xml:space="preserve"> </w:t>
            </w:r>
          </w:p>
        </w:tc>
      </w:tr>
      <w:tr w14:paraId="6EB5E1E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F76AC">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6842B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5DBBC">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5F91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10.44</w:t>
            </w:r>
            <w:r>
              <w:rPr>
                <w:rFonts w:ascii="Times New Roman" w:hAnsi="Times New Roman"/>
                <w:color w:val="000000"/>
                <w:sz w:val="20"/>
                <w:u w:color="auto"/>
              </w:rPr>
              <w:t xml:space="preserve"> </w:t>
            </w:r>
          </w:p>
        </w:tc>
      </w:tr>
      <w:tr w14:paraId="0D07008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A4DBA">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0CC4E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3F5CF">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54D8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307156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0C2F3">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A787A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DFEA2">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8A39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69100C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1F524">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F8F4D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95DEB">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25E9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833058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F503C">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5792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08EA9">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2C0D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23E009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1E7F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D2B1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7A25F">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F2AD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AB7A68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C799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8BD5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05C3D">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444F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0E4FBA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DEE2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6BD6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B138F">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C837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EF0A69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371A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662A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32CF1">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5E21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B16128A">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DDCF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2312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F1404">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E51F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46A406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2149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1584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81EBC">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7F12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31.35</w:t>
            </w:r>
            <w:r>
              <w:rPr>
                <w:rFonts w:ascii="Times New Roman" w:hAnsi="Times New Roman"/>
                <w:color w:val="000000"/>
                <w:sz w:val="20"/>
                <w:u w:color="auto"/>
              </w:rPr>
              <w:t xml:space="preserve"> </w:t>
            </w:r>
          </w:p>
        </w:tc>
      </w:tr>
      <w:tr w14:paraId="759B54E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E78E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3671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674AC">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529A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075F51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B504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6AE3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458DF">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31E0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64617B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591A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0110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6B8EA">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7E7A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5F102E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28AB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22AE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97965">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14D4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B1E5DF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8F83D">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E0BC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809FA">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D909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2B4CB0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E337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9496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D361E">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432C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3D01DE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3391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4505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9BDD3">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A86A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772CDF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C3544">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BCEF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1,391.91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18850">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6BBC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1,391.91</w:t>
            </w:r>
            <w:r>
              <w:rPr>
                <w:rFonts w:ascii="Times New Roman" w:hAnsi="Times New Roman"/>
                <w:color w:val="000000"/>
                <w:sz w:val="20"/>
                <w:u w:color="auto"/>
              </w:rPr>
              <w:t xml:space="preserve"> </w:t>
            </w:r>
          </w:p>
        </w:tc>
      </w:tr>
      <w:tr w14:paraId="512CE85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77CC5">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BBE2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A0DAD">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FBF8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3BDBFF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29489">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D6EB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ECBE6">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5E6A6E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F1C5689">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2962E">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7DDB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1,391.91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34186AB9">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438BA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1,391.91</w:t>
            </w:r>
            <w:r>
              <w:rPr>
                <w:rFonts w:ascii="Times New Roman" w:hAnsi="Times New Roman"/>
                <w:color w:val="000000"/>
                <w:sz w:val="20"/>
                <w:u w:color="auto"/>
              </w:rPr>
              <w:t xml:space="preserve"> </w:t>
            </w:r>
          </w:p>
        </w:tc>
      </w:tr>
    </w:tbl>
    <w:p w14:paraId="75CEB68C">
      <w:pPr>
        <w:spacing w:line="240" w:lineRule="exact"/>
        <w:rPr>
          <w:rFonts w:hint="default" w:cs="宋体"/>
          <w:sz w:val="21"/>
          <w:szCs w:val="21"/>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9"/>
        <w:tblW w:w="5059" w:type="pct"/>
        <w:tblInd w:w="0" w:type="dxa"/>
        <w:tblLayout w:type="fixed"/>
        <w:tblCellMar>
          <w:top w:w="0" w:type="dxa"/>
          <w:left w:w="0" w:type="dxa"/>
          <w:bottom w:w="0" w:type="dxa"/>
          <w:right w:w="0" w:type="dxa"/>
        </w:tblCellMar>
      </w:tblPr>
      <w:tblGrid>
        <w:gridCol w:w="1430"/>
        <w:gridCol w:w="2917"/>
        <w:gridCol w:w="1583"/>
        <w:gridCol w:w="1451"/>
        <w:gridCol w:w="1255"/>
        <w:gridCol w:w="1440"/>
        <w:gridCol w:w="1458"/>
        <w:gridCol w:w="1296"/>
        <w:gridCol w:w="1351"/>
        <w:gridCol w:w="1322"/>
      </w:tblGrid>
      <w:tr w14:paraId="666F7ADF">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144539DE">
            <w:pPr>
              <w:jc w:val="center"/>
              <w:textAlignment w:val="bottom"/>
              <w:rPr>
                <w:rFonts w:hint="default" w:cs="宋体"/>
                <w:b/>
                <w:color w:val="000000"/>
                <w:sz w:val="32"/>
                <w:szCs w:val="32"/>
              </w:rPr>
            </w:pPr>
            <w:r>
              <w:rPr>
                <w:rFonts w:cs="宋体"/>
                <w:b/>
                <w:color w:val="000000"/>
                <w:sz w:val="32"/>
                <w:szCs w:val="32"/>
              </w:rPr>
              <w:t>收入决算表</w:t>
            </w:r>
          </w:p>
        </w:tc>
      </w:tr>
      <w:tr w14:paraId="6A68749D">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3B37114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重庆市九龙坡区华福实验幼儿园</w:t>
            </w:r>
          </w:p>
        </w:tc>
        <w:tc>
          <w:tcPr>
            <w:tcW w:w="467" w:type="pct"/>
            <w:tcBorders>
              <w:top w:val="nil"/>
              <w:left w:val="nil"/>
              <w:bottom w:val="nil"/>
              <w:right w:val="nil"/>
            </w:tcBorders>
            <w:shd w:val="clear" w:color="auto" w:fill="auto"/>
            <w:noWrap/>
            <w:tcMar>
              <w:top w:w="15" w:type="dxa"/>
              <w:left w:w="15" w:type="dxa"/>
              <w:right w:w="15" w:type="dxa"/>
            </w:tcMar>
            <w:vAlign w:val="bottom"/>
          </w:tcPr>
          <w:p w14:paraId="4B226EDD">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3376C41">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FE77B47">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D3AB51E">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039F4E1">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0B83327A">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0129F04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6EF5F146">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6E51B06F">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0E59E57A">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AF5631C">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5D50EEC">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0F02E0C">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59E20E35">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0495F981">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33BD5F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EAFEA35">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6DBADCE0">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392F3">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4C2AF">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B05AF">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B965A7">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9B608">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EE479">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1DA38">
            <w:pPr>
              <w:jc w:val="center"/>
              <w:textAlignment w:val="center"/>
              <w:rPr>
                <w:rFonts w:hint="default" w:cs="宋体"/>
                <w:b/>
                <w:color w:val="000000"/>
                <w:sz w:val="20"/>
                <w:szCs w:val="20"/>
              </w:rPr>
            </w:pPr>
            <w:r>
              <w:rPr>
                <w:rFonts w:cs="宋体"/>
                <w:b/>
                <w:color w:val="000000"/>
                <w:sz w:val="20"/>
                <w:szCs w:val="20"/>
              </w:rPr>
              <w:t>其他收入</w:t>
            </w:r>
          </w:p>
        </w:tc>
      </w:tr>
      <w:tr w14:paraId="2E89037C">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61A54">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C44FAF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B10A0">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49348">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C7323">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1CE93">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4170F">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51CE8">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47334">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DDE98">
            <w:pPr>
              <w:jc w:val="center"/>
              <w:rPr>
                <w:rFonts w:hint="default" w:cs="宋体"/>
                <w:b/>
                <w:color w:val="000000"/>
                <w:sz w:val="20"/>
                <w:szCs w:val="20"/>
              </w:rPr>
            </w:pPr>
          </w:p>
        </w:tc>
      </w:tr>
      <w:tr w14:paraId="52BD3213">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6007A">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75687E8">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B353B">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D590D">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36383">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EEA7C">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79478">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D8178">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364ED">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2FB10">
            <w:pPr>
              <w:jc w:val="center"/>
              <w:rPr>
                <w:rFonts w:hint="default" w:cs="宋体"/>
                <w:b/>
                <w:color w:val="000000"/>
                <w:sz w:val="20"/>
                <w:szCs w:val="20"/>
              </w:rPr>
            </w:pPr>
          </w:p>
        </w:tc>
      </w:tr>
      <w:tr w14:paraId="3720E79B">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D4410">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6CAF474">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3E3CF">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017D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2D72A">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3B8A4">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04404">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A6218">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EC845">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CFBFB">
            <w:pPr>
              <w:jc w:val="center"/>
              <w:rPr>
                <w:rFonts w:hint="default" w:cs="宋体"/>
                <w:b/>
                <w:color w:val="000000"/>
                <w:sz w:val="20"/>
                <w:szCs w:val="20"/>
              </w:rPr>
            </w:pPr>
          </w:p>
        </w:tc>
      </w:tr>
      <w:tr w14:paraId="79013B8E">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541B3">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284DED4">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9E67C">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27F7B">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11ADB">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7C117">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28E76">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4DE39">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D743E">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CF55B">
            <w:pPr>
              <w:jc w:val="center"/>
              <w:rPr>
                <w:rFonts w:hint="default" w:cs="宋体"/>
                <w:b/>
                <w:color w:val="000000"/>
                <w:sz w:val="20"/>
                <w:szCs w:val="20"/>
              </w:rPr>
            </w:pPr>
          </w:p>
        </w:tc>
      </w:tr>
      <w:tr w14:paraId="214C7735">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8420A">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B384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1,391.91</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8920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852.82</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1865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97FA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539.08</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3F60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539.08</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4C19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EB00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076F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9A6A47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F811F">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248E9">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FF5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1,319.82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EB4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780.73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410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244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539.08</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54B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539.08</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0A6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BCB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2A7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0233A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00EA8">
            <w:pPr>
              <w:textAlignment w:val="center"/>
              <w:rPr>
                <w:rFonts w:hint="default" w:cs="宋体"/>
                <w:color w:val="000000"/>
                <w:sz w:val="20"/>
                <w:szCs w:val="20"/>
              </w:rPr>
            </w:pPr>
            <w:r>
              <w:rPr>
                <w:rFonts w:cs="宋体"/>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4F127">
            <w:pPr>
              <w:textAlignment w:val="center"/>
              <w:rPr>
                <w:rFonts w:hint="default" w:cs="宋体"/>
                <w:color w:val="000000"/>
                <w:sz w:val="20"/>
                <w:szCs w:val="20"/>
              </w:rPr>
            </w:pPr>
            <w:r>
              <w:rPr>
                <w:rFonts w:cs="宋体"/>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F1E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1,319.82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C42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780.73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E5F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BAE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539.08</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A04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539.08</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497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154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30E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4BF92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9187D">
            <w:pPr>
              <w:textAlignment w:val="center"/>
              <w:rPr>
                <w:rFonts w:hint="default" w:cs="宋体"/>
                <w:color w:val="000000"/>
                <w:sz w:val="20"/>
                <w:szCs w:val="20"/>
              </w:rPr>
            </w:pPr>
            <w:r>
              <w:rPr>
                <w:rFonts w:cs="宋体"/>
                <w:color w:val="000000"/>
                <w:sz w:val="20"/>
                <w:szCs w:val="20"/>
              </w:rPr>
              <w:t>2050201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BA722">
            <w:pPr>
              <w:textAlignment w:val="center"/>
              <w:rPr>
                <w:rFonts w:hint="default" w:cs="宋体"/>
                <w:color w:val="000000"/>
                <w:sz w:val="20"/>
                <w:szCs w:val="20"/>
              </w:rPr>
            </w:pPr>
            <w:r>
              <w:rPr>
                <w:rFonts w:cs="宋体"/>
                <w:color w:val="000000"/>
                <w:sz w:val="20"/>
                <w:szCs w:val="20"/>
              </w:rPr>
              <w:t>学前教育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196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1,319.82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600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780.73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319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7FF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539.08</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B24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539.08</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8ED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649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C9E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56E18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7D8B0">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86593">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323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30.30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1CC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30.30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177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797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FFF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FEE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829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AF6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125960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13130">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DE543">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83C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30.30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4AC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30.30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D84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698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51C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B0D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EF9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EB0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9ACEA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8FF76">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A1790">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7AE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219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519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00A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48B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6D8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277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1E7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12099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975E6">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55128">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139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426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975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0F6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D77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AD2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F21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39F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863FE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62593">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CEA80">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FD0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1E5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8EF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CF7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56B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CD8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C76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6EA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0679E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9D21D">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E159B">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A06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5C9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131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52E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322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B28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CF4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786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A7C26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40C5A">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E5B1C">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298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A3B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EB7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44D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ACE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22F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6AB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814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630A0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0D69C">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E8EC0">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D24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543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384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4CE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AFC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2F3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8DB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98E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982DC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BA86F">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34CB7">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493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817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9B4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AB7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603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A8F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5A0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A0F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7780C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DE448">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D75F0">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9B7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434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92C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6F8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976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FC2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F14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3C8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B484C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3588C">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6C672">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210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C60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0DD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DDC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BD2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A1F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F52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A16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27979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CF8A1">
            <w:pPr>
              <w:textAlignment w:val="center"/>
              <w:rPr>
                <w:rFonts w:hint="default" w:cs="宋体"/>
                <w:color w:val="000000"/>
                <w:sz w:val="20"/>
                <w:szCs w:val="20"/>
              </w:rPr>
            </w:pPr>
            <w:r>
              <w:rPr>
                <w:rFonts w:cs="宋体"/>
                <w:color w:val="000000"/>
                <w:sz w:val="20"/>
                <w:szCs w:val="20"/>
              </w:rPr>
              <w:t>2210203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F41BF">
            <w:pPr>
              <w:textAlignment w:val="center"/>
              <w:rPr>
                <w:rFonts w:hint="default" w:cs="宋体"/>
                <w:color w:val="000000"/>
                <w:sz w:val="20"/>
                <w:szCs w:val="20"/>
              </w:rPr>
            </w:pPr>
            <w:r>
              <w:rPr>
                <w:rFonts w:cs="宋体"/>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677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CF6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D82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D85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05B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623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07C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99A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39E07B3">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tbl>
      <w:tblPr>
        <w:tblStyle w:val="9"/>
        <w:tblW w:w="4901" w:type="pct"/>
        <w:tblInd w:w="0" w:type="dxa"/>
        <w:tblLayout w:type="fixed"/>
        <w:tblCellMar>
          <w:top w:w="0" w:type="dxa"/>
          <w:left w:w="0" w:type="dxa"/>
          <w:bottom w:w="0" w:type="dxa"/>
          <w:right w:w="0" w:type="dxa"/>
        </w:tblCellMar>
      </w:tblPr>
      <w:tblGrid>
        <w:gridCol w:w="1265"/>
        <w:gridCol w:w="3531"/>
        <w:gridCol w:w="1804"/>
        <w:gridCol w:w="1731"/>
        <w:gridCol w:w="1592"/>
        <w:gridCol w:w="1525"/>
        <w:gridCol w:w="1659"/>
        <w:gridCol w:w="1913"/>
      </w:tblGrid>
      <w:tr w14:paraId="64D232BC">
        <w:tblPrEx>
          <w:tblCellMar>
            <w:top w:w="0" w:type="dxa"/>
            <w:left w:w="0" w:type="dxa"/>
            <w:bottom w:w="0" w:type="dxa"/>
            <w:right w:w="0" w:type="dxa"/>
          </w:tblCellMar>
        </w:tblPrEx>
        <w:trPr>
          <w:trHeight w:val="576"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DF6E3BE">
            <w:pPr>
              <w:jc w:val="center"/>
              <w:textAlignment w:val="bottom"/>
              <w:rPr>
                <w:rFonts w:hint="default" w:cs="宋体"/>
                <w:b/>
                <w:color w:val="000000"/>
                <w:sz w:val="32"/>
                <w:szCs w:val="32"/>
              </w:rPr>
            </w:pPr>
            <w:r>
              <w:rPr>
                <w:rFonts w:cs="宋体"/>
                <w:b/>
                <w:color w:val="000000"/>
                <w:sz w:val="32"/>
                <w:szCs w:val="32"/>
              </w:rPr>
              <w:t>支出决算表</w:t>
            </w:r>
          </w:p>
        </w:tc>
      </w:tr>
      <w:tr w14:paraId="45BBBD9B">
        <w:tblPrEx>
          <w:tblCellMar>
            <w:top w:w="0" w:type="dxa"/>
            <w:left w:w="0" w:type="dxa"/>
            <w:bottom w:w="0" w:type="dxa"/>
            <w:right w:w="0" w:type="dxa"/>
          </w:tblCellMar>
        </w:tblPrEx>
        <w:trPr>
          <w:trHeight w:val="314"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7A1CB95F">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重庆市九龙坡区华福实验幼儿园 </w:t>
            </w:r>
          </w:p>
        </w:tc>
        <w:tc>
          <w:tcPr>
            <w:tcW w:w="576" w:type="pct"/>
            <w:tcBorders>
              <w:top w:val="nil"/>
              <w:left w:val="nil"/>
              <w:bottom w:val="nil"/>
              <w:right w:val="nil"/>
            </w:tcBorders>
            <w:shd w:val="clear" w:color="auto" w:fill="auto"/>
            <w:noWrap/>
            <w:tcMar>
              <w:top w:w="15" w:type="dxa"/>
              <w:left w:w="15" w:type="dxa"/>
              <w:right w:w="15" w:type="dxa"/>
            </w:tcMar>
            <w:vAlign w:val="bottom"/>
          </w:tcPr>
          <w:p w14:paraId="3BF39408">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1636CB48">
            <w:pPr>
              <w:rPr>
                <w:rFonts w:hint="default" w:cs="宋体"/>
                <w:color w:val="000000"/>
                <w:sz w:val="20"/>
                <w:szCs w:val="20"/>
              </w:rPr>
            </w:pPr>
          </w:p>
        </w:tc>
        <w:tc>
          <w:tcPr>
            <w:tcW w:w="507" w:type="pct"/>
            <w:tcBorders>
              <w:top w:val="nil"/>
              <w:left w:val="nil"/>
              <w:bottom w:val="nil"/>
              <w:right w:val="nil"/>
            </w:tcBorders>
            <w:shd w:val="clear" w:color="auto" w:fill="auto"/>
            <w:noWrap/>
            <w:tcMar>
              <w:top w:w="15" w:type="dxa"/>
              <w:left w:w="15" w:type="dxa"/>
              <w:right w:w="15" w:type="dxa"/>
            </w:tcMar>
            <w:vAlign w:val="bottom"/>
          </w:tcPr>
          <w:p w14:paraId="036BAF5C">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86B8EAF">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58B7C2D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3BD93D17">
        <w:tblPrEx>
          <w:tblCellMar>
            <w:top w:w="0" w:type="dxa"/>
            <w:left w:w="0" w:type="dxa"/>
            <w:bottom w:w="0" w:type="dxa"/>
            <w:right w:w="0" w:type="dxa"/>
          </w:tblCellMar>
        </w:tblPrEx>
        <w:trPr>
          <w:trHeight w:val="314"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328FA8F1">
            <w:pPr>
              <w:rPr>
                <w:rFonts w:hint="default" w:cs="宋体"/>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671FF4C6">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47323EE1">
            <w:pPr>
              <w:rPr>
                <w:rFonts w:hint="default" w:cs="宋体"/>
                <w:color w:val="000000"/>
                <w:sz w:val="20"/>
                <w:szCs w:val="20"/>
              </w:rPr>
            </w:pPr>
          </w:p>
        </w:tc>
        <w:tc>
          <w:tcPr>
            <w:tcW w:w="507" w:type="pct"/>
            <w:tcBorders>
              <w:top w:val="nil"/>
              <w:left w:val="nil"/>
              <w:bottom w:val="nil"/>
              <w:right w:val="nil"/>
            </w:tcBorders>
            <w:shd w:val="clear" w:color="auto" w:fill="auto"/>
            <w:noWrap/>
            <w:tcMar>
              <w:top w:w="15" w:type="dxa"/>
              <w:left w:w="15" w:type="dxa"/>
              <w:right w:w="15" w:type="dxa"/>
            </w:tcMar>
            <w:vAlign w:val="bottom"/>
          </w:tcPr>
          <w:p w14:paraId="65095B23">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4ACF0B0">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747FEFE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F20F139">
        <w:tblPrEx>
          <w:tblCellMar>
            <w:top w:w="0" w:type="dxa"/>
            <w:left w:w="0" w:type="dxa"/>
            <w:bottom w:w="0" w:type="dxa"/>
            <w:right w:w="0" w:type="dxa"/>
          </w:tblCellMar>
        </w:tblPrEx>
        <w:trPr>
          <w:trHeight w:val="348" w:hRule="atLeast"/>
        </w:trPr>
        <w:tc>
          <w:tcPr>
            <w:tcW w:w="159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321268">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C6CD5">
            <w:pPr>
              <w:jc w:val="center"/>
              <w:textAlignment w:val="center"/>
              <w:rPr>
                <w:rFonts w:hint="default" w:cs="宋体"/>
                <w:b/>
                <w:color w:val="000000"/>
                <w:sz w:val="20"/>
                <w:szCs w:val="20"/>
              </w:rPr>
            </w:pPr>
            <w:r>
              <w:rPr>
                <w:rFonts w:cs="宋体"/>
                <w:b/>
                <w:color w:val="000000"/>
                <w:sz w:val="20"/>
                <w:szCs w:val="20"/>
              </w:rPr>
              <w:t>本年支出合计</w:t>
            </w:r>
          </w:p>
        </w:tc>
        <w:tc>
          <w:tcPr>
            <w:tcW w:w="57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31D39">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53189">
            <w:pPr>
              <w:jc w:val="center"/>
              <w:textAlignment w:val="center"/>
              <w:rPr>
                <w:rFonts w:hint="default" w:cs="宋体"/>
                <w:b/>
                <w:color w:val="000000"/>
                <w:sz w:val="20"/>
                <w:szCs w:val="20"/>
              </w:rPr>
            </w:pPr>
            <w:r>
              <w:rPr>
                <w:rFonts w:cs="宋体"/>
                <w:b/>
                <w:color w:val="000000"/>
                <w:sz w:val="20"/>
                <w:szCs w:val="20"/>
              </w:rPr>
              <w:t>项目支出</w:t>
            </w:r>
          </w:p>
        </w:tc>
        <w:tc>
          <w:tcPr>
            <w:tcW w:w="50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D33B1">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D834D">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9D16C">
            <w:pPr>
              <w:jc w:val="center"/>
              <w:textAlignment w:val="center"/>
              <w:rPr>
                <w:rFonts w:hint="default" w:cs="宋体"/>
                <w:b/>
                <w:color w:val="000000"/>
                <w:sz w:val="20"/>
                <w:szCs w:val="20"/>
              </w:rPr>
            </w:pPr>
            <w:r>
              <w:rPr>
                <w:rFonts w:cs="宋体"/>
                <w:b/>
                <w:color w:val="000000"/>
                <w:sz w:val="20"/>
                <w:szCs w:val="20"/>
              </w:rPr>
              <w:t>对附属单位补助支出</w:t>
            </w:r>
          </w:p>
        </w:tc>
      </w:tr>
      <w:tr w14:paraId="21864716">
        <w:tblPrEx>
          <w:tblCellMar>
            <w:top w:w="0" w:type="dxa"/>
            <w:left w:w="0" w:type="dxa"/>
            <w:bottom w:w="0" w:type="dxa"/>
            <w:right w:w="0" w:type="dxa"/>
          </w:tblCellMar>
        </w:tblPrEx>
        <w:trPr>
          <w:trHeight w:val="329"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A9C20">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675444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FE1C3">
            <w:pPr>
              <w:jc w:val="center"/>
              <w:rPr>
                <w:rFonts w:hint="default" w:cs="宋体"/>
                <w:b/>
                <w:color w:val="000000"/>
                <w:sz w:val="20"/>
                <w:szCs w:val="20"/>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7A0D6">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97615">
            <w:pPr>
              <w:jc w:val="center"/>
              <w:rPr>
                <w:rFonts w:hint="default" w:cs="宋体"/>
                <w:b/>
                <w:color w:val="000000"/>
                <w:sz w:val="20"/>
                <w:szCs w:val="20"/>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9DB23">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9CC9D">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F609E">
            <w:pPr>
              <w:jc w:val="center"/>
              <w:rPr>
                <w:rFonts w:hint="default" w:cs="宋体"/>
                <w:b/>
                <w:color w:val="000000"/>
                <w:sz w:val="20"/>
                <w:szCs w:val="20"/>
              </w:rPr>
            </w:pPr>
          </w:p>
        </w:tc>
      </w:tr>
      <w:tr w14:paraId="227FC075">
        <w:tblPrEx>
          <w:tblCellMar>
            <w:top w:w="0" w:type="dxa"/>
            <w:left w:w="0" w:type="dxa"/>
            <w:bottom w:w="0" w:type="dxa"/>
            <w:right w:w="0" w:type="dxa"/>
          </w:tblCellMar>
        </w:tblPrEx>
        <w:trPr>
          <w:trHeight w:val="329"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F37D7">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C02C5C7">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30D89">
            <w:pPr>
              <w:jc w:val="center"/>
              <w:rPr>
                <w:rFonts w:hint="default" w:cs="宋体"/>
                <w:b/>
                <w:color w:val="000000"/>
                <w:sz w:val="20"/>
                <w:szCs w:val="20"/>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68736">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8CD78">
            <w:pPr>
              <w:jc w:val="center"/>
              <w:rPr>
                <w:rFonts w:hint="default" w:cs="宋体"/>
                <w:b/>
                <w:color w:val="000000"/>
                <w:sz w:val="20"/>
                <w:szCs w:val="20"/>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083B2">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3CDBC">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8BD30">
            <w:pPr>
              <w:jc w:val="center"/>
              <w:rPr>
                <w:rFonts w:hint="default" w:cs="宋体"/>
                <w:b/>
                <w:color w:val="000000"/>
                <w:sz w:val="20"/>
                <w:szCs w:val="20"/>
              </w:rPr>
            </w:pPr>
          </w:p>
        </w:tc>
      </w:tr>
      <w:tr w14:paraId="3918EF8D">
        <w:tblPrEx>
          <w:tblCellMar>
            <w:top w:w="0" w:type="dxa"/>
            <w:left w:w="0" w:type="dxa"/>
            <w:bottom w:w="0" w:type="dxa"/>
            <w:right w:w="0" w:type="dxa"/>
          </w:tblCellMar>
        </w:tblPrEx>
        <w:trPr>
          <w:trHeight w:val="329"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C5032">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A76911D">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88E71">
            <w:pPr>
              <w:jc w:val="center"/>
              <w:rPr>
                <w:rFonts w:hint="default" w:cs="宋体"/>
                <w:b/>
                <w:color w:val="000000"/>
                <w:sz w:val="20"/>
                <w:szCs w:val="20"/>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5261D">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F96EB">
            <w:pPr>
              <w:jc w:val="center"/>
              <w:rPr>
                <w:rFonts w:hint="default" w:cs="宋体"/>
                <w:b/>
                <w:color w:val="000000"/>
                <w:sz w:val="20"/>
                <w:szCs w:val="20"/>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00597">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217F0">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62C50">
            <w:pPr>
              <w:jc w:val="center"/>
              <w:rPr>
                <w:rFonts w:hint="default" w:cs="宋体"/>
                <w:b/>
                <w:color w:val="000000"/>
                <w:sz w:val="20"/>
                <w:szCs w:val="20"/>
              </w:rPr>
            </w:pPr>
          </w:p>
        </w:tc>
      </w:tr>
      <w:tr w14:paraId="568ADBBA">
        <w:tblPrEx>
          <w:tblCellMar>
            <w:top w:w="0" w:type="dxa"/>
            <w:left w:w="0" w:type="dxa"/>
            <w:bottom w:w="0" w:type="dxa"/>
            <w:right w:w="0" w:type="dxa"/>
          </w:tblCellMar>
        </w:tblPrEx>
        <w:trPr>
          <w:trHeight w:val="329"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43168">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7F46C81">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C1BA0">
            <w:pPr>
              <w:jc w:val="center"/>
              <w:rPr>
                <w:rFonts w:hint="default" w:cs="宋体"/>
                <w:b/>
                <w:color w:val="000000"/>
                <w:sz w:val="20"/>
                <w:szCs w:val="20"/>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ED2F9">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AA451">
            <w:pPr>
              <w:jc w:val="center"/>
              <w:rPr>
                <w:rFonts w:hint="default" w:cs="宋体"/>
                <w:b/>
                <w:color w:val="000000"/>
                <w:sz w:val="20"/>
                <w:szCs w:val="20"/>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A7AC6">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AED09">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99F0C">
            <w:pPr>
              <w:jc w:val="center"/>
              <w:rPr>
                <w:rFonts w:hint="default" w:cs="宋体"/>
                <w:b/>
                <w:color w:val="000000"/>
                <w:sz w:val="20"/>
                <w:szCs w:val="20"/>
              </w:rPr>
            </w:pPr>
          </w:p>
        </w:tc>
      </w:tr>
      <w:tr w14:paraId="20B40B43">
        <w:tblPrEx>
          <w:tblCellMar>
            <w:top w:w="0" w:type="dxa"/>
            <w:left w:w="0" w:type="dxa"/>
            <w:bottom w:w="0" w:type="dxa"/>
            <w:right w:w="0" w:type="dxa"/>
          </w:tblCellMar>
        </w:tblPrEx>
        <w:trPr>
          <w:trHeight w:val="348" w:hRule="atLeast"/>
        </w:trPr>
        <w:tc>
          <w:tcPr>
            <w:tcW w:w="159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48418">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875E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1,391.91</w:t>
            </w:r>
            <w:r>
              <w:rPr>
                <w:rFonts w:ascii="Times New Roman" w:hAnsi="Times New Roman"/>
                <w:b/>
                <w:color w:val="000000"/>
                <w:sz w:val="20"/>
                <w:u w:color="auto"/>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D0EB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335.27</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1E7C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1,056.64</w:t>
            </w:r>
            <w:r>
              <w:rPr>
                <w:rFonts w:ascii="Times New Roman" w:hAnsi="Times New Roman"/>
                <w:b/>
                <w:color w:val="000000"/>
                <w:sz w:val="20"/>
                <w:u w:color="auto"/>
              </w:rPr>
              <w:t xml:space="preserve"> </w:t>
            </w:r>
          </w:p>
        </w:tc>
        <w:tc>
          <w:tcPr>
            <w:tcW w:w="5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C8B7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BE60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7BE0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954FAC8">
        <w:tblPrEx>
          <w:tblCellMar>
            <w:top w:w="0" w:type="dxa"/>
            <w:left w:w="0" w:type="dxa"/>
            <w:bottom w:w="0" w:type="dxa"/>
            <w:right w:w="0" w:type="dxa"/>
          </w:tblCellMar>
        </w:tblPrEx>
        <w:trPr>
          <w:trHeight w:val="365"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BEEBD">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C9946">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42A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1,319.82</w:t>
            </w:r>
            <w:r>
              <w:rPr>
                <w:rFonts w:ascii="Times New Roman" w:hAnsi="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803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263.18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FDD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1,056.64</w:t>
            </w:r>
            <w:r>
              <w:rPr>
                <w:rFonts w:ascii="Times New Roman" w:hAnsi="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A34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67F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CAC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F84A2CB">
        <w:tblPrEx>
          <w:tblCellMar>
            <w:top w:w="0" w:type="dxa"/>
            <w:left w:w="0" w:type="dxa"/>
            <w:bottom w:w="0" w:type="dxa"/>
            <w:right w:w="0" w:type="dxa"/>
          </w:tblCellMar>
        </w:tblPrEx>
        <w:trPr>
          <w:trHeight w:val="365"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24E82">
            <w:pPr>
              <w:textAlignment w:val="center"/>
              <w:rPr>
                <w:rFonts w:hint="default" w:cs="宋体"/>
                <w:color w:val="000000"/>
                <w:sz w:val="20"/>
                <w:szCs w:val="20"/>
              </w:rPr>
            </w:pPr>
            <w:r>
              <w:rPr>
                <w:rFonts w:cs="宋体"/>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4F65F">
            <w:pPr>
              <w:textAlignment w:val="center"/>
              <w:rPr>
                <w:rFonts w:hint="default"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E2A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1,319.82</w:t>
            </w:r>
            <w:r>
              <w:rPr>
                <w:rFonts w:ascii="Times New Roman" w:hAnsi="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BD0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263.18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2D6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1,056.64</w:t>
            </w:r>
            <w:r>
              <w:rPr>
                <w:rFonts w:ascii="Times New Roman" w:hAnsi="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86E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544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33D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3A8C23">
        <w:tblPrEx>
          <w:tblCellMar>
            <w:top w:w="0" w:type="dxa"/>
            <w:left w:w="0" w:type="dxa"/>
            <w:bottom w:w="0" w:type="dxa"/>
            <w:right w:w="0" w:type="dxa"/>
          </w:tblCellMar>
        </w:tblPrEx>
        <w:trPr>
          <w:trHeight w:val="365"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93A2B">
            <w:pPr>
              <w:textAlignment w:val="center"/>
              <w:rPr>
                <w:rFonts w:hint="default" w:cs="宋体"/>
                <w:color w:val="000000"/>
                <w:sz w:val="20"/>
                <w:szCs w:val="20"/>
              </w:rPr>
            </w:pPr>
            <w:r>
              <w:rPr>
                <w:rFonts w:cs="宋体"/>
                <w:color w:val="000000"/>
                <w:sz w:val="20"/>
                <w:szCs w:val="20"/>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033F3">
            <w:pPr>
              <w:textAlignment w:val="center"/>
              <w:rPr>
                <w:rFonts w:hint="default" w:cs="宋体"/>
                <w:color w:val="000000"/>
                <w:sz w:val="20"/>
                <w:szCs w:val="20"/>
              </w:rPr>
            </w:pPr>
            <w:r>
              <w:rPr>
                <w:rFonts w:cs="宋体"/>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2E8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1,319.82</w:t>
            </w:r>
            <w:r>
              <w:rPr>
                <w:rFonts w:ascii="Times New Roman" w:hAnsi="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56B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263.18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3A7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1,056.64</w:t>
            </w:r>
            <w:r>
              <w:rPr>
                <w:rFonts w:ascii="Times New Roman" w:hAnsi="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316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F93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A56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06FAC4">
        <w:tblPrEx>
          <w:tblCellMar>
            <w:top w:w="0" w:type="dxa"/>
            <w:left w:w="0" w:type="dxa"/>
            <w:bottom w:w="0" w:type="dxa"/>
            <w:right w:w="0" w:type="dxa"/>
          </w:tblCellMar>
        </w:tblPrEx>
        <w:trPr>
          <w:trHeight w:val="365"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E0BE1">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A14F8">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E35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30.30</w:t>
            </w:r>
            <w:r>
              <w:rPr>
                <w:rFonts w:ascii="Times New Roman" w:hAnsi="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2B0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30.30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816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93B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645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DCD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D9AF53">
        <w:tblPrEx>
          <w:tblCellMar>
            <w:top w:w="0" w:type="dxa"/>
            <w:left w:w="0" w:type="dxa"/>
            <w:bottom w:w="0" w:type="dxa"/>
            <w:right w:w="0" w:type="dxa"/>
          </w:tblCellMar>
        </w:tblPrEx>
        <w:trPr>
          <w:trHeight w:val="365"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B956D">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526B4">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6F0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30.30</w:t>
            </w:r>
            <w:r>
              <w:rPr>
                <w:rFonts w:ascii="Times New Roman" w:hAnsi="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A89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30.30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E8D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69D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3C4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24B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6DE417">
        <w:tblPrEx>
          <w:tblCellMar>
            <w:top w:w="0" w:type="dxa"/>
            <w:left w:w="0" w:type="dxa"/>
            <w:bottom w:w="0" w:type="dxa"/>
            <w:right w:w="0" w:type="dxa"/>
          </w:tblCellMar>
        </w:tblPrEx>
        <w:trPr>
          <w:trHeight w:val="365"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5A859">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DBFC6">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187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20.20</w:t>
            </w:r>
            <w:r>
              <w:rPr>
                <w:rFonts w:ascii="Times New Roman" w:hAnsi="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2C8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599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325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E32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286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ECA5D0">
        <w:tblPrEx>
          <w:tblCellMar>
            <w:top w:w="0" w:type="dxa"/>
            <w:left w:w="0" w:type="dxa"/>
            <w:bottom w:w="0" w:type="dxa"/>
            <w:right w:w="0" w:type="dxa"/>
          </w:tblCellMar>
        </w:tblPrEx>
        <w:trPr>
          <w:trHeight w:val="365"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6C822">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A9264">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D15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10.10</w:t>
            </w:r>
            <w:r>
              <w:rPr>
                <w:rFonts w:ascii="Times New Roman" w:hAnsi="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350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C76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FCA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0A1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CDE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4DB5C4">
        <w:tblPrEx>
          <w:tblCellMar>
            <w:top w:w="0" w:type="dxa"/>
            <w:left w:w="0" w:type="dxa"/>
            <w:bottom w:w="0" w:type="dxa"/>
            <w:right w:w="0" w:type="dxa"/>
          </w:tblCellMar>
        </w:tblPrEx>
        <w:trPr>
          <w:trHeight w:val="365"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E39DF">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944E5">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E40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10.44</w:t>
            </w:r>
            <w:r>
              <w:rPr>
                <w:rFonts w:ascii="Times New Roman" w:hAnsi="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616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D36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EC6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91E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379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68D7A0">
        <w:tblPrEx>
          <w:tblCellMar>
            <w:top w:w="0" w:type="dxa"/>
            <w:left w:w="0" w:type="dxa"/>
            <w:bottom w:w="0" w:type="dxa"/>
            <w:right w:w="0" w:type="dxa"/>
          </w:tblCellMar>
        </w:tblPrEx>
        <w:trPr>
          <w:trHeight w:val="365"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D3AA4">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D4A36">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B44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10.44</w:t>
            </w:r>
            <w:r>
              <w:rPr>
                <w:rFonts w:ascii="Times New Roman" w:hAnsi="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5FC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792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D66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B0B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9CC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B25574">
        <w:tblPrEx>
          <w:tblCellMar>
            <w:top w:w="0" w:type="dxa"/>
            <w:left w:w="0" w:type="dxa"/>
            <w:bottom w:w="0" w:type="dxa"/>
            <w:right w:w="0" w:type="dxa"/>
          </w:tblCellMar>
        </w:tblPrEx>
        <w:trPr>
          <w:trHeight w:val="365"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87E93">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B5152">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006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9.16</w:t>
            </w:r>
            <w:r>
              <w:rPr>
                <w:rFonts w:ascii="Times New Roman" w:hAnsi="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8D8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FCF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184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2CF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2EE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E9DF6F">
        <w:tblPrEx>
          <w:tblCellMar>
            <w:top w:w="0" w:type="dxa"/>
            <w:left w:w="0" w:type="dxa"/>
            <w:bottom w:w="0" w:type="dxa"/>
            <w:right w:w="0" w:type="dxa"/>
          </w:tblCellMar>
        </w:tblPrEx>
        <w:trPr>
          <w:trHeight w:val="365"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9819E">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9205D">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6A5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w:t>
            </w:r>
            <w:r>
              <w:rPr>
                <w:rFonts w:ascii="Times New Roman" w:hAnsi="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FEF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EA4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9BD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CF1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B59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EC1A43">
        <w:tblPrEx>
          <w:tblCellMar>
            <w:top w:w="0" w:type="dxa"/>
            <w:left w:w="0" w:type="dxa"/>
            <w:bottom w:w="0" w:type="dxa"/>
            <w:right w:w="0" w:type="dxa"/>
          </w:tblCellMar>
        </w:tblPrEx>
        <w:trPr>
          <w:trHeight w:val="365"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8A941">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C4BA2">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577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31.35</w:t>
            </w:r>
            <w:r>
              <w:rPr>
                <w:rFonts w:ascii="Times New Roman" w:hAnsi="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EF6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34D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1BC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F79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7AE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325FCF">
        <w:tblPrEx>
          <w:tblCellMar>
            <w:top w:w="0" w:type="dxa"/>
            <w:left w:w="0" w:type="dxa"/>
            <w:bottom w:w="0" w:type="dxa"/>
            <w:right w:w="0" w:type="dxa"/>
          </w:tblCellMar>
        </w:tblPrEx>
        <w:trPr>
          <w:trHeight w:val="365"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C6225">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EF0FF">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EFA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31.35</w:t>
            </w:r>
            <w:r>
              <w:rPr>
                <w:rFonts w:ascii="Times New Roman" w:hAnsi="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6C1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AF5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5A2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6DD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04D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FA9BB9">
        <w:tblPrEx>
          <w:tblCellMar>
            <w:top w:w="0" w:type="dxa"/>
            <w:left w:w="0" w:type="dxa"/>
            <w:bottom w:w="0" w:type="dxa"/>
            <w:right w:w="0" w:type="dxa"/>
          </w:tblCellMar>
        </w:tblPrEx>
        <w:trPr>
          <w:trHeight w:val="365"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B3113">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35F72">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E35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18.13</w:t>
            </w:r>
            <w:r>
              <w:rPr>
                <w:rFonts w:ascii="Times New Roman" w:hAnsi="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F39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749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DA8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F4B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824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011FC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CC90D">
            <w:pPr>
              <w:textAlignment w:val="center"/>
              <w:rPr>
                <w:rFonts w:hint="default" w:cs="宋体"/>
                <w:color w:val="000000"/>
                <w:sz w:val="20"/>
                <w:szCs w:val="20"/>
              </w:rPr>
            </w:pPr>
            <w:r>
              <w:rPr>
                <w:rFonts w:cs="宋体"/>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0B458">
            <w:pPr>
              <w:textAlignment w:val="center"/>
              <w:rPr>
                <w:rFonts w:hint="default" w:cs="宋体"/>
                <w:color w:val="000000"/>
                <w:sz w:val="20"/>
                <w:szCs w:val="20"/>
              </w:rPr>
            </w:pPr>
            <w:r>
              <w:rPr>
                <w:rFonts w:cs="宋体"/>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C2E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13.22</w:t>
            </w:r>
            <w:r>
              <w:rPr>
                <w:rFonts w:ascii="Times New Roman" w:hAnsi="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840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A54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1CC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290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571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7696711">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14:paraId="35AC59E0">
      <w:pPr>
        <w:rPr>
          <w:rFonts w:hint="default" w:cs="宋体"/>
          <w:sz w:val="21"/>
          <w:szCs w:val="21"/>
        </w:rPr>
      </w:pPr>
    </w:p>
    <w:p w14:paraId="37A5A8F9">
      <w:pPr>
        <w:rPr>
          <w:rFonts w:hint="default" w:cs="宋体"/>
          <w:sz w:val="21"/>
          <w:szCs w:val="21"/>
        </w:rPr>
      </w:pP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650A7B99">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D68A344">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4FCF100F">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1078823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重庆市九龙坡区华福实验幼儿园</w:t>
            </w:r>
          </w:p>
        </w:tc>
        <w:tc>
          <w:tcPr>
            <w:tcW w:w="577" w:type="pct"/>
            <w:tcBorders>
              <w:top w:val="nil"/>
              <w:left w:val="nil"/>
              <w:bottom w:val="nil"/>
              <w:right w:val="nil"/>
            </w:tcBorders>
            <w:shd w:val="clear" w:color="auto" w:fill="auto"/>
            <w:noWrap/>
            <w:tcMar>
              <w:top w:w="15" w:type="dxa"/>
              <w:left w:w="15" w:type="dxa"/>
              <w:right w:w="15" w:type="dxa"/>
            </w:tcMar>
            <w:vAlign w:val="bottom"/>
          </w:tcPr>
          <w:p w14:paraId="0F94581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B301D4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F91615E">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86912AB">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3C268C40">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1F4F0DC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28BDEF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792E91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A56FC75">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6202C79">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145BFE7">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2C180">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52CA7">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4CC77587">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90F54">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3F802">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970031">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8FE1A">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42B1EC7F">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33E1C">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2E909">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1398F6">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8B8ED">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91B81">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A73B6">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69063">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E0F3CB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3F4FA">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6FDA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852.82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81477">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217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3FB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196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386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ECDC3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E13BB">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524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4372E">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F53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968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8F5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A68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F9E75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F4D8A">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664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C23ED">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A87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083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10F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EB4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513D3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02CF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08CF8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1EB1F">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AC1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EEE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32D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6A6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72189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36C6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8428B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AD3CE">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94A4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780.73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4E57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780.73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5CC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423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8ABDA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674C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DEF15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C78BB">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7B1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A98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4C6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65A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84A2E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FADD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E995D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AD819">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AC6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AFE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054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610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6BC9B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9223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B964C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18335">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B30E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9B98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C58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546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90423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4B55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7E890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06276">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A650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4FEC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A05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448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926AB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272B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B114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5C7AC">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7A8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F41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1B5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51E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3C2A3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5AE1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7A13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6CC8D">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1FA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CF2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143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03A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42841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D480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F865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961C0">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B56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B9E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7E5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F69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161FC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F161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D051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7E997">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52C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0A5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551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533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BCE96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147D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B002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2EF0A">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4AD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6AD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977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2FA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0702C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3905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41A0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5051B">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F8D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18F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97E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794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68F25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260F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8918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7E9CB">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D15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17A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4BE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22F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CE71B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FF44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420F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76E7B">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A14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362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A80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517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B2500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7BA1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8097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96CFC">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5B4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637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7A1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A1A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2F98C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2AA9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6D8C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66C55">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7410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31.35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970F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31.35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471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ACF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BC1B6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8DFE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AA4E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6BF59">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C9D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320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9D0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3E5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8DF1C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4493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F0D7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5AFBC">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746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1DD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8AA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E40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3FA1D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9106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3AF6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988A4">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1D8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460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74A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442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E8B13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84B3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52BE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F922A">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BAF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E9F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287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426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1E972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7C3F7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46C1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3FD2E">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10B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79D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983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3F5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309E4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4C2DA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2384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09949">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A0C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A52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7F9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3C6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F09E5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27D28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CF56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C76CB">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DAB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810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15F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C44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DABC5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C8D85">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E6E6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852.82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72ACC">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CC08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852.82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4F19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852.82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3CC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8FC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B7DD7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F82ED">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442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BE19B">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2C4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302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A6F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8C2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175ED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07AE8">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7C4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53842E">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3E72A1">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CE5B32">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1786B2">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EC3A1C">
            <w:pPr>
              <w:spacing w:line="200" w:lineRule="exact"/>
              <w:rPr>
                <w:rFonts w:hint="default" w:ascii="Times New Roman" w:hAnsi="Times New Roman"/>
                <w:color w:val="000000"/>
                <w:sz w:val="18"/>
                <w:szCs w:val="18"/>
              </w:rPr>
            </w:pPr>
          </w:p>
        </w:tc>
      </w:tr>
      <w:tr w14:paraId="1C20583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027AC">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F60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95672">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C28BD">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1DB09">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620A5">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42403">
            <w:pPr>
              <w:spacing w:line="200" w:lineRule="exact"/>
              <w:jc w:val="right"/>
              <w:rPr>
                <w:rFonts w:hint="default" w:ascii="Times New Roman" w:hAnsi="Times New Roman"/>
                <w:color w:val="000000"/>
                <w:sz w:val="18"/>
                <w:szCs w:val="18"/>
              </w:rPr>
            </w:pPr>
          </w:p>
        </w:tc>
      </w:tr>
      <w:tr w14:paraId="5814D88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F5372">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FD7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0904C">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84304">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566E9">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A8870">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66F6A">
            <w:pPr>
              <w:spacing w:line="200" w:lineRule="exact"/>
              <w:jc w:val="right"/>
              <w:rPr>
                <w:rFonts w:hint="default" w:ascii="Times New Roman" w:hAnsi="Times New Roman"/>
                <w:color w:val="000000"/>
                <w:sz w:val="18"/>
                <w:szCs w:val="18"/>
              </w:rPr>
            </w:pPr>
          </w:p>
        </w:tc>
      </w:tr>
      <w:tr w14:paraId="3880B75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FCE1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633B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852.82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80F60">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5438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852.82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B7EB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852.82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375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C7C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33C12991">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05"/>
        <w:gridCol w:w="4073"/>
        <w:gridCol w:w="3307"/>
        <w:gridCol w:w="3296"/>
        <w:gridCol w:w="3341"/>
      </w:tblGrid>
      <w:tr w14:paraId="156E95E8">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9EB6D86">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3D58CC77">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0C43655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重庆市九龙坡区华福实验幼儿园</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81BA6F1">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7798FF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54D6748A">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2904BF1D">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04B9B67B">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94FEBA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4016B5D">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AD40F">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1D92124">
            <w:pPr>
              <w:jc w:val="center"/>
              <w:textAlignment w:val="center"/>
              <w:rPr>
                <w:rFonts w:hint="default" w:cs="宋体"/>
                <w:b/>
                <w:color w:val="000000"/>
                <w:sz w:val="20"/>
                <w:szCs w:val="20"/>
              </w:rPr>
            </w:pPr>
            <w:r>
              <w:rPr>
                <w:rFonts w:cs="宋体"/>
                <w:b/>
                <w:color w:val="000000"/>
                <w:sz w:val="20"/>
                <w:szCs w:val="20"/>
              </w:rPr>
              <w:t>本年支出</w:t>
            </w:r>
          </w:p>
        </w:tc>
      </w:tr>
      <w:tr w14:paraId="543DD2FE">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B2D2E">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7181E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94280A">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49A245">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783F20">
            <w:pPr>
              <w:jc w:val="center"/>
              <w:textAlignment w:val="center"/>
              <w:rPr>
                <w:rFonts w:hint="default" w:cs="宋体"/>
                <w:b/>
                <w:color w:val="000000"/>
                <w:sz w:val="20"/>
                <w:szCs w:val="20"/>
              </w:rPr>
            </w:pPr>
            <w:r>
              <w:rPr>
                <w:rFonts w:cs="宋体"/>
                <w:b/>
                <w:color w:val="000000"/>
                <w:sz w:val="20"/>
                <w:szCs w:val="20"/>
              </w:rPr>
              <w:t>项目支出</w:t>
            </w:r>
          </w:p>
        </w:tc>
      </w:tr>
      <w:tr w14:paraId="5BB0A562">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E471F">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2EBC9B">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5181D2">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206917">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FDB0D3">
            <w:pPr>
              <w:jc w:val="center"/>
              <w:rPr>
                <w:rFonts w:hint="default" w:cs="宋体"/>
                <w:b/>
                <w:color w:val="000000"/>
                <w:sz w:val="20"/>
                <w:szCs w:val="20"/>
              </w:rPr>
            </w:pPr>
          </w:p>
        </w:tc>
      </w:tr>
      <w:tr w14:paraId="5A3AF90C">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CB642">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A56189">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4DAFAC">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77677B">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93E42C">
            <w:pPr>
              <w:jc w:val="center"/>
              <w:rPr>
                <w:rFonts w:hint="default" w:cs="宋体"/>
                <w:b/>
                <w:color w:val="000000"/>
                <w:sz w:val="20"/>
                <w:szCs w:val="20"/>
              </w:rPr>
            </w:pPr>
          </w:p>
        </w:tc>
      </w:tr>
      <w:tr w14:paraId="06AAC1F2">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68266">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A3DC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852.82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D932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335.27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1C6D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517.56</w:t>
            </w:r>
            <w:r>
              <w:rPr>
                <w:rFonts w:ascii="Times New Roman" w:hAnsi="Times New Roman"/>
                <w:b/>
                <w:color w:val="000000"/>
                <w:sz w:val="20"/>
                <w:u w:color="auto"/>
              </w:rPr>
              <w:t xml:space="preserve"> </w:t>
            </w:r>
          </w:p>
        </w:tc>
      </w:tr>
      <w:tr w14:paraId="3D79C32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1B73A">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CBFD6">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EB0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780.73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553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263.18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43C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517.56</w:t>
            </w:r>
            <w:r>
              <w:rPr>
                <w:rFonts w:ascii="Times New Roman" w:hAnsi="Times New Roman"/>
                <w:b/>
                <w:color w:val="000000"/>
                <w:sz w:val="20"/>
                <w:u w:color="auto"/>
              </w:rPr>
              <w:t xml:space="preserve"> </w:t>
            </w:r>
          </w:p>
        </w:tc>
      </w:tr>
      <w:tr w14:paraId="1A0F90B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3CD94">
            <w:pPr>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2060D">
            <w:pPr>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57E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780.73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478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263.18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E6B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517.56</w:t>
            </w:r>
            <w:r>
              <w:rPr>
                <w:rFonts w:ascii="Times New Roman" w:hAnsi="Times New Roman"/>
                <w:b/>
                <w:color w:val="000000"/>
                <w:sz w:val="20"/>
                <w:u w:color="auto"/>
              </w:rPr>
              <w:t xml:space="preserve"> </w:t>
            </w:r>
          </w:p>
        </w:tc>
      </w:tr>
      <w:tr w14:paraId="1D27126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56559">
            <w:pPr>
              <w:textAlignment w:val="center"/>
              <w:rPr>
                <w:rFonts w:hint="default" w:cs="宋体"/>
                <w:color w:val="000000"/>
                <w:sz w:val="20"/>
                <w:szCs w:val="20"/>
              </w:rPr>
            </w:pPr>
            <w:r>
              <w:rPr>
                <w:rFonts w:cs="宋体"/>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C679B">
            <w:pPr>
              <w:textAlignment w:val="center"/>
              <w:rPr>
                <w:rFonts w:hint="default" w:cs="宋体"/>
                <w:color w:val="000000"/>
                <w:sz w:val="20"/>
                <w:szCs w:val="20"/>
              </w:rPr>
            </w:pPr>
            <w:r>
              <w:rPr>
                <w:rFonts w:cs="宋体"/>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980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780.73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5AB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263.18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DE8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517.56</w:t>
            </w:r>
            <w:r>
              <w:rPr>
                <w:rFonts w:ascii="Times New Roman" w:hAnsi="Times New Roman"/>
                <w:color w:val="000000"/>
                <w:sz w:val="20"/>
                <w:u w:color="auto"/>
              </w:rPr>
              <w:t xml:space="preserve"> </w:t>
            </w:r>
          </w:p>
        </w:tc>
      </w:tr>
      <w:tr w14:paraId="70A1E4B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553B5">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F3277">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FE1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30.30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EB7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30.30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676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DA883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75AE3">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F35A2">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0D1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30.30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AF4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30.30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D44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5A00B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58E00">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77BCF">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36A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76A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0B9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EB5BC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1B42F">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C8C7A">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F23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4C0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E79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C26EE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7FDE4">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6BFC1">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273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494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127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B5333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C2C2C">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5060F">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2FD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6B4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F00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BECE8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08EF8">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25624">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D65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F61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69A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35D66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B377E">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720C8">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506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494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42D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87D93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30697">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A1E26">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4AF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31.35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3DF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31.35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D7B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84DC8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462F3">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DCDEC">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B0F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31.35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7AF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31.35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CB1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426A7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78A0F">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5C0BC">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A17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2D3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C88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C392B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9B234">
            <w:pPr>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BFA0E">
            <w:pPr>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0EF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364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AFA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5806D8A">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B3BA603">
      <w:pPr>
        <w:ind w:firstLine="630" w:firstLineChars="300"/>
        <w:rPr>
          <w:rFonts w:hint="default" w:cs="宋体"/>
          <w:sz w:val="21"/>
          <w:szCs w:val="21"/>
        </w:rPr>
      </w:pPr>
      <w:r>
        <w:rPr>
          <w:rFonts w:cs="宋体"/>
          <w:sz w:val="21"/>
          <w:szCs w:val="21"/>
        </w:rPr>
        <w:br w:type="page"/>
      </w:r>
    </w:p>
    <w:tbl>
      <w:tblPr>
        <w:tblStyle w:val="9"/>
        <w:tblW w:w="4994" w:type="pct"/>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14:paraId="279C2344">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0441EFF1">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0CE2C3E1">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12EEF85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重庆市九龙坡区华福实验幼儿园</w:t>
            </w:r>
          </w:p>
        </w:tc>
        <w:tc>
          <w:tcPr>
            <w:tcW w:w="463" w:type="pct"/>
            <w:tcBorders>
              <w:top w:val="nil"/>
              <w:left w:val="nil"/>
              <w:bottom w:val="nil"/>
              <w:right w:val="nil"/>
            </w:tcBorders>
            <w:shd w:val="clear" w:color="auto" w:fill="auto"/>
            <w:noWrap/>
            <w:tcMar>
              <w:top w:w="15" w:type="dxa"/>
              <w:left w:w="15" w:type="dxa"/>
              <w:right w:w="15" w:type="dxa"/>
            </w:tcMar>
            <w:vAlign w:val="bottom"/>
          </w:tcPr>
          <w:p w14:paraId="39EF6FC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1081279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D03476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E16713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6DCF495B">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268626B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710276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9EBDE4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B627A45">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FF0952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AE5B160">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C855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AFD940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56F91792">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BFC6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AC8AD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9699D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6108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12B3C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41213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7E67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A98D1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E7B44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349B215D">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FC67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08859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7EA71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5B5C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57A34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B9F2F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ABBB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4A2ED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4A6A1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21854D7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31D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69F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600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2DE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884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42A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787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500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6AC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15.07</w:t>
            </w:r>
            <w:r>
              <w:rPr>
                <w:rFonts w:ascii="Times New Roman" w:hAnsi="Times New Roman"/>
                <w:color w:val="000000"/>
                <w:sz w:val="18"/>
                <w:u w:color="auto"/>
              </w:rPr>
              <w:t xml:space="preserve"> </w:t>
            </w:r>
          </w:p>
        </w:tc>
      </w:tr>
      <w:tr w14:paraId="55E35A4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297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BAD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EEB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4C8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88E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301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BA8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FCD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E7F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7E428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489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6F2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6A6D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790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E6B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AD5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743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C1E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6D3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15.07</w:t>
            </w:r>
            <w:r>
              <w:rPr>
                <w:rFonts w:ascii="Times New Roman" w:hAnsi="Times New Roman"/>
                <w:color w:val="000000"/>
                <w:sz w:val="18"/>
                <w:u w:color="auto"/>
              </w:rPr>
              <w:t xml:space="preserve"> </w:t>
            </w:r>
          </w:p>
        </w:tc>
      </w:tr>
      <w:tr w14:paraId="34AC84D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4BD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DB4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AB7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CE5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BCF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9DA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79E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072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FE0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7CC5A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AE4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4A0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9FF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20A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800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1FC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FC2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5DA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FF4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83DFE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727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D4A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A69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16F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AFA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18F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7C1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2B3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91E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F552E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80E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8DC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C25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820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BAC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A9C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A86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00F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189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B1F06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27F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7A9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FCB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869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1FB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04A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A4F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B9E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2AA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86CE7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F7A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574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CC3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A5C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439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65A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6D9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B4E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51E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D54F4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8A6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E47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7F5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1B5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721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6B7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ECF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A17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220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2D1A5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911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AD5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2B7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E99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1E0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721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FD9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962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CEF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1B74B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F35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9DB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2D0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BB3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538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A71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121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C03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0DF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66846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4CF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00C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A94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D7C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710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7C8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C8F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EEE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384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8C4CB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58E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752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26E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704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C3A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0B9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2D8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0F1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313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7463B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546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B4E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FEB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7DE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070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205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60D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12D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385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B10DE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C7A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48A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D22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778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816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BE1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53D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A75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43A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EF6F7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B47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64A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7DD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A33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8F1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AFF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85B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D66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364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BED25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235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1D6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B88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A03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6E2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B70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D4E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B6C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251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8BCF2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DA8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A64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785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F8C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015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3D4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38C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109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A59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AAFC9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4F7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B7B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178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47F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A31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8CD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917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8B8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F0B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26065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53C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957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13E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EB9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660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96D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64E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8F5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EA6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F75F3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89C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52E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768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4A8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799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684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CBE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932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A83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2541D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229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2B3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32C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915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561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0A7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DDF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BC34F">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DA2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31183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BFE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1BA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EB8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972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631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224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35B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7B2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788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10FEA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79F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449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490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AFD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65F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790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3EB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C66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FA6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37C6C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D7D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09A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443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2FB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C3D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641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DA6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3A4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88A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50A0B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FDE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B42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AD8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5EB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130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689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CAE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B65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F4C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838D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AE0E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68F7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1BB36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A53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CFF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67A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E08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7C0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2BD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7325A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4879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1B2F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DD6A6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C8C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644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F6F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6B7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95E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0C9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89176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8221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FFF3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228D8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2F1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8C3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3E3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E82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E1A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212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93DE3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B57F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52C1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B704D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FDB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114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64C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5D1A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3066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BF09C">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031E03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43B8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4653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F11D3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331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141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633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3C9F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21CD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BA729">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5D88C38">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17E2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4B32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BBC60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C77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95D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04F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16D5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5F8E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E0615">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9A3BDBA">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D83B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8C4605">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205.39</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A74A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DBA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129.87</w:t>
            </w:r>
            <w:r>
              <w:rPr>
                <w:rFonts w:ascii="Times New Roman" w:hAnsi="Times New Roman"/>
                <w:color w:val="000000"/>
                <w:sz w:val="18"/>
                <w:u w:color="auto"/>
              </w:rPr>
              <w:t xml:space="preserve"> </w:t>
            </w:r>
          </w:p>
        </w:tc>
      </w:tr>
    </w:tbl>
    <w:p w14:paraId="06DF3D84">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14:paraId="1405E7F4">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E8030DA">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3CDBB506">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46C5E3B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重庆市九龙坡区华福实验幼儿园</w:t>
            </w:r>
          </w:p>
        </w:tc>
        <w:tc>
          <w:tcPr>
            <w:tcW w:w="555" w:type="pct"/>
            <w:tcBorders>
              <w:top w:val="nil"/>
              <w:left w:val="nil"/>
              <w:bottom w:val="nil"/>
              <w:right w:val="nil"/>
            </w:tcBorders>
            <w:shd w:val="clear" w:color="auto" w:fill="auto"/>
            <w:noWrap/>
            <w:tcMar>
              <w:top w:w="15" w:type="dxa"/>
              <w:left w:w="15" w:type="dxa"/>
              <w:right w:w="15" w:type="dxa"/>
            </w:tcMar>
            <w:vAlign w:val="bottom"/>
          </w:tcPr>
          <w:p w14:paraId="5F5481F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0D2A7B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D899919">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2984DE9">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C6D89D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218E54EC">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6F4C53D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DF23BF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12761BB">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CEB94A3">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5433C3E">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874D3F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ABBA977">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D07C6">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5CDDD8">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6D1F7">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95B6510">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9C520">
            <w:pPr>
              <w:jc w:val="center"/>
              <w:textAlignment w:val="center"/>
              <w:rPr>
                <w:rFonts w:hint="default" w:cs="宋体"/>
                <w:b/>
                <w:color w:val="000000"/>
                <w:sz w:val="20"/>
                <w:szCs w:val="20"/>
              </w:rPr>
            </w:pPr>
            <w:r>
              <w:rPr>
                <w:rFonts w:cs="宋体"/>
                <w:b/>
                <w:color w:val="000000"/>
                <w:sz w:val="20"/>
                <w:szCs w:val="20"/>
              </w:rPr>
              <w:t>年末结转和结余</w:t>
            </w:r>
          </w:p>
        </w:tc>
      </w:tr>
      <w:tr w14:paraId="53D0D9CC">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0AC5F">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AD74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C4BDAA">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A57D6">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3254AB">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0539D0">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53D4D7">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F00FE">
            <w:pPr>
              <w:jc w:val="center"/>
              <w:rPr>
                <w:rFonts w:hint="default" w:cs="宋体"/>
                <w:b/>
                <w:color w:val="000000"/>
                <w:sz w:val="20"/>
                <w:szCs w:val="20"/>
              </w:rPr>
            </w:pPr>
          </w:p>
        </w:tc>
      </w:tr>
      <w:tr w14:paraId="0CEFA6FA">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A016F">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90BBE">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61D99B">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5B58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287C8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2C61DC">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BF0273">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6073E">
            <w:pPr>
              <w:jc w:val="center"/>
              <w:rPr>
                <w:rFonts w:hint="default" w:cs="宋体"/>
                <w:b/>
                <w:color w:val="000000"/>
                <w:sz w:val="20"/>
                <w:szCs w:val="20"/>
              </w:rPr>
            </w:pPr>
          </w:p>
        </w:tc>
      </w:tr>
      <w:tr w14:paraId="6CB9BCBA">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07DF1">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19341">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4AF359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2DA5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27692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23B3B4">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DB7880">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CE09B">
            <w:pPr>
              <w:jc w:val="center"/>
              <w:rPr>
                <w:rFonts w:hint="default" w:cs="宋体"/>
                <w:b/>
                <w:color w:val="000000"/>
                <w:sz w:val="20"/>
                <w:szCs w:val="20"/>
              </w:rPr>
            </w:pPr>
          </w:p>
        </w:tc>
      </w:tr>
      <w:tr w14:paraId="08DB53BD">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043E9">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5700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979C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3FCD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55A6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2410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1823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5847515">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F4057">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7515A">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CF5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FF6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587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9BB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B66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7F5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6D4606C">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475B1FFE">
      <w:pPr>
        <w:rPr>
          <w:rFonts w:hint="default" w:cs="宋体"/>
          <w:sz w:val="21"/>
          <w:szCs w:val="21"/>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14:paraId="485B19C8">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71EB497">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3AA757BB">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2AC52A9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重庆市九龙坡区华福实验幼儿园</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E9E1DCE">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B48F16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094FCE5B">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305D0BE7">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E46859D">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6A68F8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D9874AA">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353F51">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FEAF90">
            <w:pPr>
              <w:jc w:val="center"/>
              <w:textAlignment w:val="bottom"/>
              <w:rPr>
                <w:rFonts w:hint="default" w:cs="宋体"/>
                <w:b/>
                <w:color w:val="000000"/>
                <w:sz w:val="20"/>
                <w:szCs w:val="20"/>
              </w:rPr>
            </w:pPr>
            <w:r>
              <w:rPr>
                <w:rFonts w:cs="宋体"/>
                <w:b/>
                <w:color w:val="000000"/>
                <w:sz w:val="20"/>
                <w:szCs w:val="20"/>
              </w:rPr>
              <w:t>本年支出</w:t>
            </w:r>
          </w:p>
        </w:tc>
      </w:tr>
      <w:tr w14:paraId="44C4CDA1">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A4F64">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595564">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3D04C">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123572">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75E03E">
            <w:pPr>
              <w:jc w:val="center"/>
              <w:textAlignment w:val="center"/>
              <w:rPr>
                <w:rFonts w:hint="default" w:cs="宋体"/>
                <w:b/>
                <w:color w:val="000000"/>
                <w:sz w:val="20"/>
                <w:szCs w:val="20"/>
              </w:rPr>
            </w:pPr>
            <w:r>
              <w:rPr>
                <w:rFonts w:cs="宋体"/>
                <w:b/>
                <w:color w:val="000000"/>
                <w:sz w:val="20"/>
                <w:szCs w:val="20"/>
              </w:rPr>
              <w:t>项目支出</w:t>
            </w:r>
          </w:p>
        </w:tc>
      </w:tr>
      <w:tr w14:paraId="54F8221D">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54FCB">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27CB73">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FD03C">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49BB8E">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919F60">
            <w:pPr>
              <w:jc w:val="center"/>
              <w:rPr>
                <w:rFonts w:hint="default" w:cs="宋体"/>
                <w:b/>
                <w:color w:val="000000"/>
                <w:sz w:val="20"/>
                <w:szCs w:val="20"/>
              </w:rPr>
            </w:pPr>
          </w:p>
        </w:tc>
      </w:tr>
      <w:tr w14:paraId="6BD3F230">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20D81">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AA4544">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3709D">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CC8A5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A26CA4">
            <w:pPr>
              <w:jc w:val="center"/>
              <w:rPr>
                <w:rFonts w:hint="default" w:cs="宋体"/>
                <w:b/>
                <w:color w:val="000000"/>
                <w:sz w:val="20"/>
                <w:szCs w:val="20"/>
              </w:rPr>
            </w:pPr>
          </w:p>
        </w:tc>
      </w:tr>
      <w:tr w14:paraId="65709C72">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2C592">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CAB8E2">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5DF33">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DD3D4F">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2D4AFF">
            <w:pPr>
              <w:jc w:val="center"/>
              <w:rPr>
                <w:rFonts w:hint="default" w:cs="宋体"/>
                <w:b/>
                <w:color w:val="000000"/>
                <w:sz w:val="20"/>
                <w:szCs w:val="20"/>
              </w:rPr>
            </w:pPr>
          </w:p>
        </w:tc>
      </w:tr>
      <w:tr w14:paraId="0D1E416B">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7AEBD">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3722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C42DA">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C0A3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7CD0790">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ABB00">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22B80">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F35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B0C67">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948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1FA9C6EB">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779ABB99">
      <w:pPr>
        <w:rPr>
          <w:rFonts w:hint="default" w:cs="宋体"/>
          <w:sz w:val="21"/>
          <w:szCs w:val="21"/>
        </w:rPr>
      </w:pPr>
      <w:r>
        <w:rPr>
          <w:rFonts w:hint="default" w:cs="宋体"/>
          <w:sz w:val="21"/>
          <w:szCs w:val="21"/>
        </w:rPr>
        <w:br w:type="page"/>
      </w:r>
    </w:p>
    <w:tbl>
      <w:tblPr>
        <w:tblStyle w:val="9"/>
        <w:tblW w:w="4986" w:type="pct"/>
        <w:tblInd w:w="0" w:type="dxa"/>
        <w:tblLayout w:type="fixed"/>
        <w:tblCellMar>
          <w:top w:w="0" w:type="dxa"/>
          <w:left w:w="170" w:type="dxa"/>
          <w:bottom w:w="0" w:type="dxa"/>
          <w:right w:w="170" w:type="dxa"/>
        </w:tblCellMar>
      </w:tblPr>
      <w:tblGrid>
        <w:gridCol w:w="3436"/>
        <w:gridCol w:w="2610"/>
        <w:gridCol w:w="2568"/>
        <w:gridCol w:w="3972"/>
        <w:gridCol w:w="2694"/>
      </w:tblGrid>
      <w:tr w14:paraId="4E2B5F22">
        <w:tblPrEx>
          <w:tblCellMar>
            <w:top w:w="0" w:type="dxa"/>
            <w:left w:w="170" w:type="dxa"/>
            <w:bottom w:w="0" w:type="dxa"/>
            <w:right w:w="170" w:type="dxa"/>
          </w:tblCellMar>
        </w:tblPrEx>
        <w:trPr>
          <w:trHeight w:val="366" w:hRule="atLeast"/>
        </w:trPr>
        <w:tc>
          <w:tcPr>
            <w:tcW w:w="5000" w:type="pct"/>
            <w:gridSpan w:val="5"/>
            <w:shd w:val="clear" w:color="auto" w:fill="auto"/>
            <w:noWrap/>
            <w:tcMar>
              <w:top w:w="15" w:type="dxa"/>
              <w:left w:w="15" w:type="dxa"/>
              <w:right w:w="15" w:type="dxa"/>
            </w:tcMar>
            <w:vAlign w:val="bottom"/>
          </w:tcPr>
          <w:p w14:paraId="13496CAF">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3244F8E8">
        <w:tblPrEx>
          <w:tblCellMar>
            <w:top w:w="0" w:type="dxa"/>
            <w:left w:w="170" w:type="dxa"/>
            <w:bottom w:w="0" w:type="dxa"/>
            <w:right w:w="170" w:type="dxa"/>
          </w:tblCellMar>
        </w:tblPrEx>
        <w:trPr>
          <w:trHeight w:val="263" w:hRule="atLeast"/>
        </w:trPr>
        <w:tc>
          <w:tcPr>
            <w:tcW w:w="1124" w:type="pct"/>
            <w:shd w:val="clear" w:color="auto" w:fill="auto"/>
            <w:noWrap/>
            <w:tcMar>
              <w:top w:w="15" w:type="dxa"/>
              <w:left w:w="15" w:type="dxa"/>
              <w:right w:w="15" w:type="dxa"/>
            </w:tcMar>
            <w:vAlign w:val="bottom"/>
          </w:tcPr>
          <w:p w14:paraId="5D37CFFC">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556F6154">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7CA1ABD5">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0246C0B5">
            <w:pPr>
              <w:spacing w:line="280" w:lineRule="exact"/>
              <w:rPr>
                <w:rFonts w:hint="default" w:cs="宋体"/>
                <w:color w:val="000000"/>
                <w:kern w:val="2"/>
                <w:sz w:val="20"/>
                <w:szCs w:val="20"/>
              </w:rPr>
            </w:pPr>
          </w:p>
        </w:tc>
        <w:tc>
          <w:tcPr>
            <w:tcW w:w="881" w:type="pct"/>
            <w:shd w:val="clear" w:color="auto" w:fill="auto"/>
            <w:noWrap/>
            <w:tcMar>
              <w:top w:w="15" w:type="dxa"/>
              <w:left w:w="15" w:type="dxa"/>
              <w:right w:w="15" w:type="dxa"/>
            </w:tcMar>
            <w:vAlign w:val="bottom"/>
          </w:tcPr>
          <w:p w14:paraId="0A67D695">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0E92892D">
        <w:tblPrEx>
          <w:tblCellMar>
            <w:top w:w="0" w:type="dxa"/>
            <w:left w:w="170" w:type="dxa"/>
            <w:bottom w:w="0" w:type="dxa"/>
            <w:right w:w="170" w:type="dxa"/>
          </w:tblCellMar>
        </w:tblPrEx>
        <w:trPr>
          <w:trHeight w:val="263" w:hRule="atLeast"/>
        </w:trPr>
        <w:tc>
          <w:tcPr>
            <w:tcW w:w="1978"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8AE4B5D">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重庆市九龙坡区华福实验幼儿园</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CB474F0">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02C79B44">
            <w:pPr>
              <w:spacing w:line="280" w:lineRule="exact"/>
              <w:rPr>
                <w:rFonts w:hint="default" w:cs="宋体"/>
                <w:color w:val="000000"/>
                <w:kern w:val="2"/>
                <w:sz w:val="20"/>
                <w:szCs w:val="20"/>
              </w:rPr>
            </w:pPr>
          </w:p>
        </w:tc>
        <w:tc>
          <w:tcPr>
            <w:tcW w:w="881" w:type="pct"/>
            <w:tcBorders>
              <w:top w:val="nil"/>
              <w:left w:val="nil"/>
              <w:bottom w:val="single" w:color="auto" w:sz="4" w:space="0"/>
              <w:right w:val="nil"/>
            </w:tcBorders>
            <w:shd w:val="clear" w:color="auto" w:fill="auto"/>
            <w:noWrap/>
            <w:tcMar>
              <w:top w:w="15" w:type="dxa"/>
              <w:left w:w="15" w:type="dxa"/>
              <w:right w:w="15" w:type="dxa"/>
            </w:tcMar>
            <w:vAlign w:val="bottom"/>
          </w:tcPr>
          <w:p w14:paraId="2B5CADEF">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3B091674">
        <w:tblPrEx>
          <w:tblCellMar>
            <w:top w:w="0" w:type="dxa"/>
            <w:left w:w="170" w:type="dxa"/>
            <w:bottom w:w="0" w:type="dxa"/>
            <w:right w:w="170" w:type="dxa"/>
          </w:tblCellMar>
        </w:tblPrEx>
        <w:trPr>
          <w:trHeight w:val="280"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32B9A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5759D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278FE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289BE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1CFCF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5D5267CD">
        <w:tblPrEx>
          <w:tblCellMar>
            <w:top w:w="0" w:type="dxa"/>
            <w:left w:w="170" w:type="dxa"/>
            <w:bottom w:w="0" w:type="dxa"/>
            <w:right w:w="170" w:type="dxa"/>
          </w:tblCellMar>
        </w:tblPrEx>
        <w:trPr>
          <w:trHeight w:val="280"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F6C0B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C855B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9E194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3B583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1E3C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537A3F">
        <w:tblPrEx>
          <w:tblCellMar>
            <w:top w:w="0" w:type="dxa"/>
            <w:left w:w="170" w:type="dxa"/>
            <w:bottom w:w="0" w:type="dxa"/>
            <w:right w:w="170" w:type="dxa"/>
          </w:tblCellMar>
        </w:tblPrEx>
        <w:trPr>
          <w:trHeight w:val="284"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E7E47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FD01E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2559D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66865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79C9B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B41953">
        <w:tblPrEx>
          <w:tblCellMar>
            <w:top w:w="0" w:type="dxa"/>
            <w:left w:w="170" w:type="dxa"/>
            <w:bottom w:w="0" w:type="dxa"/>
            <w:right w:w="170" w:type="dxa"/>
          </w:tblCellMar>
        </w:tblPrEx>
        <w:trPr>
          <w:trHeight w:val="284"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990D4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78306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6CC14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7A90A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7D4B0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758D20">
        <w:tblPrEx>
          <w:tblCellMar>
            <w:top w:w="0" w:type="dxa"/>
            <w:left w:w="170" w:type="dxa"/>
            <w:bottom w:w="0" w:type="dxa"/>
            <w:right w:w="170" w:type="dxa"/>
          </w:tblCellMar>
        </w:tblPrEx>
        <w:trPr>
          <w:trHeight w:val="284"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B4112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8E304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A156B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A9BBB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E64C81">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29C1C00">
        <w:tblPrEx>
          <w:tblCellMar>
            <w:top w:w="0" w:type="dxa"/>
            <w:left w:w="170" w:type="dxa"/>
            <w:bottom w:w="0" w:type="dxa"/>
            <w:right w:w="170" w:type="dxa"/>
          </w:tblCellMar>
        </w:tblPrEx>
        <w:trPr>
          <w:trHeight w:val="284"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95D29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9FE3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535D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39678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078F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19D954">
        <w:tblPrEx>
          <w:tblCellMar>
            <w:top w:w="0" w:type="dxa"/>
            <w:left w:w="170" w:type="dxa"/>
            <w:bottom w:w="0" w:type="dxa"/>
            <w:right w:w="170" w:type="dxa"/>
          </w:tblCellMar>
        </w:tblPrEx>
        <w:trPr>
          <w:trHeight w:val="284"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9791B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763F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01D6A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3B5E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AAB05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55B680">
        <w:tblPrEx>
          <w:tblCellMar>
            <w:top w:w="0" w:type="dxa"/>
            <w:left w:w="170" w:type="dxa"/>
            <w:bottom w:w="0" w:type="dxa"/>
            <w:right w:w="170" w:type="dxa"/>
          </w:tblCellMar>
        </w:tblPrEx>
        <w:trPr>
          <w:trHeight w:val="284"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D3AB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815A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C5530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32FCB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D045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FC26FC">
        <w:tblPrEx>
          <w:tblCellMar>
            <w:top w:w="0" w:type="dxa"/>
            <w:left w:w="170" w:type="dxa"/>
            <w:bottom w:w="0" w:type="dxa"/>
            <w:right w:w="170" w:type="dxa"/>
          </w:tblCellMar>
        </w:tblPrEx>
        <w:trPr>
          <w:trHeight w:val="284"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F07D5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68BA4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97717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EC4A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DBDE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7E2671">
        <w:tblPrEx>
          <w:tblCellMar>
            <w:top w:w="0" w:type="dxa"/>
            <w:left w:w="170" w:type="dxa"/>
            <w:bottom w:w="0" w:type="dxa"/>
            <w:right w:w="170" w:type="dxa"/>
          </w:tblCellMar>
        </w:tblPrEx>
        <w:trPr>
          <w:trHeight w:val="284"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AB886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C1F55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BFC10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F8DB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2BC0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41D471">
        <w:tblPrEx>
          <w:tblCellMar>
            <w:top w:w="0" w:type="dxa"/>
            <w:left w:w="170" w:type="dxa"/>
            <w:bottom w:w="0" w:type="dxa"/>
            <w:right w:w="170" w:type="dxa"/>
          </w:tblCellMar>
        </w:tblPrEx>
        <w:trPr>
          <w:trHeight w:val="284"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91C89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BEC71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04BC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496F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9FDD8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E4A519">
        <w:tblPrEx>
          <w:tblCellMar>
            <w:top w:w="0" w:type="dxa"/>
            <w:left w:w="170" w:type="dxa"/>
            <w:bottom w:w="0" w:type="dxa"/>
            <w:right w:w="170" w:type="dxa"/>
          </w:tblCellMar>
        </w:tblPrEx>
        <w:trPr>
          <w:trHeight w:val="284"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34924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3DFEC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0A6FBA">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3C67B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C0416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515E68">
        <w:tblPrEx>
          <w:tblCellMar>
            <w:top w:w="0" w:type="dxa"/>
            <w:left w:w="170" w:type="dxa"/>
            <w:bottom w:w="0" w:type="dxa"/>
            <w:right w:w="170" w:type="dxa"/>
          </w:tblCellMar>
        </w:tblPrEx>
        <w:trPr>
          <w:trHeight w:val="284"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0018B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1AB04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AD4B5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8E2CA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36475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51745D">
        <w:tblPrEx>
          <w:tblCellMar>
            <w:top w:w="0" w:type="dxa"/>
            <w:left w:w="170" w:type="dxa"/>
            <w:bottom w:w="0" w:type="dxa"/>
            <w:right w:w="170" w:type="dxa"/>
          </w:tblCellMar>
        </w:tblPrEx>
        <w:trPr>
          <w:trHeight w:val="284"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FBA45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2343B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FCCB5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226BD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64C62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342E16">
        <w:tblPrEx>
          <w:tblCellMar>
            <w:top w:w="0" w:type="dxa"/>
            <w:left w:w="170" w:type="dxa"/>
            <w:bottom w:w="0" w:type="dxa"/>
            <w:right w:w="170" w:type="dxa"/>
          </w:tblCellMar>
        </w:tblPrEx>
        <w:trPr>
          <w:trHeight w:val="284"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7727F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C7966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50480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21320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DA90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A726F2">
        <w:tblPrEx>
          <w:tblCellMar>
            <w:top w:w="0" w:type="dxa"/>
            <w:left w:w="170" w:type="dxa"/>
            <w:bottom w:w="0" w:type="dxa"/>
            <w:right w:w="170" w:type="dxa"/>
          </w:tblCellMar>
        </w:tblPrEx>
        <w:trPr>
          <w:trHeight w:val="284"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AABE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0BC95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8C850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8E691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ACAE60">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7730B18">
        <w:tblPrEx>
          <w:tblCellMar>
            <w:top w:w="0" w:type="dxa"/>
            <w:left w:w="170" w:type="dxa"/>
            <w:bottom w:w="0" w:type="dxa"/>
            <w:right w:w="170" w:type="dxa"/>
          </w:tblCellMar>
        </w:tblPrEx>
        <w:trPr>
          <w:trHeight w:val="284"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D7B39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259B2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B42F9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830D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BDF32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0.52</w:t>
            </w:r>
            <w:r>
              <w:rPr>
                <w:rFonts w:ascii="Times New Roman" w:hAnsi="Times New Roman"/>
                <w:color w:val="000000"/>
                <w:sz w:val="18"/>
                <w:u w:color="auto"/>
              </w:rPr>
              <w:t xml:space="preserve"> </w:t>
            </w:r>
          </w:p>
        </w:tc>
      </w:tr>
      <w:tr w14:paraId="78F2FADD">
        <w:tblPrEx>
          <w:tblCellMar>
            <w:top w:w="0" w:type="dxa"/>
            <w:left w:w="170" w:type="dxa"/>
            <w:bottom w:w="0" w:type="dxa"/>
            <w:right w:w="170" w:type="dxa"/>
          </w:tblCellMar>
        </w:tblPrEx>
        <w:trPr>
          <w:trHeight w:val="284"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3C076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A4F36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BEAB6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FE187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9C3D5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0.52</w:t>
            </w:r>
            <w:r>
              <w:rPr>
                <w:rFonts w:ascii="Times New Roman" w:hAnsi="Times New Roman"/>
                <w:color w:val="000000"/>
                <w:sz w:val="18"/>
                <w:u w:color="auto"/>
              </w:rPr>
              <w:t xml:space="preserve"> </w:t>
            </w:r>
          </w:p>
        </w:tc>
      </w:tr>
      <w:tr w14:paraId="759A1F68">
        <w:tblPrEx>
          <w:tblCellMar>
            <w:top w:w="0" w:type="dxa"/>
            <w:left w:w="170" w:type="dxa"/>
            <w:bottom w:w="0" w:type="dxa"/>
            <w:right w:w="170" w:type="dxa"/>
          </w:tblCellMar>
        </w:tblPrEx>
        <w:trPr>
          <w:trHeight w:val="284"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0D5CE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2E6A0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4CB84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CC4E8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1F439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730172">
        <w:tblPrEx>
          <w:tblCellMar>
            <w:top w:w="0" w:type="dxa"/>
            <w:left w:w="170" w:type="dxa"/>
            <w:bottom w:w="0" w:type="dxa"/>
            <w:right w:w="170" w:type="dxa"/>
          </w:tblCellMar>
        </w:tblPrEx>
        <w:trPr>
          <w:trHeight w:val="284"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BCE4E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C5E72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039C2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8C40A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48FFB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2176BA">
        <w:tblPrEx>
          <w:tblCellMar>
            <w:top w:w="0" w:type="dxa"/>
            <w:left w:w="170" w:type="dxa"/>
            <w:bottom w:w="0" w:type="dxa"/>
            <w:right w:w="170" w:type="dxa"/>
          </w:tblCellMar>
        </w:tblPrEx>
        <w:trPr>
          <w:trHeight w:val="284"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7721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2EDC1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FD812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48898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0EBDC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0.52</w:t>
            </w:r>
            <w:r>
              <w:rPr>
                <w:rFonts w:ascii="Times New Roman" w:hAnsi="Times New Roman"/>
                <w:color w:val="000000"/>
                <w:sz w:val="18"/>
                <w:u w:color="auto"/>
              </w:rPr>
              <w:t xml:space="preserve"> </w:t>
            </w:r>
          </w:p>
        </w:tc>
      </w:tr>
      <w:tr w14:paraId="51603A13">
        <w:tblPrEx>
          <w:tblCellMar>
            <w:top w:w="0" w:type="dxa"/>
            <w:left w:w="170" w:type="dxa"/>
            <w:bottom w:w="0" w:type="dxa"/>
            <w:right w:w="170" w:type="dxa"/>
          </w:tblCellMar>
        </w:tblPrEx>
        <w:trPr>
          <w:trHeight w:val="284"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AEA14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85BB4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A273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5CD55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CBF7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0.52</w:t>
            </w:r>
            <w:r>
              <w:rPr>
                <w:rFonts w:ascii="Times New Roman" w:hAnsi="Times New Roman"/>
                <w:color w:val="000000"/>
                <w:sz w:val="18"/>
                <w:u w:color="auto"/>
              </w:rPr>
              <w:t xml:space="preserve"> </w:t>
            </w:r>
          </w:p>
        </w:tc>
      </w:tr>
      <w:tr w14:paraId="3364230D">
        <w:tblPrEx>
          <w:tblCellMar>
            <w:top w:w="0" w:type="dxa"/>
            <w:left w:w="170" w:type="dxa"/>
            <w:bottom w:w="0" w:type="dxa"/>
            <w:right w:w="170" w:type="dxa"/>
          </w:tblCellMar>
        </w:tblPrEx>
        <w:trPr>
          <w:trHeight w:val="280"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0A2E6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AE702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C0B3A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4FC9CA">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7F6537">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779EDBDF">
        <w:tblPrEx>
          <w:tblCellMar>
            <w:top w:w="0" w:type="dxa"/>
            <w:left w:w="170" w:type="dxa"/>
            <w:bottom w:w="0" w:type="dxa"/>
            <w:right w:w="170" w:type="dxa"/>
          </w:tblCellMar>
        </w:tblPrEx>
        <w:trPr>
          <w:trHeight w:val="357"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A5E2B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0E667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4F43F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12.01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ABBBD2">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D2AB2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24281660">
        <w:tblPrEx>
          <w:tblCellMar>
            <w:top w:w="0" w:type="dxa"/>
            <w:left w:w="170" w:type="dxa"/>
            <w:bottom w:w="0" w:type="dxa"/>
            <w:right w:w="170" w:type="dxa"/>
          </w:tblCellMar>
        </w:tblPrEx>
        <w:trPr>
          <w:trHeight w:val="38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7D0EB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AB21E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7277B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5.58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5A6A4A">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D3E3C0">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42E421D8">
      <w:pPr>
        <w:rPr>
          <w:rFonts w:hint="default" w:ascii="方正仿宋_GBK" w:hAnsi="方正仿宋_GBK" w:eastAsia="方正仿宋_GBK" w:cs="方正仿宋_GBK"/>
          <w:kern w:val="0"/>
          <w:sz w:val="32"/>
          <w:szCs w:val="32"/>
          <w:shd w:val="clear" w:fill="FFFFFF"/>
          <w:lang w:val="en-US" w:eastAsia="zh-CN" w:bidi="ar-SA"/>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69F6FD9-F073-4D60-BD55-B3B461ED16F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2" w:fontKey="{E826AE91-A838-4B06-8683-80FA78D2FE24}"/>
  </w:font>
  <w:font w:name="方正黑体_GBK">
    <w:panose1 w:val="03000509000000000000"/>
    <w:charset w:val="86"/>
    <w:family w:val="script"/>
    <w:pitch w:val="default"/>
    <w:sig w:usb0="00000001" w:usb1="080E0000" w:usb2="00000000" w:usb3="00000000" w:csb0="00040000" w:csb1="00000000"/>
    <w:embedRegular r:id="rId3" w:fontKey="{C14246AC-7EF5-4750-9684-02D135473DA8}"/>
  </w:font>
  <w:font w:name="方正楷体_GBK">
    <w:panose1 w:val="03000509000000000000"/>
    <w:charset w:val="86"/>
    <w:family w:val="script"/>
    <w:pitch w:val="default"/>
    <w:sig w:usb0="00000001" w:usb1="080E0000" w:usb2="00000000" w:usb3="00000000" w:csb0="00040000" w:csb1="00000000"/>
    <w:embedRegular r:id="rId4" w:fontKey="{079D577B-EF23-4829-B078-B70A11EBE68C}"/>
  </w:font>
  <w:font w:name="方正仿宋_GBK">
    <w:panose1 w:val="03000509000000000000"/>
    <w:charset w:val="86"/>
    <w:family w:val="script"/>
    <w:pitch w:val="default"/>
    <w:sig w:usb0="00000001" w:usb1="080E0000" w:usb2="00000000" w:usb3="00000000" w:csb0="00040000" w:csb1="00000000"/>
    <w:embedRegular r:id="rId5" w:fontKey="{231059E8-6A2D-4380-9834-79DC1CC68238}"/>
  </w:font>
  <w:font w:name="楷体">
    <w:panose1 w:val="02010609060101010101"/>
    <w:charset w:val="86"/>
    <w:family w:val="auto"/>
    <w:pitch w:val="default"/>
    <w:sig w:usb0="800002BF" w:usb1="38CF7CFA" w:usb2="00000016" w:usb3="00000000" w:csb0="00040001" w:csb1="00000000"/>
    <w:embedRegular r:id="rId6" w:fontKey="{666E9A2E-83DF-46C9-8F1A-B3F48A13757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8FC51">
    <w:pPr>
      <w:pStyle w:val="4"/>
      <w:jc w:val="right"/>
      <w:rPr>
        <w:rFonts w:hint="default"/>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9276"/>
                          </w:sdtPr>
                          <w:sdtEndPr>
                            <w:rPr>
                              <w:sz w:val="28"/>
                              <w:szCs w:val="28"/>
                            </w:rPr>
                          </w:sdtEndPr>
                          <w:sdtContent>
                            <w:p w14:paraId="228FCE6C">
                              <w:pPr>
                                <w:pStyle w:val="4"/>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w:t>
                              </w:r>
                              <w:r>
                                <w:rPr>
                                  <w:rFonts w:hint="default"/>
                                  <w:sz w:val="28"/>
                                  <w:szCs w:val="28"/>
                                </w:rPr>
                                <w:t xml:space="preserve"> 7 -</w:t>
                              </w:r>
                              <w:r>
                                <w:rPr>
                                  <w:sz w:val="28"/>
                                  <w:szCs w:val="28"/>
                                </w:rPr>
                                <w:fldChar w:fldCharType="end"/>
                              </w:r>
                            </w:p>
                          </w:sdtContent>
                        </w:sdt>
                        <w:p w14:paraId="0ACAFB64">
                          <w:pPr>
                            <w:rPr>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7459276"/>
                    </w:sdtPr>
                    <w:sdtEndPr>
                      <w:rPr>
                        <w:sz w:val="28"/>
                        <w:szCs w:val="28"/>
                      </w:rPr>
                    </w:sdtEndPr>
                    <w:sdtContent>
                      <w:p w14:paraId="228FCE6C">
                        <w:pPr>
                          <w:pStyle w:val="4"/>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w:t>
                        </w:r>
                        <w:r>
                          <w:rPr>
                            <w:rFonts w:hint="default"/>
                            <w:sz w:val="28"/>
                            <w:szCs w:val="28"/>
                          </w:rPr>
                          <w:t xml:space="preserve"> 7 -</w:t>
                        </w:r>
                        <w:r>
                          <w:rPr>
                            <w:sz w:val="28"/>
                            <w:szCs w:val="28"/>
                          </w:rPr>
                          <w:fldChar w:fldCharType="end"/>
                        </w:r>
                      </w:p>
                    </w:sdtContent>
                  </w:sdt>
                  <w:p w14:paraId="0ACAFB64">
                    <w:pPr>
                      <w:rPr>
                        <w:sz w:val="28"/>
                        <w:szCs w:val="28"/>
                      </w:rPr>
                    </w:pPr>
                  </w:p>
                </w:txbxContent>
              </v:textbox>
            </v:shape>
          </w:pict>
        </mc:Fallback>
      </mc:AlternateContent>
    </w:r>
  </w:p>
  <w:p w14:paraId="0F905BA8">
    <w:pPr>
      <w:pStyle w:val="4"/>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2DA4E">
    <w:pPr>
      <w:pStyle w:val="4"/>
      <w:rPr>
        <w:rFonts w:hint="default"/>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6549"/>
                          </w:sdtPr>
                          <w:sdtEndPr>
                            <w:rPr>
                              <w:sz w:val="28"/>
                              <w:szCs w:val="28"/>
                            </w:rPr>
                          </w:sdtEndPr>
                          <w:sdtContent>
                            <w:p w14:paraId="4EBCE610">
                              <w:pPr>
                                <w:pStyle w:val="4"/>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w:t>
                              </w:r>
                              <w:r>
                                <w:rPr>
                                  <w:rFonts w:hint="default"/>
                                  <w:sz w:val="28"/>
                                  <w:szCs w:val="28"/>
                                </w:rPr>
                                <w:t xml:space="preserve"> 8 -</w:t>
                              </w:r>
                              <w:r>
                                <w:rPr>
                                  <w:sz w:val="28"/>
                                  <w:szCs w:val="28"/>
                                </w:rPr>
                                <w:fldChar w:fldCharType="end"/>
                              </w:r>
                            </w:p>
                          </w:sdtContent>
                        </w:sdt>
                        <w:p w14:paraId="66397135">
                          <w:pPr>
                            <w:rPr>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47466549"/>
                    </w:sdtPr>
                    <w:sdtEndPr>
                      <w:rPr>
                        <w:sz w:val="28"/>
                        <w:szCs w:val="28"/>
                      </w:rPr>
                    </w:sdtEndPr>
                    <w:sdtContent>
                      <w:p w14:paraId="4EBCE610">
                        <w:pPr>
                          <w:pStyle w:val="4"/>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w:t>
                        </w:r>
                        <w:r>
                          <w:rPr>
                            <w:rFonts w:hint="default"/>
                            <w:sz w:val="28"/>
                            <w:szCs w:val="28"/>
                          </w:rPr>
                          <w:t xml:space="preserve"> 8 -</w:t>
                        </w:r>
                        <w:r>
                          <w:rPr>
                            <w:sz w:val="28"/>
                            <w:szCs w:val="28"/>
                          </w:rPr>
                          <w:fldChar w:fldCharType="end"/>
                        </w:r>
                      </w:p>
                    </w:sdtContent>
                  </w:sdt>
                  <w:p w14:paraId="66397135">
                    <w:pPr>
                      <w:rPr>
                        <w:sz w:val="28"/>
                        <w:szCs w:val="28"/>
                      </w:rPr>
                    </w:pPr>
                  </w:p>
                </w:txbxContent>
              </v:textbox>
            </v:shape>
          </w:pict>
        </mc:Fallback>
      </mc:AlternateContent>
    </w:r>
  </w:p>
  <w:p w14:paraId="374057A9">
    <w:pPr>
      <w:pStyle w:val="4"/>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9D630">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04397E">
                          <w:pPr>
                            <w:pStyle w:val="4"/>
                            <w:rPr>
                              <w:rFonts w:hint="default"/>
                            </w:rPr>
                          </w:pPr>
                          <w: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804397E">
                    <w:pPr>
                      <w:pStyle w:val="4"/>
                      <w:rPr>
                        <w:rFonts w:hint="default"/>
                      </w:rPr>
                    </w:pPr>
                    <w: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45C3D39">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45C3D39">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41D60">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evenAndOddHeaders w:val="1"/>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iZDQ3MzRjZmJkZDE4NTBjYzAyNDhjM2VkMzJhOTIifQ=="/>
  </w:docVars>
  <w:rsids>
    <w:rsidRoot w:val="00B03CCD"/>
    <w:rsid w:val="000D7BCC"/>
    <w:rsid w:val="00550ABE"/>
    <w:rsid w:val="007B419D"/>
    <w:rsid w:val="009B67B8"/>
    <w:rsid w:val="00B03CCD"/>
    <w:rsid w:val="01474EBF"/>
    <w:rsid w:val="019020B1"/>
    <w:rsid w:val="01F3521E"/>
    <w:rsid w:val="02056D00"/>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0B275C"/>
    <w:rsid w:val="092211F1"/>
    <w:rsid w:val="098305D0"/>
    <w:rsid w:val="09B72B6E"/>
    <w:rsid w:val="0A0C7F04"/>
    <w:rsid w:val="0A227275"/>
    <w:rsid w:val="0A5C4B69"/>
    <w:rsid w:val="0B9335CE"/>
    <w:rsid w:val="0BA10C97"/>
    <w:rsid w:val="0C554661"/>
    <w:rsid w:val="0C7927C4"/>
    <w:rsid w:val="0C9B098C"/>
    <w:rsid w:val="0CE80A8F"/>
    <w:rsid w:val="0CF764A0"/>
    <w:rsid w:val="0D472B48"/>
    <w:rsid w:val="0D673E11"/>
    <w:rsid w:val="0DB50EFE"/>
    <w:rsid w:val="0DD25DDB"/>
    <w:rsid w:val="0DDA54E4"/>
    <w:rsid w:val="0E3A5F83"/>
    <w:rsid w:val="0E597763"/>
    <w:rsid w:val="0E93388B"/>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74C3CE0"/>
    <w:rsid w:val="17F735B3"/>
    <w:rsid w:val="189B0D0B"/>
    <w:rsid w:val="18E03A42"/>
    <w:rsid w:val="19313430"/>
    <w:rsid w:val="194A1770"/>
    <w:rsid w:val="19B906A4"/>
    <w:rsid w:val="19BC4734"/>
    <w:rsid w:val="1A09162B"/>
    <w:rsid w:val="1A1F744B"/>
    <w:rsid w:val="1AB10093"/>
    <w:rsid w:val="1B501DE7"/>
    <w:rsid w:val="1B6F15B6"/>
    <w:rsid w:val="1B7966EB"/>
    <w:rsid w:val="1BAA2EDC"/>
    <w:rsid w:val="1BC027C5"/>
    <w:rsid w:val="1BD35591"/>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2B12860"/>
    <w:rsid w:val="24AF1021"/>
    <w:rsid w:val="24B92327"/>
    <w:rsid w:val="24D3717D"/>
    <w:rsid w:val="2533755C"/>
    <w:rsid w:val="26396DF4"/>
    <w:rsid w:val="266B763B"/>
    <w:rsid w:val="26E3546D"/>
    <w:rsid w:val="27167136"/>
    <w:rsid w:val="27AF752F"/>
    <w:rsid w:val="27B23302"/>
    <w:rsid w:val="27D424D7"/>
    <w:rsid w:val="285722C3"/>
    <w:rsid w:val="28DC1FF8"/>
    <w:rsid w:val="29310A5F"/>
    <w:rsid w:val="29C37A35"/>
    <w:rsid w:val="2A076083"/>
    <w:rsid w:val="2A306CA5"/>
    <w:rsid w:val="2A73162E"/>
    <w:rsid w:val="2A9C3126"/>
    <w:rsid w:val="2AFA2E94"/>
    <w:rsid w:val="2B167953"/>
    <w:rsid w:val="2B200583"/>
    <w:rsid w:val="2B4104F9"/>
    <w:rsid w:val="2B8209DE"/>
    <w:rsid w:val="2C6762A3"/>
    <w:rsid w:val="2D5F4C37"/>
    <w:rsid w:val="2D8D7A26"/>
    <w:rsid w:val="2FE029D7"/>
    <w:rsid w:val="2FF06E00"/>
    <w:rsid w:val="3022423A"/>
    <w:rsid w:val="30DD5B7C"/>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14F45"/>
    <w:rsid w:val="36C9128A"/>
    <w:rsid w:val="37841E99"/>
    <w:rsid w:val="379C594F"/>
    <w:rsid w:val="37BF1123"/>
    <w:rsid w:val="37C85E36"/>
    <w:rsid w:val="38BC1135"/>
    <w:rsid w:val="38BE4696"/>
    <w:rsid w:val="39890D62"/>
    <w:rsid w:val="39B82A39"/>
    <w:rsid w:val="39F33306"/>
    <w:rsid w:val="3ADC3D9A"/>
    <w:rsid w:val="3B1705E5"/>
    <w:rsid w:val="3B18334B"/>
    <w:rsid w:val="3B36794F"/>
    <w:rsid w:val="3B544954"/>
    <w:rsid w:val="3B605830"/>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0441CF"/>
    <w:rsid w:val="43136432"/>
    <w:rsid w:val="443A3B12"/>
    <w:rsid w:val="44487B36"/>
    <w:rsid w:val="44EF6BE8"/>
    <w:rsid w:val="453E7DBD"/>
    <w:rsid w:val="45A30364"/>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AF7EC1"/>
    <w:rsid w:val="4DD06F63"/>
    <w:rsid w:val="4E043596"/>
    <w:rsid w:val="4E7C3473"/>
    <w:rsid w:val="4E9B0C57"/>
    <w:rsid w:val="4EA8523F"/>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534E0"/>
    <w:rsid w:val="54977029"/>
    <w:rsid w:val="554E5773"/>
    <w:rsid w:val="555A3CBC"/>
    <w:rsid w:val="55EF4EA6"/>
    <w:rsid w:val="56530F5D"/>
    <w:rsid w:val="56EE372E"/>
    <w:rsid w:val="570D735E"/>
    <w:rsid w:val="5842572D"/>
    <w:rsid w:val="59097683"/>
    <w:rsid w:val="598A28E2"/>
    <w:rsid w:val="5A6279C1"/>
    <w:rsid w:val="5AD563E4"/>
    <w:rsid w:val="5C1336B7"/>
    <w:rsid w:val="5C263CE4"/>
    <w:rsid w:val="5C5D2777"/>
    <w:rsid w:val="5C722D7F"/>
    <w:rsid w:val="5D290C69"/>
    <w:rsid w:val="5DC17CC6"/>
    <w:rsid w:val="5EFA176D"/>
    <w:rsid w:val="5F0247F9"/>
    <w:rsid w:val="5F2D4A41"/>
    <w:rsid w:val="5F6644E8"/>
    <w:rsid w:val="601C34ED"/>
    <w:rsid w:val="602B162F"/>
    <w:rsid w:val="60A511FB"/>
    <w:rsid w:val="60B34131"/>
    <w:rsid w:val="61025A59"/>
    <w:rsid w:val="613D5BBC"/>
    <w:rsid w:val="61536C39"/>
    <w:rsid w:val="616D60F9"/>
    <w:rsid w:val="62944DD7"/>
    <w:rsid w:val="629F08EF"/>
    <w:rsid w:val="634265E1"/>
    <w:rsid w:val="63497036"/>
    <w:rsid w:val="63C1619B"/>
    <w:rsid w:val="63C25DC5"/>
    <w:rsid w:val="63C62057"/>
    <w:rsid w:val="63C73832"/>
    <w:rsid w:val="64192A39"/>
    <w:rsid w:val="6421296A"/>
    <w:rsid w:val="64754794"/>
    <w:rsid w:val="64FB113D"/>
    <w:rsid w:val="6544377C"/>
    <w:rsid w:val="655F5939"/>
    <w:rsid w:val="656152C6"/>
    <w:rsid w:val="6587477F"/>
    <w:rsid w:val="658C3A08"/>
    <w:rsid w:val="65C031CA"/>
    <w:rsid w:val="65CE6852"/>
    <w:rsid w:val="65F004F9"/>
    <w:rsid w:val="66267C04"/>
    <w:rsid w:val="663F505A"/>
    <w:rsid w:val="667F2393"/>
    <w:rsid w:val="66EE5541"/>
    <w:rsid w:val="66F268D8"/>
    <w:rsid w:val="67086152"/>
    <w:rsid w:val="687E45FE"/>
    <w:rsid w:val="692172FD"/>
    <w:rsid w:val="6A32536D"/>
    <w:rsid w:val="6A3829EE"/>
    <w:rsid w:val="6A924CB7"/>
    <w:rsid w:val="6AC747C3"/>
    <w:rsid w:val="6AE0292E"/>
    <w:rsid w:val="6B474EF5"/>
    <w:rsid w:val="6B6C4083"/>
    <w:rsid w:val="6BC27679"/>
    <w:rsid w:val="6BC54EFE"/>
    <w:rsid w:val="6C0737CC"/>
    <w:rsid w:val="6C560CAE"/>
    <w:rsid w:val="6CD15296"/>
    <w:rsid w:val="6D903FF5"/>
    <w:rsid w:val="6DA955B8"/>
    <w:rsid w:val="6DE346AB"/>
    <w:rsid w:val="6FFB2E76"/>
    <w:rsid w:val="700B7BF8"/>
    <w:rsid w:val="70AB70D6"/>
    <w:rsid w:val="70DE5507"/>
    <w:rsid w:val="711D1F04"/>
    <w:rsid w:val="71C34D91"/>
    <w:rsid w:val="71ED38AA"/>
    <w:rsid w:val="723F3B65"/>
    <w:rsid w:val="72DB435C"/>
    <w:rsid w:val="738549F4"/>
    <w:rsid w:val="74C33317"/>
    <w:rsid w:val="74CC6652"/>
    <w:rsid w:val="74ED1B1B"/>
    <w:rsid w:val="750837F0"/>
    <w:rsid w:val="762A73EF"/>
    <w:rsid w:val="7631412E"/>
    <w:rsid w:val="764F62AB"/>
    <w:rsid w:val="764F6DBA"/>
    <w:rsid w:val="765C45EC"/>
    <w:rsid w:val="768A7619"/>
    <w:rsid w:val="7714640F"/>
    <w:rsid w:val="77B051F4"/>
    <w:rsid w:val="77EA362A"/>
    <w:rsid w:val="77F35CA4"/>
    <w:rsid w:val="780E2ADE"/>
    <w:rsid w:val="78280208"/>
    <w:rsid w:val="7875383E"/>
    <w:rsid w:val="796D60A4"/>
    <w:rsid w:val="7980722C"/>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6">
    <w:name w:val="正文1"/>
    <w:basedOn w:val="1"/>
    <w:qFormat/>
    <w:uiPriority w:val="0"/>
    <w:pPr>
      <w:widowControl w:val="0"/>
      <w:jc w:val="both"/>
    </w:pPr>
    <w:rPr>
      <w:rFonts w:hint="default" w:ascii="Times New Roman" w:hAnsi="Times New Roman"/>
      <w:kern w:val="2"/>
      <w:sz w:val="21"/>
      <w:szCs w:val="21"/>
    </w:rPr>
  </w:style>
  <w:style w:type="paragraph" w:customStyle="1" w:styleId="17">
    <w:name w:val="正文2"/>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4905</Words>
  <Characters>5444</Characters>
  <Lines>161</Lines>
  <Paragraphs>45</Paragraphs>
  <TotalTime>0</TotalTime>
  <ScaleCrop>false</ScaleCrop>
  <LinksUpToDate>false</LinksUpToDate>
  <CharactersWithSpaces>5495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Yan</cp:lastModifiedBy>
  <dcterms:modified xsi:type="dcterms:W3CDTF">2025-10-24T02:46:51Z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433A013C195640D996AA181978E18C1B_13</vt:lpwstr>
  </property>
  <property fmtid="{D5CDD505-2E9C-101B-9397-08002B2CF9AE}" pid="4" name="KSOTemplateDocerSaveRecord">
    <vt:lpwstr>eyJoZGlkIjoiZWYxYTQ2NjMyMTNkMWU5MDEzOWUyOTUzM2EyMjNjZjEiLCJ1c2VySWQiOiIxMTM5Mjk4OTE4In0=</vt:lpwstr>
  </property>
</Properties>
</file>