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72206">
      <w:pPr>
        <w:snapToGrid w:val="0"/>
        <w:spacing w:line="600" w:lineRule="exact"/>
        <w:jc w:val="center"/>
        <w:rPr>
          <w:rFonts w:hint="default" w:ascii="Times New Roman" w:hAnsi="Times New Roman" w:eastAsia="方正小标宋_GBK" w:cs="Times New Roman"/>
          <w:bCs/>
          <w:sz w:val="44"/>
          <w:szCs w:val="44"/>
          <w:shd w:val="clear" w:color="auto" w:fill="FFFFFF"/>
        </w:rPr>
      </w:pPr>
      <w:r>
        <w:rPr>
          <w:rFonts w:hint="default" w:ascii="Times New Roman" w:hAnsi="Times New Roman" w:eastAsia="方正小标宋_GBK" w:cs="Times New Roman"/>
          <w:bCs/>
          <w:sz w:val="44"/>
          <w:szCs w:val="44"/>
          <w:shd w:val="clear" w:color="auto" w:fill="FFFFFF"/>
        </w:rPr>
        <w:t>重庆市九龙坡区华梁学校</w:t>
      </w:r>
    </w:p>
    <w:p w14:paraId="01FB0A5F">
      <w:pPr>
        <w:snapToGrid w:val="0"/>
        <w:spacing w:line="600" w:lineRule="exact"/>
        <w:jc w:val="center"/>
        <w:rPr>
          <w:rFonts w:hint="default" w:ascii="Times New Roman" w:hAnsi="Times New Roman" w:eastAsia="方正小标宋_GBK" w:cs="Times New Roman"/>
          <w:bCs/>
          <w:sz w:val="44"/>
          <w:szCs w:val="44"/>
          <w:shd w:val="clear" w:color="auto" w:fill="FFFFFF"/>
        </w:rPr>
      </w:pPr>
      <w:r>
        <w:rPr>
          <w:rFonts w:hint="default" w:ascii="Times New Roman" w:hAnsi="Times New Roman" w:eastAsia="方正小标宋_GBK" w:cs="Times New Roman"/>
          <w:bCs/>
          <w:sz w:val="44"/>
          <w:szCs w:val="44"/>
          <w:shd w:val="clear" w:color="auto" w:fill="FFFFFF"/>
        </w:rPr>
        <w:t>2024年度单位决算情况说明</w:t>
      </w:r>
    </w:p>
    <w:p w14:paraId="614D566B">
      <w:pPr>
        <w:snapToGrid w:val="0"/>
        <w:spacing w:line="600" w:lineRule="exact"/>
        <w:ind w:firstLine="640" w:firstLineChars="200"/>
        <w:jc w:val="both"/>
        <w:rPr>
          <w:rFonts w:hint="default" w:ascii="Times New Roman" w:hAnsi="Times New Roman" w:eastAsia="方正黑体_GBK" w:cs="Times New Roman"/>
          <w:bCs/>
          <w:sz w:val="32"/>
          <w:szCs w:val="32"/>
          <w:shd w:val="clear" w:color="auto" w:fill="FFFFFF"/>
        </w:rPr>
      </w:pPr>
    </w:p>
    <w:p w14:paraId="64686581">
      <w:pPr>
        <w:snapToGrid w:val="0"/>
        <w:spacing w:line="600" w:lineRule="exact"/>
        <w:ind w:firstLine="640" w:firstLineChars="200"/>
        <w:jc w:val="both"/>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黑体_GBK" w:cs="Times New Roman"/>
          <w:bCs/>
          <w:sz w:val="32"/>
          <w:szCs w:val="32"/>
          <w:shd w:val="clear" w:color="auto" w:fill="FFFFFF"/>
        </w:rPr>
        <w:t>一、单位基本情况</w:t>
      </w:r>
    </w:p>
    <w:p w14:paraId="3886E4E3">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楷体_GBK" w:cs="Times New Roman"/>
          <w:bCs/>
          <w:sz w:val="32"/>
          <w:szCs w:val="32"/>
          <w:shd w:val="clear" w:color="auto" w:fill="FFFFFF"/>
        </w:rPr>
        <w:t>（一）职能职责</w:t>
      </w:r>
    </w:p>
    <w:p w14:paraId="3AAE6912">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普通小学和普通初中义务教育，促进学生全面发展。开展教育教学工作；开展学校德育工作；开展学校体育、卫生、艺术工作；负责学校人事、财务、档案及后勤等行政管理工作；开展对外交流工作；负责维护校园安全，提供后勤保障服务；按政策规定开展学前教育。</w:t>
      </w:r>
    </w:p>
    <w:p w14:paraId="53FB6820">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（二）机构设置</w:t>
      </w:r>
    </w:p>
    <w:p w14:paraId="78DE2F9A">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2024年12月31日我校在职在编教师19人，小学22个班，初中3个班，学生人数1042人。学校下设党政办公室、教导处、德育处、后勤安保办。</w:t>
      </w:r>
    </w:p>
    <w:p w14:paraId="234F2E1C">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黑体_GBK" w:cs="Times New Roman"/>
          <w:bCs/>
          <w:sz w:val="32"/>
          <w:szCs w:val="32"/>
          <w:shd w:val="clear" w:color="auto" w:fill="FFFFFF"/>
        </w:rPr>
      </w:pPr>
      <w:r>
        <w:rPr>
          <w:rFonts w:hint="default" w:ascii="Times New Roman" w:hAnsi="Times New Roman" w:eastAsia="方正黑体_GBK" w:cs="Times New Roman"/>
          <w:bCs/>
          <w:sz w:val="32"/>
          <w:szCs w:val="32"/>
          <w:shd w:val="clear" w:color="auto" w:fill="FFFFFF"/>
        </w:rPr>
        <w:t>二、单位决算收支情况说明</w:t>
      </w:r>
    </w:p>
    <w:p w14:paraId="10E30B5A">
      <w:pPr>
        <w:keepNext w:val="0"/>
        <w:keepLines w:val="0"/>
        <w:pageBreakBefore w:val="0"/>
        <w:widowControl w:val="0"/>
        <w:wordWrap/>
        <w:overflowPunct/>
        <w:topLinePunct w:val="0"/>
        <w:autoSpaceDE w:val="0"/>
        <w:bidi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（一）收入支出决算总体情况说明</w:t>
      </w:r>
    </w:p>
    <w:p w14:paraId="31A22D14">
      <w:pPr>
        <w:keepNext w:val="0"/>
        <w:keepLines w:val="0"/>
        <w:pageBreakBefore w:val="0"/>
        <w:widowControl w:val="0"/>
        <w:wordWrap/>
        <w:overflowPunct/>
        <w:topLinePunct w:val="0"/>
        <w:bidi w:val="0"/>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2024年度收入总计737.41万元，支出总计</w:t>
      </w:r>
      <w:r>
        <w:rPr>
          <w:rFonts w:hint="default" w:ascii="Times New Roman" w:hAnsi="Times New Roman" w:eastAsia="方正仿宋_GBK" w:cs="Times New Roman"/>
          <w:sz w:val="32"/>
          <w:szCs w:val="32"/>
        </w:rPr>
        <w:t>737.41</w:t>
      </w:r>
      <w:r>
        <w:rPr>
          <w:rFonts w:hint="default" w:ascii="Times New Roman" w:hAnsi="Times New Roman" w:eastAsia="方正仿宋_GBK" w:cs="Times New Roman"/>
          <w:sz w:val="32"/>
          <w:szCs w:val="32"/>
          <w:shd w:val="clear" w:color="auto" w:fill="FFFFFF"/>
        </w:rPr>
        <w:t>万元。收、支与2023年度相比，减少121.07万元，下降14.1%，主要原因是</w:t>
      </w:r>
      <w:r>
        <w:rPr>
          <w:rFonts w:hint="default" w:ascii="Times New Roman" w:hAnsi="Times New Roman" w:eastAsia="方正仿宋_GBK" w:cs="Times New Roman"/>
          <w:sz w:val="32"/>
          <w:szCs w:val="32"/>
          <w:shd w:val="clear" w:color="auto" w:fill="FFFFFF"/>
          <w:lang w:val="en-US" w:eastAsia="zh-CN"/>
        </w:rPr>
        <w:t>华梁幼儿园独立，幼儿园</w:t>
      </w:r>
      <w:r>
        <w:rPr>
          <w:rFonts w:hint="default" w:ascii="Times New Roman" w:hAnsi="Times New Roman" w:eastAsia="方正仿宋_GBK" w:cs="Times New Roman"/>
          <w:sz w:val="32"/>
          <w:szCs w:val="32"/>
          <w:shd w:val="clear" w:color="auto" w:fill="FFFFFF"/>
        </w:rPr>
        <w:t>教师及学生人数减少。</w:t>
      </w:r>
    </w:p>
    <w:p w14:paraId="4A366DA9">
      <w:pPr>
        <w:keepNext w:val="0"/>
        <w:keepLines w:val="0"/>
        <w:pageBreakBefore w:val="0"/>
        <w:widowControl w:val="0"/>
        <w:wordWrap/>
        <w:overflowPunct/>
        <w:topLinePunct w:val="0"/>
        <w:bidi w:val="0"/>
        <w:spacing w:line="600"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sz w:val="32"/>
          <w:szCs w:val="32"/>
        </w:rPr>
        <w:t>2.收入情况。</w:t>
      </w:r>
      <w:r>
        <w:rPr>
          <w:rFonts w:hint="default" w:ascii="Times New Roman" w:hAnsi="Times New Roman" w:eastAsia="方正仿宋_GBK" w:cs="Times New Roman"/>
          <w:sz w:val="32"/>
          <w:szCs w:val="32"/>
          <w:shd w:val="clear" w:color="auto" w:fill="FFFFFF"/>
        </w:rPr>
        <w:t>2024年度收入合计737.41万元，与2023年度相比，减少121.07万元，下降14.1%，主要原因是</w:t>
      </w:r>
      <w:r>
        <w:rPr>
          <w:rFonts w:hint="default" w:ascii="Times New Roman" w:hAnsi="Times New Roman" w:eastAsia="方正仿宋_GBK" w:cs="Times New Roman"/>
          <w:sz w:val="32"/>
          <w:szCs w:val="32"/>
          <w:shd w:val="clear" w:color="auto" w:fill="FFFFFF"/>
          <w:lang w:val="en-US" w:eastAsia="zh-CN"/>
        </w:rPr>
        <w:t>华梁幼儿园独立，幼儿园</w:t>
      </w:r>
      <w:r>
        <w:rPr>
          <w:rFonts w:hint="default" w:ascii="Times New Roman" w:hAnsi="Times New Roman" w:eastAsia="方正仿宋_GBK" w:cs="Times New Roman"/>
          <w:sz w:val="32"/>
          <w:szCs w:val="32"/>
          <w:shd w:val="clear" w:color="auto" w:fill="FFFFFF"/>
        </w:rPr>
        <w:t>教师及学生人数减少。其中：财政拨款收入735.41万元，占99.73%；事业收入2.00万元，占0.27%。</w:t>
      </w:r>
    </w:p>
    <w:p w14:paraId="2FB72035">
      <w:pPr>
        <w:keepNext w:val="0"/>
        <w:keepLines w:val="0"/>
        <w:pageBreakBefore w:val="0"/>
        <w:widowControl w:val="0"/>
        <w:wordWrap/>
        <w:overflowPunct/>
        <w:topLinePunct w:val="0"/>
        <w:bidi w:val="0"/>
        <w:snapToGrid w:val="0"/>
        <w:spacing w:line="600" w:lineRule="exact"/>
        <w:ind w:firstLine="643"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
          <w:bCs/>
          <w:sz w:val="32"/>
          <w:szCs w:val="32"/>
          <w:shd w:val="clear" w:color="auto" w:fill="FFFFFF"/>
        </w:rPr>
        <w:t>3.支出情况。</w:t>
      </w:r>
      <w:r>
        <w:rPr>
          <w:rFonts w:hint="default" w:ascii="Times New Roman" w:hAnsi="Times New Roman" w:eastAsia="方正仿宋_GBK" w:cs="Times New Roman"/>
          <w:bCs/>
          <w:sz w:val="32"/>
          <w:szCs w:val="32"/>
          <w:shd w:val="clear" w:color="auto" w:fill="FFFFFF"/>
        </w:rPr>
        <w:t>2024年度支出合计737.41万元，与2023年度相比，减少121.07万元，下降14.1%，主要原因是</w:t>
      </w:r>
      <w:r>
        <w:rPr>
          <w:rFonts w:hint="default" w:ascii="Times New Roman" w:hAnsi="Times New Roman" w:eastAsia="方正仿宋_GBK" w:cs="Times New Roman"/>
          <w:sz w:val="32"/>
          <w:szCs w:val="32"/>
          <w:shd w:val="clear" w:color="auto" w:fill="FFFFFF"/>
          <w:lang w:val="en-US" w:eastAsia="zh-CN"/>
        </w:rPr>
        <w:t>华梁幼儿园独立，幼儿园</w:t>
      </w:r>
      <w:r>
        <w:rPr>
          <w:rFonts w:hint="default" w:ascii="Times New Roman" w:hAnsi="Times New Roman" w:eastAsia="方正仿宋_GBK" w:cs="Times New Roman"/>
          <w:sz w:val="32"/>
          <w:szCs w:val="32"/>
          <w:shd w:val="clear" w:color="auto" w:fill="FFFFFF"/>
        </w:rPr>
        <w:t>教师及学生人数减少</w:t>
      </w:r>
      <w:r>
        <w:rPr>
          <w:rFonts w:hint="default" w:ascii="Times New Roman" w:hAnsi="Times New Roman" w:eastAsia="方正仿宋_GBK" w:cs="Times New Roman"/>
          <w:bCs/>
          <w:sz w:val="32"/>
          <w:szCs w:val="32"/>
          <w:shd w:val="clear" w:color="auto" w:fill="FFFFFF"/>
        </w:rPr>
        <w:t>。其中：基本支出445.51万元，占60.41%；项目支出291.91万元，占39.59%。</w:t>
      </w:r>
    </w:p>
    <w:p w14:paraId="645C315C">
      <w:pPr>
        <w:keepNext w:val="0"/>
        <w:keepLines w:val="0"/>
        <w:pageBreakBefore w:val="0"/>
        <w:widowControl w:val="0"/>
        <w:wordWrap/>
        <w:overflowPunct/>
        <w:topLinePunct w:val="0"/>
        <w:bidi w:val="0"/>
        <w:snapToGrid w:val="0"/>
        <w:spacing w:line="600" w:lineRule="exact"/>
        <w:ind w:firstLine="643"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
          <w:bCs/>
          <w:sz w:val="32"/>
          <w:szCs w:val="32"/>
          <w:shd w:val="clear" w:color="auto" w:fill="FFFFFF"/>
        </w:rPr>
        <w:t>4.结转结余情况。</w:t>
      </w:r>
      <w:r>
        <w:rPr>
          <w:rFonts w:hint="default" w:ascii="Times New Roman" w:hAnsi="Times New Roman" w:eastAsia="方正仿宋_GBK" w:cs="Times New Roman"/>
          <w:bCs/>
          <w:sz w:val="32"/>
          <w:szCs w:val="32"/>
          <w:shd w:val="clear" w:color="auto" w:fill="FFFFFF"/>
        </w:rPr>
        <w:t>2024年度年末结转和结余0.00万元，与2023年度相比，无增减，主要原因是本年度收支平衡。</w:t>
      </w:r>
    </w:p>
    <w:p w14:paraId="7E6D2E96">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（二）财政拨款收入支出决算总体情况说明</w:t>
      </w:r>
    </w:p>
    <w:p w14:paraId="1B0FF962">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2024年度财政拨款收、支总计735.41万元。与2023年相比，财政拨款收、支总计各增加13.00万元，增长1.8%。主要原因是</w:t>
      </w:r>
      <w:r>
        <w:rPr>
          <w:rFonts w:hint="default" w:ascii="Times New Roman" w:hAnsi="Times New Roman" w:eastAsia="方正仿宋_GBK" w:cs="Times New Roman"/>
          <w:sz w:val="32"/>
          <w:szCs w:val="32"/>
          <w:shd w:val="clear" w:color="auto" w:fill="FFFFFF"/>
          <w:lang w:val="en-US" w:eastAsia="zh-CN"/>
        </w:rPr>
        <w:t>政策性调资，经费增加</w:t>
      </w:r>
      <w:r>
        <w:rPr>
          <w:rFonts w:hint="default" w:ascii="Times New Roman" w:hAnsi="Times New Roman" w:eastAsia="方正仿宋_GBK" w:cs="Times New Roman"/>
          <w:sz w:val="32"/>
          <w:szCs w:val="32"/>
          <w:shd w:val="clear" w:color="auto" w:fill="FFFFFF"/>
        </w:rPr>
        <w:t>。</w:t>
      </w:r>
    </w:p>
    <w:p w14:paraId="5D8224DB">
      <w:pPr>
        <w:keepNext w:val="0"/>
        <w:keepLines w:val="0"/>
        <w:pageBreakBefore w:val="0"/>
        <w:widowControl w:val="0"/>
        <w:wordWrap/>
        <w:overflowPunct/>
        <w:topLinePunct w:val="0"/>
        <w:autoSpaceDE w:val="0"/>
        <w:bidi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（三）一般公共预算财政拨款收入支出决算情况说明</w:t>
      </w:r>
    </w:p>
    <w:p w14:paraId="336125C5">
      <w:pPr>
        <w:keepNext w:val="0"/>
        <w:keepLines w:val="0"/>
        <w:pageBreakBefore w:val="0"/>
        <w:widowControl w:val="0"/>
        <w:wordWrap/>
        <w:overflowPunct/>
        <w:topLinePunct w:val="0"/>
        <w:bidi w:val="0"/>
        <w:snapToGrid w:val="0"/>
        <w:spacing w:line="600" w:lineRule="exact"/>
        <w:ind w:firstLine="643"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
          <w:bCs/>
          <w:sz w:val="32"/>
          <w:szCs w:val="32"/>
          <w:shd w:val="clear" w:color="auto" w:fill="FFFFFF"/>
        </w:rPr>
        <w:t>1.收入情况。</w:t>
      </w:r>
      <w:r>
        <w:rPr>
          <w:rFonts w:hint="default" w:ascii="Times New Roman" w:hAnsi="Times New Roman" w:eastAsia="方正仿宋_GBK" w:cs="Times New Roman"/>
          <w:bCs/>
          <w:sz w:val="32"/>
          <w:szCs w:val="32"/>
          <w:shd w:val="clear" w:color="auto" w:fill="FFFFFF"/>
        </w:rPr>
        <w:t>2024年度一般公共预算财政拨款收入735.41万元，与2023年度相比，增加17.00万元，增长2.4%。主要原因是</w:t>
      </w:r>
      <w:r>
        <w:rPr>
          <w:rFonts w:hint="default" w:ascii="Times New Roman" w:hAnsi="Times New Roman" w:eastAsia="方正仿宋_GBK" w:cs="Times New Roman"/>
          <w:sz w:val="32"/>
          <w:szCs w:val="32"/>
          <w:shd w:val="clear" w:color="auto" w:fill="FFFFFF"/>
          <w:lang w:val="en-US" w:eastAsia="zh-CN"/>
        </w:rPr>
        <w:t>政策性调资，经费增加</w:t>
      </w:r>
      <w:r>
        <w:rPr>
          <w:rFonts w:hint="default" w:ascii="Times New Roman" w:hAnsi="Times New Roman" w:eastAsia="方正仿宋_GBK" w:cs="Times New Roman"/>
          <w:bCs/>
          <w:sz w:val="32"/>
          <w:szCs w:val="32"/>
          <w:shd w:val="clear" w:color="auto" w:fill="FFFFFF"/>
        </w:rPr>
        <w:t>。较年初预算数增加105.70万元，增长16.8%。主要原因是政策性调资，经费增加</w:t>
      </w:r>
      <w:bookmarkStart w:id="0" w:name="_GoBack"/>
      <w:bookmarkEnd w:id="0"/>
      <w:r>
        <w:rPr>
          <w:rFonts w:hint="default" w:ascii="Times New Roman" w:hAnsi="Times New Roman" w:eastAsia="方正仿宋_GBK" w:cs="Times New Roman"/>
          <w:bCs/>
          <w:sz w:val="32"/>
          <w:szCs w:val="32"/>
          <w:shd w:val="clear" w:color="auto" w:fill="FFFFFF"/>
        </w:rPr>
        <w:t>。此外，年初财政拨款结转和结余0.00万元。</w:t>
      </w:r>
    </w:p>
    <w:p w14:paraId="3F23B36E">
      <w:pPr>
        <w:keepNext w:val="0"/>
        <w:keepLines w:val="0"/>
        <w:pageBreakBefore w:val="0"/>
        <w:widowControl w:val="0"/>
        <w:wordWrap/>
        <w:overflowPunct/>
        <w:topLinePunct w:val="0"/>
        <w:bidi w:val="0"/>
        <w:snapToGrid w:val="0"/>
        <w:spacing w:line="600" w:lineRule="exact"/>
        <w:ind w:firstLine="643"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
          <w:bCs/>
          <w:sz w:val="32"/>
          <w:szCs w:val="32"/>
          <w:shd w:val="clear" w:color="auto" w:fill="FFFFFF"/>
        </w:rPr>
        <w:t>2.支出情况。</w:t>
      </w:r>
      <w:r>
        <w:rPr>
          <w:rFonts w:hint="default" w:ascii="Times New Roman" w:hAnsi="Times New Roman" w:eastAsia="方正仿宋_GBK" w:cs="Times New Roman"/>
          <w:bCs/>
          <w:sz w:val="32"/>
          <w:szCs w:val="32"/>
          <w:shd w:val="clear" w:color="auto" w:fill="FFFFFF"/>
        </w:rPr>
        <w:t>2024年度一般公共预算财政拨款支出735.41万元，与2023年度相比，增加17.00万元，增长2.4%。主要原因是</w:t>
      </w:r>
      <w:r>
        <w:rPr>
          <w:rFonts w:hint="default" w:ascii="Times New Roman" w:hAnsi="Times New Roman" w:eastAsia="方正仿宋_GBK" w:cs="Times New Roman"/>
          <w:sz w:val="32"/>
          <w:szCs w:val="32"/>
          <w:shd w:val="clear" w:color="auto" w:fill="FFFFFF"/>
          <w:lang w:val="en-US" w:eastAsia="zh-CN"/>
        </w:rPr>
        <w:t>政策性调资，经费增加</w:t>
      </w:r>
      <w:r>
        <w:rPr>
          <w:rFonts w:hint="default" w:ascii="Times New Roman" w:hAnsi="Times New Roman" w:eastAsia="方正仿宋_GBK" w:cs="Times New Roman"/>
          <w:bCs/>
          <w:sz w:val="32"/>
          <w:szCs w:val="32"/>
          <w:shd w:val="clear" w:color="auto" w:fill="FFFFFF"/>
        </w:rPr>
        <w:t>。较年初预算数增加105.70万元，增长16.8%。主要原因是</w:t>
      </w:r>
      <w:r>
        <w:rPr>
          <w:rFonts w:hint="default" w:ascii="Times New Roman" w:hAnsi="Times New Roman" w:eastAsia="方正仿宋_GBK" w:cs="Times New Roman"/>
          <w:sz w:val="32"/>
          <w:szCs w:val="32"/>
          <w:shd w:val="clear" w:color="auto" w:fill="FFFFFF"/>
          <w:lang w:val="en-US" w:eastAsia="zh-CN"/>
        </w:rPr>
        <w:t>政策性调资，经费增加</w:t>
      </w:r>
      <w:r>
        <w:rPr>
          <w:rFonts w:hint="default" w:ascii="Times New Roman" w:hAnsi="Times New Roman" w:eastAsia="方正仿宋_GBK" w:cs="Times New Roman"/>
          <w:bCs/>
          <w:sz w:val="32"/>
          <w:szCs w:val="32"/>
          <w:shd w:val="clear" w:color="auto" w:fill="FFFFFF"/>
        </w:rPr>
        <w:t>。</w:t>
      </w:r>
    </w:p>
    <w:p w14:paraId="135BCB9F">
      <w:pPr>
        <w:keepNext w:val="0"/>
        <w:keepLines w:val="0"/>
        <w:pageBreakBefore w:val="0"/>
        <w:widowControl w:val="0"/>
        <w:wordWrap/>
        <w:overflowPunct/>
        <w:topLinePunct w:val="0"/>
        <w:bidi w:val="0"/>
        <w:snapToGrid w:val="0"/>
        <w:spacing w:line="600" w:lineRule="exact"/>
        <w:ind w:firstLine="643"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
          <w:bCs/>
          <w:sz w:val="32"/>
          <w:szCs w:val="32"/>
          <w:shd w:val="clear" w:color="auto" w:fill="FFFFFF"/>
        </w:rPr>
        <w:t>3.结转结余情况。</w:t>
      </w:r>
      <w:r>
        <w:rPr>
          <w:rFonts w:hint="default" w:ascii="Times New Roman" w:hAnsi="Times New Roman" w:eastAsia="方正仿宋_GBK" w:cs="Times New Roman"/>
          <w:bCs/>
          <w:sz w:val="32"/>
          <w:szCs w:val="32"/>
          <w:shd w:val="clear" w:color="auto" w:fill="FFFFFF"/>
        </w:rPr>
        <w:t>2024年度年末一般公共预算财政拨款结转和结余0.00万元，与2023年度相比，无增减。</w:t>
      </w:r>
    </w:p>
    <w:p w14:paraId="58605663">
      <w:pPr>
        <w:keepNext w:val="0"/>
        <w:keepLines w:val="0"/>
        <w:pageBreakBefore w:val="0"/>
        <w:widowControl w:val="0"/>
        <w:wordWrap/>
        <w:overflowPunct/>
        <w:topLinePunct w:val="0"/>
        <w:bidi w:val="0"/>
        <w:snapToGrid w:val="0"/>
        <w:spacing w:line="600" w:lineRule="exact"/>
        <w:ind w:firstLine="643" w:firstLineChars="200"/>
        <w:jc w:val="both"/>
        <w:rPr>
          <w:rFonts w:hint="default" w:ascii="Times New Roman" w:hAnsi="Times New Roman" w:eastAsia="方正仿宋_GBK" w:cs="Times New Roman"/>
          <w:bCs/>
          <w:color w:val="FF0000"/>
          <w:sz w:val="32"/>
          <w:szCs w:val="32"/>
          <w:highlight w:val="cyan"/>
          <w:shd w:val="clear" w:color="auto" w:fill="FFFFFF"/>
        </w:rPr>
      </w:pPr>
      <w:r>
        <w:rPr>
          <w:rFonts w:hint="default" w:ascii="Times New Roman" w:hAnsi="Times New Roman" w:eastAsia="方正仿宋_GBK" w:cs="Times New Roman"/>
          <w:b/>
          <w:bCs/>
          <w:sz w:val="32"/>
          <w:szCs w:val="32"/>
          <w:shd w:val="clear" w:color="auto" w:fill="FFFFFF"/>
        </w:rPr>
        <w:t>4.比较情况。</w:t>
      </w:r>
      <w:r>
        <w:rPr>
          <w:rFonts w:hint="default" w:ascii="Times New Roman" w:hAnsi="Times New Roman" w:eastAsia="方正仿宋_GBK" w:cs="Times New Roman"/>
          <w:bCs/>
          <w:sz w:val="32"/>
          <w:szCs w:val="32"/>
          <w:shd w:val="clear" w:color="auto" w:fill="FFFFFF"/>
        </w:rPr>
        <w:t>本单位2024年度一般公共预算财政拨款支出主要用于以下几个方面：</w:t>
      </w:r>
    </w:p>
    <w:p w14:paraId="5960287A">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（1）教育支出628.51万元，占85.46%，较年初预算数增加74.54万元，增长13.5%，主要原因是</w:t>
      </w:r>
      <w:r>
        <w:rPr>
          <w:rFonts w:hint="default" w:ascii="Times New Roman" w:hAnsi="Times New Roman" w:eastAsia="方正仿宋_GBK" w:cs="Times New Roman"/>
          <w:sz w:val="32"/>
          <w:szCs w:val="32"/>
          <w:shd w:val="clear" w:color="auto" w:fill="FFFFFF"/>
          <w:lang w:val="en-US" w:eastAsia="zh-CN"/>
        </w:rPr>
        <w:t>政策性调资，经费增加</w:t>
      </w:r>
      <w:r>
        <w:rPr>
          <w:rFonts w:hint="default" w:ascii="Times New Roman" w:hAnsi="Times New Roman" w:eastAsia="方正仿宋_GBK" w:cs="Times New Roman"/>
          <w:bCs/>
          <w:sz w:val="32"/>
          <w:szCs w:val="32"/>
          <w:shd w:val="clear" w:color="auto" w:fill="FFFFFF"/>
        </w:rPr>
        <w:t>。</w:t>
      </w:r>
    </w:p>
    <w:p w14:paraId="7E620893">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（2）社会保障与就业支出50.48万元，占6.86%，较年初预算数增加18.86万元，增长59.7%，主要原因是社保</w:t>
      </w:r>
      <w:r>
        <w:rPr>
          <w:rFonts w:hint="default" w:ascii="Times New Roman" w:hAnsi="Times New Roman" w:eastAsia="方正仿宋_GBK" w:cs="Times New Roman"/>
          <w:bCs/>
          <w:sz w:val="32"/>
          <w:szCs w:val="32"/>
          <w:shd w:val="clear" w:color="auto" w:fill="FFFFFF"/>
          <w:lang w:val="en-US" w:eastAsia="zh-CN"/>
        </w:rPr>
        <w:t>缴费基数调整</w:t>
      </w:r>
      <w:r>
        <w:rPr>
          <w:rFonts w:hint="default" w:ascii="Times New Roman" w:hAnsi="Times New Roman" w:eastAsia="方正仿宋_GBK" w:cs="Times New Roman"/>
          <w:bCs/>
          <w:sz w:val="32"/>
          <w:szCs w:val="32"/>
          <w:shd w:val="clear" w:color="auto" w:fill="FFFFFF"/>
        </w:rPr>
        <w:t>。</w:t>
      </w:r>
    </w:p>
    <w:p w14:paraId="0482F3D2">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（3）卫生健康支出16.94万元，占2.30%，较年初预算数增加0.89万元，增长5.6%，主要原因是</w:t>
      </w:r>
      <w:r>
        <w:rPr>
          <w:rFonts w:hint="default" w:ascii="Times New Roman" w:hAnsi="Times New Roman" w:eastAsia="方正仿宋_GBK" w:cs="Times New Roman"/>
          <w:bCs/>
          <w:sz w:val="32"/>
          <w:szCs w:val="32"/>
          <w:shd w:val="clear" w:color="auto" w:fill="FFFFFF"/>
          <w:lang w:val="en-US" w:eastAsia="zh-CN"/>
        </w:rPr>
        <w:t>医疗保险缴费基数调整</w:t>
      </w:r>
      <w:r>
        <w:rPr>
          <w:rFonts w:hint="default" w:ascii="Times New Roman" w:hAnsi="Times New Roman" w:eastAsia="方正仿宋_GBK" w:cs="Times New Roman"/>
          <w:bCs/>
          <w:sz w:val="32"/>
          <w:szCs w:val="32"/>
          <w:shd w:val="clear" w:color="auto" w:fill="FFFFFF"/>
        </w:rPr>
        <w:t>。</w:t>
      </w:r>
    </w:p>
    <w:p w14:paraId="4F89FBBC">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color w:val="FF0000"/>
          <w:sz w:val="32"/>
          <w:szCs w:val="32"/>
          <w:shd w:val="clear" w:color="auto" w:fill="FFFFFF"/>
        </w:rPr>
      </w:pPr>
      <w:r>
        <w:rPr>
          <w:rFonts w:hint="default" w:ascii="Times New Roman" w:hAnsi="Times New Roman" w:eastAsia="方正仿宋_GBK" w:cs="Times New Roman"/>
          <w:bCs/>
          <w:sz w:val="32"/>
          <w:szCs w:val="32"/>
          <w:shd w:val="clear" w:color="auto" w:fill="FFFFFF"/>
        </w:rPr>
        <w:t>（4）住房保障支出39.48万元，占5.37%，较年初预算数增加11.40万元，增长40.6%，主要原因是</w:t>
      </w:r>
      <w:r>
        <w:rPr>
          <w:rFonts w:hint="default" w:ascii="Times New Roman" w:hAnsi="Times New Roman" w:eastAsia="方正仿宋_GBK" w:cs="Times New Roman"/>
          <w:bCs/>
          <w:sz w:val="32"/>
          <w:szCs w:val="32"/>
          <w:shd w:val="clear" w:color="auto" w:fill="FFFFFF"/>
          <w:lang w:val="en-US" w:eastAsia="zh-CN"/>
        </w:rPr>
        <w:t>公积金缴费基数调整</w:t>
      </w:r>
      <w:r>
        <w:rPr>
          <w:rFonts w:hint="default" w:ascii="Times New Roman" w:hAnsi="Times New Roman" w:eastAsia="方正仿宋_GBK" w:cs="Times New Roman"/>
          <w:bCs/>
          <w:sz w:val="32"/>
          <w:szCs w:val="32"/>
          <w:shd w:val="clear" w:color="auto" w:fill="FFFFFF"/>
        </w:rPr>
        <w:t>。</w:t>
      </w:r>
    </w:p>
    <w:p w14:paraId="1ABCBBE4">
      <w:pPr>
        <w:keepNext w:val="0"/>
        <w:keepLines w:val="0"/>
        <w:pageBreakBefore w:val="0"/>
        <w:widowControl w:val="0"/>
        <w:wordWrap/>
        <w:overflowPunct/>
        <w:topLinePunct w:val="0"/>
        <w:autoSpaceDE w:val="0"/>
        <w:bidi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（四）一般公共预算财政拨款基本支出决算情况说明</w:t>
      </w:r>
    </w:p>
    <w:p w14:paraId="07425BBD">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 2024年度一般公共财政拨款基本支出445.51万元。其中：人员经费340.18万元，与2023年度相比，增加68.15万元，增长25.1%，主要原因是</w:t>
      </w:r>
      <w:r>
        <w:rPr>
          <w:rFonts w:hint="default" w:ascii="Times New Roman" w:hAnsi="Times New Roman" w:eastAsia="方正仿宋_GBK" w:cs="Times New Roman"/>
          <w:sz w:val="32"/>
          <w:szCs w:val="32"/>
          <w:shd w:val="clear" w:color="auto" w:fill="FFFFFF"/>
          <w:lang w:val="en-US" w:eastAsia="zh-CN"/>
        </w:rPr>
        <w:t>政策性调资，经费增加</w:t>
      </w:r>
      <w:r>
        <w:rPr>
          <w:rFonts w:hint="default" w:ascii="Times New Roman" w:hAnsi="Times New Roman" w:eastAsia="方正仿宋_GBK" w:cs="Times New Roman"/>
          <w:bCs/>
          <w:sz w:val="32"/>
          <w:szCs w:val="32"/>
          <w:shd w:val="clear" w:color="auto" w:fill="FFFFFF"/>
        </w:rPr>
        <w:t>。人员经费用途主要包括基本工资、津贴补贴、绩效工资、机关事业单位基本养老保险费、职业年金缴费、职工基本医疗保险缴费、其他社会保障缴费、住房公积金、对个人和家庭的补助、助学金等。公用经费105.33万元，与2023年度相比，减少4.83万元，下降4.4%，主要原因是</w:t>
      </w:r>
      <w:r>
        <w:rPr>
          <w:rFonts w:hint="default" w:ascii="Times New Roman" w:hAnsi="Times New Roman" w:eastAsia="方正仿宋_GBK" w:cs="Times New Roman"/>
          <w:bCs/>
          <w:sz w:val="32"/>
          <w:szCs w:val="32"/>
          <w:shd w:val="clear" w:color="auto" w:fill="FFFFFF"/>
          <w:lang w:val="en-US" w:eastAsia="zh-CN"/>
        </w:rPr>
        <w:t>幼儿园教师学生人数减少</w:t>
      </w:r>
      <w:r>
        <w:rPr>
          <w:rFonts w:hint="default" w:ascii="Times New Roman" w:hAnsi="Times New Roman" w:eastAsia="方正仿宋_GBK" w:cs="Times New Roman"/>
          <w:bCs/>
          <w:sz w:val="32"/>
          <w:szCs w:val="32"/>
          <w:shd w:val="clear" w:color="auto" w:fill="FFFFFF"/>
        </w:rPr>
        <w:t>。公用经费用途主要包括办公费、印刷费、水费、电费、邮电费、物业管理费、差旅费、维修（护）费、培训费、专用材料费、劳务费、工会经费、福利费、其他商品和服务支出。</w:t>
      </w:r>
    </w:p>
    <w:p w14:paraId="5C3AA0F2">
      <w:pPr>
        <w:keepNext w:val="0"/>
        <w:keepLines w:val="0"/>
        <w:pageBreakBefore w:val="0"/>
        <w:widowControl w:val="0"/>
        <w:wordWrap/>
        <w:overflowPunct/>
        <w:topLinePunct w:val="0"/>
        <w:autoSpaceDE w:val="0"/>
        <w:bidi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（五）政府性基金预算收支决算情况说明</w:t>
      </w:r>
    </w:p>
    <w:p w14:paraId="38DBD532">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Cs/>
          <w:sz w:val="32"/>
          <w:szCs w:val="32"/>
        </w:rPr>
        <w:t>本单位2024年度无政府性基金预算财政拨款收支。</w:t>
      </w:r>
    </w:p>
    <w:p w14:paraId="1AE427DC">
      <w:pPr>
        <w:keepNext w:val="0"/>
        <w:keepLines w:val="0"/>
        <w:pageBreakBefore w:val="0"/>
        <w:widowControl w:val="0"/>
        <w:wordWrap/>
        <w:overflowPunct/>
        <w:topLinePunct w:val="0"/>
        <w:autoSpaceDE w:val="0"/>
        <w:bidi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（六）国有资本经营预算财政拨款支出决算情况说明</w:t>
      </w:r>
    </w:p>
    <w:p w14:paraId="5788C7E7">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Cs/>
          <w:sz w:val="32"/>
          <w:szCs w:val="32"/>
        </w:rPr>
        <w:t>本单位2024年度无国有资本经营预算财政拨款支出。</w:t>
      </w:r>
    </w:p>
    <w:p w14:paraId="4ED6B10A">
      <w:pPr>
        <w:keepNext w:val="0"/>
        <w:keepLines w:val="0"/>
        <w:pageBreakBefore w:val="0"/>
        <w:widowControl w:val="0"/>
        <w:wordWrap/>
        <w:overflowPunct/>
        <w:topLinePunct w:val="0"/>
        <w:bidi w:val="0"/>
        <w:snapToGrid w:val="0"/>
        <w:spacing w:line="600" w:lineRule="exact"/>
        <w:ind w:firstLine="643" w:firstLineChars="200"/>
        <w:jc w:val="both"/>
        <w:rPr>
          <w:rFonts w:hint="default" w:ascii="Times New Roman" w:hAnsi="Times New Roman" w:eastAsia="方正黑体_GBK" w:cs="Times New Roman"/>
          <w:bCs/>
          <w:sz w:val="32"/>
          <w:szCs w:val="32"/>
          <w:shd w:val="clear" w:color="auto" w:fill="FFFFFF"/>
        </w:rPr>
      </w:pPr>
      <w:r>
        <w:rPr>
          <w:rFonts w:hint="default" w:ascii="Times New Roman" w:hAnsi="Times New Roman" w:eastAsia="方正黑体_GBK" w:cs="Times New Roman"/>
          <w:b/>
          <w:bCs/>
          <w:sz w:val="32"/>
          <w:szCs w:val="32"/>
          <w:shd w:val="clear" w:color="auto" w:fill="FFFFFF"/>
        </w:rPr>
        <w:t>三、</w:t>
      </w:r>
      <w:r>
        <w:rPr>
          <w:rFonts w:hint="default" w:ascii="Times New Roman" w:hAnsi="Times New Roman" w:eastAsia="方正黑体_GBK" w:cs="Times New Roman"/>
          <w:bCs/>
          <w:sz w:val="32"/>
          <w:szCs w:val="32"/>
          <w:shd w:val="clear" w:color="auto" w:fill="FFFFFF"/>
        </w:rPr>
        <w:t>财政拨款</w:t>
      </w:r>
      <w:r>
        <w:rPr>
          <w:rFonts w:hint="eastAsia" w:ascii="Times New Roman" w:hAnsi="Times New Roman" w:eastAsia="方正黑体_GBK" w:cs="Times New Roman"/>
          <w:bCs/>
          <w:sz w:val="32"/>
          <w:szCs w:val="32"/>
          <w:shd w:val="clear" w:color="auto" w:fill="FFFFFF"/>
          <w:lang w:eastAsia="zh-CN"/>
        </w:rPr>
        <w:t>“</w:t>
      </w:r>
      <w:r>
        <w:rPr>
          <w:rFonts w:hint="default" w:ascii="Times New Roman" w:hAnsi="Times New Roman" w:eastAsia="方正黑体_GBK" w:cs="Times New Roman"/>
          <w:bCs/>
          <w:sz w:val="32"/>
          <w:szCs w:val="32"/>
          <w:shd w:val="clear" w:color="auto" w:fill="FFFFFF"/>
        </w:rPr>
        <w:t>三公</w:t>
      </w:r>
      <w:r>
        <w:rPr>
          <w:rFonts w:hint="eastAsia" w:ascii="Times New Roman" w:hAnsi="Times New Roman" w:eastAsia="方正黑体_GBK" w:cs="Times New Roman"/>
          <w:bCs/>
          <w:sz w:val="32"/>
          <w:szCs w:val="32"/>
          <w:shd w:val="clear" w:color="auto" w:fill="FFFFFF"/>
          <w:lang w:eastAsia="zh-CN"/>
        </w:rPr>
        <w:t>”</w:t>
      </w:r>
      <w:r>
        <w:rPr>
          <w:rFonts w:hint="default" w:ascii="Times New Roman" w:hAnsi="Times New Roman" w:eastAsia="方正黑体_GBK" w:cs="Times New Roman"/>
          <w:bCs/>
          <w:sz w:val="32"/>
          <w:szCs w:val="32"/>
          <w:shd w:val="clear" w:color="auto" w:fill="FFFFFF"/>
        </w:rPr>
        <w:t>经费情况说明</w:t>
      </w:r>
    </w:p>
    <w:p w14:paraId="52EED5B8">
      <w:pPr>
        <w:keepNext w:val="0"/>
        <w:keepLines w:val="0"/>
        <w:pageBreakBefore w:val="0"/>
        <w:widowControl w:val="0"/>
        <w:wordWrap/>
        <w:overflowPunct/>
        <w:topLinePunct w:val="0"/>
        <w:autoSpaceDE w:val="0"/>
        <w:bidi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经费支出总体情况说明</w:t>
      </w:r>
    </w:p>
    <w:p w14:paraId="2F665547">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2024年度</w:t>
      </w:r>
      <w:r>
        <w:rPr>
          <w:rFonts w:hint="eastAsia" w:ascii="Times New Roman" w:hAnsi="Times New Roman" w:eastAsia="方正仿宋_GBK" w:cs="Times New Roman"/>
          <w:bCs/>
          <w:sz w:val="32"/>
          <w:szCs w:val="32"/>
          <w:shd w:val="clear" w:color="auto" w:fill="FFFFFF"/>
          <w:lang w:eastAsia="zh-CN"/>
        </w:rPr>
        <w:t>“</w:t>
      </w:r>
      <w:r>
        <w:rPr>
          <w:rFonts w:hint="default" w:ascii="Times New Roman" w:hAnsi="Times New Roman" w:eastAsia="方正仿宋_GBK" w:cs="Times New Roman"/>
          <w:bCs/>
          <w:sz w:val="32"/>
          <w:szCs w:val="32"/>
          <w:shd w:val="clear" w:color="auto" w:fill="FFFFFF"/>
        </w:rPr>
        <w:t>三公</w:t>
      </w:r>
      <w:r>
        <w:rPr>
          <w:rFonts w:hint="eastAsia" w:ascii="Times New Roman" w:hAnsi="Times New Roman" w:eastAsia="方正仿宋_GBK" w:cs="Times New Roman"/>
          <w:bCs/>
          <w:sz w:val="32"/>
          <w:szCs w:val="32"/>
          <w:shd w:val="clear" w:color="auto" w:fill="FFFFFF"/>
          <w:lang w:eastAsia="zh-CN"/>
        </w:rPr>
        <w:t>”</w:t>
      </w:r>
      <w:r>
        <w:rPr>
          <w:rFonts w:hint="default" w:ascii="Times New Roman" w:hAnsi="Times New Roman" w:eastAsia="方正仿宋_GBK" w:cs="Times New Roman"/>
          <w:bCs/>
          <w:sz w:val="32"/>
          <w:szCs w:val="32"/>
          <w:shd w:val="clear" w:color="auto" w:fill="FFFFFF"/>
        </w:rPr>
        <w:t>经费支出共计0.00万元，较年初预算数无增减，主要原因是本单位2024年度未发生</w:t>
      </w:r>
      <w:r>
        <w:rPr>
          <w:rFonts w:hint="eastAsia" w:ascii="Times New Roman" w:hAnsi="Times New Roman" w:eastAsia="方正仿宋_GBK" w:cs="Times New Roman"/>
          <w:bCs/>
          <w:sz w:val="32"/>
          <w:szCs w:val="32"/>
          <w:shd w:val="clear" w:color="auto" w:fill="FFFFFF"/>
          <w:lang w:eastAsia="zh-CN"/>
        </w:rPr>
        <w:t>“</w:t>
      </w:r>
      <w:r>
        <w:rPr>
          <w:rFonts w:hint="default" w:ascii="Times New Roman" w:hAnsi="Times New Roman" w:eastAsia="方正仿宋_GBK" w:cs="Times New Roman"/>
          <w:bCs/>
          <w:sz w:val="32"/>
          <w:szCs w:val="32"/>
          <w:shd w:val="clear" w:color="auto" w:fill="FFFFFF"/>
        </w:rPr>
        <w:t>三公</w:t>
      </w:r>
      <w:r>
        <w:rPr>
          <w:rFonts w:hint="eastAsia" w:ascii="Times New Roman" w:hAnsi="Times New Roman" w:eastAsia="方正仿宋_GBK" w:cs="Times New Roman"/>
          <w:bCs/>
          <w:sz w:val="32"/>
          <w:szCs w:val="32"/>
          <w:shd w:val="clear" w:color="auto" w:fill="FFFFFF"/>
          <w:lang w:eastAsia="zh-CN"/>
        </w:rPr>
        <w:t>”</w:t>
      </w:r>
      <w:r>
        <w:rPr>
          <w:rFonts w:hint="default" w:ascii="Times New Roman" w:hAnsi="Times New Roman" w:eastAsia="方正仿宋_GBK" w:cs="Times New Roman"/>
          <w:bCs/>
          <w:sz w:val="32"/>
          <w:szCs w:val="32"/>
          <w:shd w:val="clear" w:color="auto" w:fill="FFFFFF"/>
        </w:rPr>
        <w:t>经费支出，与上年决算数持平。</w:t>
      </w:r>
    </w:p>
    <w:p w14:paraId="44F5E4E4">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经费分项支出情况</w:t>
      </w:r>
    </w:p>
    <w:p w14:paraId="11BDD09D">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2024年度本单位因公出国（境）费用0.00万元，费用支出较上年支出数无增减，主要原因是本单位2024年度未发生因公出国（境）费用支出，与上年决算数持平。</w:t>
      </w:r>
    </w:p>
    <w:p w14:paraId="336D64C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公务车购置费0.00万元，费用支出较年初预算数无增减，主要原因是本单位2024年度未发生公务车购置费支出，与上年决算数持平。</w:t>
      </w:r>
    </w:p>
    <w:p w14:paraId="2075B7C0">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公务车运行维护费0.00万元，费用支出较年初预算数无增减，主要原因是本单位2024年度未发生公务车购置费支出，与上年决算数持平。</w:t>
      </w:r>
    </w:p>
    <w:p w14:paraId="52F7F183">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公务接待费0.00万元，费用支出较年初预算数无增减，主要原因是本单位2024年度未发生公务车购置费支出，与上年决算数持平。</w:t>
      </w:r>
    </w:p>
    <w:p w14:paraId="346F49F9">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经费实物量情况</w:t>
      </w:r>
    </w:p>
    <w:p w14:paraId="2DEC0194">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503B310C">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黑体_GBK" w:cs="Times New Roman"/>
          <w:bCs/>
          <w:sz w:val="32"/>
          <w:szCs w:val="32"/>
          <w:shd w:val="clear" w:color="auto" w:fill="FFFFFF"/>
        </w:rPr>
      </w:pPr>
      <w:r>
        <w:rPr>
          <w:rFonts w:hint="default" w:ascii="Times New Roman" w:hAnsi="Times New Roman" w:eastAsia="方正黑体_GBK" w:cs="Times New Roman"/>
          <w:bCs/>
          <w:sz w:val="32"/>
          <w:szCs w:val="32"/>
          <w:shd w:val="clear" w:color="auto" w:fill="FFFFFF"/>
        </w:rPr>
        <w:t>四、其他需要说明的事项</w:t>
      </w:r>
    </w:p>
    <w:p w14:paraId="5579F32A">
      <w:pPr>
        <w:keepNext w:val="0"/>
        <w:keepLines w:val="0"/>
        <w:pageBreakBefore w:val="0"/>
        <w:widowControl w:val="0"/>
        <w:wordWrap/>
        <w:overflowPunct/>
        <w:topLinePunct w:val="0"/>
        <w:autoSpaceDE w:val="0"/>
        <w:bidi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（一）财政拨款会议费和培训费情况说明</w:t>
      </w:r>
    </w:p>
    <w:p w14:paraId="6C700F40">
      <w:pPr>
        <w:keepNext w:val="0"/>
        <w:keepLines w:val="0"/>
        <w:pageBreakBefore w:val="0"/>
        <w:widowControl w:val="0"/>
        <w:wordWrap/>
        <w:overflowPunct/>
        <w:topLinePunct w:val="0"/>
        <w:bidi w:val="0"/>
        <w:snapToGrid w:val="0"/>
        <w:spacing w:line="600" w:lineRule="exact"/>
        <w:ind w:firstLine="640" w:firstLineChars="200"/>
        <w:jc w:val="both"/>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本年度会议费支出0.00万元，与2023年度相比，无增减，主要原因是本单位2024年度未发生会议费用支出。本年度培训费支出5.55万元，与2023年度相比，增加0.11万元，增长2.0%，主要原因是加大教师培训力度。</w:t>
      </w:r>
    </w:p>
    <w:p w14:paraId="4000FE38">
      <w:pPr>
        <w:keepNext w:val="0"/>
        <w:keepLines w:val="0"/>
        <w:pageBreakBefore w:val="0"/>
        <w:widowControl w:val="0"/>
        <w:wordWrap/>
        <w:overflowPunct/>
        <w:topLinePunct w:val="0"/>
        <w:autoSpaceDE w:val="0"/>
        <w:bidi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（二）机关运行经费情况说明</w:t>
      </w:r>
    </w:p>
    <w:p w14:paraId="415329E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Cs/>
          <w:sz w:val="32"/>
          <w:szCs w:val="32"/>
          <w:shd w:val="clear" w:color="auto" w:fill="FFFFFF"/>
        </w:rPr>
      </w:pPr>
      <w:r>
        <w:rPr>
          <w:rFonts w:hint="default" w:ascii="Times New Roman" w:hAnsi="Times New Roman" w:eastAsia="方正仿宋_GBK" w:cs="Times New Roman"/>
          <w:bCs/>
          <w:sz w:val="32"/>
          <w:szCs w:val="32"/>
          <w:shd w:val="clear" w:color="auto" w:fill="FFFFFF"/>
        </w:rPr>
        <w:t>按照部门决算列报口径，我单位不在机关运行经费统计范围之内。</w:t>
      </w:r>
    </w:p>
    <w:p w14:paraId="60601CBE">
      <w:pPr>
        <w:keepNext w:val="0"/>
        <w:keepLines w:val="0"/>
        <w:pageBreakBefore w:val="0"/>
        <w:widowControl w:val="0"/>
        <w:wordWrap/>
        <w:overflowPunct/>
        <w:topLinePunct w:val="0"/>
        <w:autoSpaceDE w:val="0"/>
        <w:bidi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（三）国有资产占用情况说明</w:t>
      </w:r>
    </w:p>
    <w:p w14:paraId="359FA568">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38DFC8B1">
      <w:pPr>
        <w:keepNext w:val="0"/>
        <w:keepLines w:val="0"/>
        <w:pageBreakBefore w:val="0"/>
        <w:widowControl w:val="0"/>
        <w:wordWrap/>
        <w:overflowPunct/>
        <w:topLinePunct w:val="0"/>
        <w:autoSpaceDE w:val="0"/>
        <w:bidi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（四）政府采购支出情况说明</w:t>
      </w:r>
    </w:p>
    <w:p w14:paraId="5D79A075">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2024年度我单位未发生政府采购事项，无相关经费支出。</w:t>
      </w:r>
    </w:p>
    <w:p w14:paraId="37A37905">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五、2024年度预算绩效管理情况说明</w:t>
      </w:r>
    </w:p>
    <w:p w14:paraId="5723C847">
      <w:pPr>
        <w:pStyle w:val="13"/>
        <w:keepNext w:val="0"/>
        <w:keepLines w:val="0"/>
        <w:pageBreakBefore w:val="0"/>
        <w:widowControl w:val="0"/>
        <w:wordWrap/>
        <w:overflowPunct/>
        <w:topLinePunct w:val="0"/>
        <w:autoSpaceDE w:val="0"/>
        <w:bidi w:val="0"/>
        <w:spacing w:line="600" w:lineRule="exact"/>
        <w:ind w:left="0" w:leftChars="0"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（一）预算绩效管理工作开展情况</w:t>
      </w:r>
    </w:p>
    <w:p w14:paraId="5EAB591B">
      <w:pPr>
        <w:pStyle w:val="2"/>
        <w:keepNext w:val="0"/>
        <w:keepLines w:val="0"/>
        <w:pageBreakBefore w:val="0"/>
        <w:widowControl w:val="0"/>
        <w:kinsoku/>
        <w:wordWrap/>
        <w:overflowPunct/>
        <w:topLinePunct w:val="0"/>
        <w:autoSpaceDE/>
        <w:autoSpaceDN/>
        <w:bidi w:val="0"/>
        <w:adjustRightInd/>
        <w:snapToGrid/>
        <w:spacing w:before="130" w:line="600" w:lineRule="exact"/>
        <w:ind w:right="8" w:firstLine="640" w:firstLineChars="200"/>
        <w:jc w:val="both"/>
        <w:textAlignment w:val="auto"/>
        <w:rPr>
          <w:rFonts w:hint="default" w:ascii="Times New Roman" w:hAnsi="Times New Roman"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根据预算绩效管理要求，我单位对9个二级项目开展了绩效自评，涉及财政拨款项目支出289.91万元。从评价情况来看，整 体预算执行情况较好，基本实现年初既定绩效目标。</w:t>
      </w:r>
    </w:p>
    <w:p w14:paraId="506E10AF">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color w:val="000000"/>
          <w:sz w:val="28"/>
          <w:szCs w:val="28"/>
          <w:lang w:bidi="ar"/>
        </w:rPr>
        <w:t>重庆市九龙坡区华梁学校2024年度项目支出绩效自评表</w:t>
      </w:r>
    </w:p>
    <w:tbl>
      <w:tblPr>
        <w:tblStyle w:val="10"/>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765"/>
        <w:gridCol w:w="1232"/>
        <w:gridCol w:w="765"/>
        <w:gridCol w:w="1080"/>
        <w:gridCol w:w="840"/>
        <w:gridCol w:w="810"/>
        <w:gridCol w:w="1020"/>
        <w:gridCol w:w="840"/>
        <w:gridCol w:w="330"/>
        <w:gridCol w:w="928"/>
      </w:tblGrid>
      <w:tr w14:paraId="0585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21" w:type="dxa"/>
            <w:tcBorders>
              <w:top w:val="single" w:color="auto" w:sz="4" w:space="0"/>
            </w:tcBorders>
            <w:vAlign w:val="center"/>
          </w:tcPr>
          <w:p w14:paraId="2CFF4EC3">
            <w:pPr>
              <w:keepNext w:val="0"/>
              <w:keepLines w:val="0"/>
              <w:pageBreakBefore w:val="0"/>
              <w:widowControl w:val="0"/>
              <w:wordWrap/>
              <w:overflowPunct/>
              <w:topLinePunct w:val="0"/>
              <w:bidi w:val="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序号</w:t>
            </w:r>
          </w:p>
        </w:tc>
        <w:tc>
          <w:tcPr>
            <w:tcW w:w="765" w:type="dxa"/>
            <w:tcBorders>
              <w:top w:val="single" w:color="auto" w:sz="4" w:space="0"/>
            </w:tcBorders>
            <w:vAlign w:val="center"/>
          </w:tcPr>
          <w:p w14:paraId="24F39558">
            <w:pPr>
              <w:keepNext w:val="0"/>
              <w:keepLines w:val="0"/>
              <w:pageBreakBefore w:val="0"/>
              <w:widowControl w:val="0"/>
              <w:kinsoku w:val="0"/>
              <w:wordWrap/>
              <w:overflowPunct/>
              <w:topLinePunct w:val="0"/>
              <w:autoSpaceDE w:val="0"/>
              <w:autoSpaceDN w:val="0"/>
              <w:bidi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sz w:val="20"/>
                <w:szCs w:val="20"/>
              </w:rPr>
            </w:pPr>
            <w:r>
              <w:rPr>
                <w:rFonts w:hint="default" w:ascii="Times New Roman" w:hAnsi="Times New Roman" w:eastAsia="方正黑体_GBK" w:cs="Times New Roman"/>
                <w:snapToGrid w:val="0"/>
                <w:color w:val="000000"/>
                <w:spacing w:val="-4"/>
                <w:sz w:val="20"/>
                <w:szCs w:val="20"/>
                <w:lang w:eastAsia="en-US"/>
              </w:rPr>
              <w:t>项目</w:t>
            </w:r>
            <w:r>
              <w:rPr>
                <w:rFonts w:hint="default" w:ascii="Times New Roman" w:hAnsi="Times New Roman" w:eastAsia="方正黑体_GBK" w:cs="Times New Roman"/>
                <w:snapToGrid w:val="0"/>
                <w:color w:val="000000"/>
                <w:spacing w:val="-4"/>
                <w:sz w:val="20"/>
                <w:szCs w:val="20"/>
              </w:rPr>
              <w:t>名称</w:t>
            </w:r>
          </w:p>
        </w:tc>
        <w:tc>
          <w:tcPr>
            <w:tcW w:w="1232" w:type="dxa"/>
            <w:tcBorders>
              <w:top w:val="single" w:color="auto" w:sz="4" w:space="0"/>
            </w:tcBorders>
            <w:vAlign w:val="center"/>
          </w:tcPr>
          <w:p w14:paraId="59230967">
            <w:pPr>
              <w:keepNext w:val="0"/>
              <w:keepLines w:val="0"/>
              <w:pageBreakBefore w:val="0"/>
              <w:widowControl w:val="0"/>
              <w:kinsoku w:val="0"/>
              <w:wordWrap/>
              <w:overflowPunct/>
              <w:topLinePunct w:val="0"/>
              <w:autoSpaceDE w:val="0"/>
              <w:autoSpaceDN w:val="0"/>
              <w:bidi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指标名称</w:t>
            </w:r>
          </w:p>
        </w:tc>
        <w:tc>
          <w:tcPr>
            <w:tcW w:w="765" w:type="dxa"/>
            <w:tcBorders>
              <w:top w:val="single" w:color="auto" w:sz="4" w:space="0"/>
            </w:tcBorders>
            <w:vAlign w:val="center"/>
          </w:tcPr>
          <w:p w14:paraId="49EED813">
            <w:pPr>
              <w:keepNext w:val="0"/>
              <w:keepLines w:val="0"/>
              <w:pageBreakBefore w:val="0"/>
              <w:widowControl w:val="0"/>
              <w:kinsoku w:val="0"/>
              <w:wordWrap/>
              <w:overflowPunct/>
              <w:topLinePunct w:val="0"/>
              <w:autoSpaceDE w:val="0"/>
              <w:autoSpaceDN w:val="0"/>
              <w:bidi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指标性质</w:t>
            </w:r>
          </w:p>
        </w:tc>
        <w:tc>
          <w:tcPr>
            <w:tcW w:w="1080" w:type="dxa"/>
            <w:tcBorders>
              <w:top w:val="single" w:color="auto" w:sz="4" w:space="0"/>
            </w:tcBorders>
            <w:vAlign w:val="center"/>
          </w:tcPr>
          <w:p w14:paraId="51D4A933">
            <w:pPr>
              <w:keepNext w:val="0"/>
              <w:keepLines w:val="0"/>
              <w:pageBreakBefore w:val="0"/>
              <w:widowControl w:val="0"/>
              <w:kinsoku w:val="0"/>
              <w:wordWrap/>
              <w:overflowPunct/>
              <w:topLinePunct w:val="0"/>
              <w:autoSpaceDE w:val="0"/>
              <w:autoSpaceDN w:val="0"/>
              <w:bidi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指标值</w:t>
            </w:r>
          </w:p>
        </w:tc>
        <w:tc>
          <w:tcPr>
            <w:tcW w:w="840" w:type="dxa"/>
            <w:tcBorders>
              <w:top w:val="single" w:color="auto" w:sz="4" w:space="0"/>
            </w:tcBorders>
            <w:vAlign w:val="center"/>
          </w:tcPr>
          <w:p w14:paraId="57123A4F">
            <w:pPr>
              <w:keepNext w:val="0"/>
              <w:keepLines w:val="0"/>
              <w:pageBreakBefore w:val="0"/>
              <w:widowControl w:val="0"/>
              <w:kinsoku w:val="0"/>
              <w:wordWrap/>
              <w:overflowPunct/>
              <w:topLinePunct w:val="0"/>
              <w:autoSpaceDE w:val="0"/>
              <w:autoSpaceDN w:val="0"/>
              <w:bidi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计量单位</w:t>
            </w:r>
          </w:p>
        </w:tc>
        <w:tc>
          <w:tcPr>
            <w:tcW w:w="810" w:type="dxa"/>
            <w:tcBorders>
              <w:top w:val="single" w:color="auto" w:sz="4" w:space="0"/>
            </w:tcBorders>
            <w:vAlign w:val="center"/>
          </w:tcPr>
          <w:p w14:paraId="704EAF32">
            <w:pPr>
              <w:keepNext w:val="0"/>
              <w:keepLines w:val="0"/>
              <w:pageBreakBefore w:val="0"/>
              <w:widowControl w:val="0"/>
              <w:kinsoku w:val="0"/>
              <w:wordWrap/>
              <w:overflowPunct/>
              <w:topLinePunct w:val="0"/>
              <w:autoSpaceDE w:val="0"/>
              <w:autoSpaceDN w:val="0"/>
              <w:bidi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指标权重</w:t>
            </w:r>
          </w:p>
        </w:tc>
        <w:tc>
          <w:tcPr>
            <w:tcW w:w="1020" w:type="dxa"/>
            <w:tcBorders>
              <w:top w:val="single" w:color="auto" w:sz="4" w:space="0"/>
            </w:tcBorders>
            <w:vAlign w:val="center"/>
          </w:tcPr>
          <w:p w14:paraId="21F3E353">
            <w:pPr>
              <w:keepNext w:val="0"/>
              <w:keepLines w:val="0"/>
              <w:pageBreakBefore w:val="0"/>
              <w:widowControl w:val="0"/>
              <w:kinsoku w:val="0"/>
              <w:wordWrap/>
              <w:overflowPunct/>
              <w:topLinePunct w:val="0"/>
              <w:autoSpaceDE w:val="0"/>
              <w:autoSpaceDN w:val="0"/>
              <w:bidi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全年完成值</w:t>
            </w:r>
          </w:p>
        </w:tc>
        <w:tc>
          <w:tcPr>
            <w:tcW w:w="840" w:type="dxa"/>
            <w:tcBorders>
              <w:top w:val="single" w:color="auto" w:sz="4" w:space="0"/>
            </w:tcBorders>
            <w:vAlign w:val="center"/>
          </w:tcPr>
          <w:p w14:paraId="15EDC5F3">
            <w:pPr>
              <w:keepNext w:val="0"/>
              <w:keepLines w:val="0"/>
              <w:pageBreakBefore w:val="0"/>
              <w:widowControl w:val="0"/>
              <w:kinsoku w:val="0"/>
              <w:wordWrap/>
              <w:overflowPunct/>
              <w:topLinePunct w:val="0"/>
              <w:autoSpaceDE w:val="0"/>
              <w:autoSpaceDN w:val="0"/>
              <w:bidi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指标得分</w:t>
            </w:r>
          </w:p>
        </w:tc>
        <w:tc>
          <w:tcPr>
            <w:tcW w:w="330" w:type="dxa"/>
            <w:tcBorders>
              <w:top w:val="single" w:color="auto" w:sz="4" w:space="0"/>
            </w:tcBorders>
            <w:vAlign w:val="center"/>
          </w:tcPr>
          <w:p w14:paraId="6EC90551">
            <w:pPr>
              <w:keepNext w:val="0"/>
              <w:keepLines w:val="0"/>
              <w:pageBreakBefore w:val="0"/>
              <w:widowControl w:val="0"/>
              <w:kinsoku w:val="0"/>
              <w:wordWrap/>
              <w:overflowPunct/>
              <w:topLinePunct w:val="0"/>
              <w:autoSpaceDE w:val="0"/>
              <w:autoSpaceDN w:val="0"/>
              <w:bidi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sz w:val="20"/>
                <w:szCs w:val="20"/>
              </w:rPr>
            </w:pPr>
            <w:r>
              <w:rPr>
                <w:rFonts w:hint="default" w:ascii="Times New Roman" w:hAnsi="Times New Roman" w:eastAsia="方正黑体_GBK" w:cs="Times New Roman"/>
                <w:snapToGrid w:val="0"/>
                <w:color w:val="000000"/>
                <w:spacing w:val="-4"/>
                <w:sz w:val="20"/>
                <w:szCs w:val="20"/>
              </w:rPr>
              <w:t>说明</w:t>
            </w:r>
          </w:p>
        </w:tc>
        <w:tc>
          <w:tcPr>
            <w:tcW w:w="928" w:type="dxa"/>
            <w:tcBorders>
              <w:top w:val="single" w:color="auto" w:sz="4" w:space="0"/>
            </w:tcBorders>
            <w:vAlign w:val="center"/>
          </w:tcPr>
          <w:p w14:paraId="5E1C6115">
            <w:pPr>
              <w:keepNext w:val="0"/>
              <w:keepLines w:val="0"/>
              <w:pageBreakBefore w:val="0"/>
              <w:widowControl w:val="0"/>
              <w:kinsoku w:val="0"/>
              <w:wordWrap/>
              <w:overflowPunct/>
              <w:topLinePunct w:val="0"/>
              <w:autoSpaceDE w:val="0"/>
              <w:autoSpaceDN w:val="0"/>
              <w:bidi w:val="0"/>
              <w:adjustRightInd w:val="0"/>
              <w:snapToGrid w:val="0"/>
              <w:spacing w:before="62" w:line="217" w:lineRule="auto"/>
              <w:ind w:left="140" w:right="140"/>
              <w:jc w:val="center"/>
              <w:textAlignment w:val="baseline"/>
              <w:rPr>
                <w:rFonts w:hint="default" w:ascii="Times New Roman" w:hAnsi="Times New Roman" w:eastAsia="方正黑体_GBK" w:cs="Times New Roman"/>
                <w:snapToGrid w:val="0"/>
                <w:color w:val="000000"/>
                <w:spacing w:val="-4"/>
                <w:sz w:val="20"/>
                <w:szCs w:val="20"/>
                <w:lang w:eastAsia="en-US"/>
              </w:rPr>
            </w:pPr>
            <w:r>
              <w:rPr>
                <w:rFonts w:hint="default" w:ascii="Times New Roman" w:hAnsi="Times New Roman" w:eastAsia="方正黑体_GBK" w:cs="Times New Roman"/>
                <w:snapToGrid w:val="0"/>
                <w:color w:val="000000"/>
                <w:spacing w:val="-4"/>
                <w:sz w:val="20"/>
                <w:szCs w:val="20"/>
                <w:lang w:eastAsia="en-US"/>
              </w:rPr>
              <w:t>自评得分</w:t>
            </w:r>
          </w:p>
        </w:tc>
      </w:tr>
      <w:tr w14:paraId="47CF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restart"/>
            <w:noWrap/>
            <w:vAlign w:val="center"/>
          </w:tcPr>
          <w:p w14:paraId="43D3736D">
            <w:pPr>
              <w:keepNext w:val="0"/>
              <w:keepLines w:val="0"/>
              <w:pageBreakBefore w:val="0"/>
              <w:widowControl w:val="0"/>
              <w:wordWrap/>
              <w:overflowPunct/>
              <w:topLinePunct w:val="0"/>
              <w:bidi w:val="0"/>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bidi="ar"/>
              </w:rPr>
              <w:t>1</w:t>
            </w:r>
          </w:p>
        </w:tc>
        <w:tc>
          <w:tcPr>
            <w:tcW w:w="765" w:type="dxa"/>
            <w:vMerge w:val="restart"/>
            <w:noWrap/>
            <w:vAlign w:val="center"/>
          </w:tcPr>
          <w:p w14:paraId="05DC254B">
            <w:pPr>
              <w:keepNext w:val="0"/>
              <w:keepLines w:val="0"/>
              <w:pageBreakBefore w:val="0"/>
              <w:widowControl w:val="0"/>
              <w:kinsoku w:val="0"/>
              <w:wordWrap/>
              <w:overflowPunct/>
              <w:topLinePunct w:val="0"/>
              <w:autoSpaceDE w:val="0"/>
              <w:autoSpaceDN w:val="0"/>
              <w:bidi w:val="0"/>
              <w:adjustRightInd w:val="0"/>
              <w:snapToGrid w:val="0"/>
              <w:spacing w:before="83" w:line="240" w:lineRule="exact"/>
              <w:jc w:val="center"/>
              <w:textAlignment w:val="baseline"/>
              <w:rPr>
                <w:rFonts w:hint="default" w:ascii="Times New Roman" w:hAnsi="Times New Roman" w:eastAsia="方正仿宋_GBK" w:cs="Times New Roman"/>
                <w:snapToGrid w:val="0"/>
                <w:color w:val="000000"/>
                <w:spacing w:val="-2"/>
                <w:sz w:val="20"/>
                <w:szCs w:val="20"/>
                <w:lang w:eastAsia="en-US"/>
              </w:rPr>
            </w:pPr>
          </w:p>
          <w:p w14:paraId="0DD87311">
            <w:pPr>
              <w:keepNext w:val="0"/>
              <w:keepLines w:val="0"/>
              <w:pageBreakBefore w:val="0"/>
              <w:widowControl w:val="0"/>
              <w:kinsoku w:val="0"/>
              <w:wordWrap/>
              <w:overflowPunct/>
              <w:topLinePunct w:val="0"/>
              <w:autoSpaceDE w:val="0"/>
              <w:autoSpaceDN w:val="0"/>
              <w:bidi w:val="0"/>
              <w:adjustRightInd w:val="0"/>
              <w:snapToGrid w:val="0"/>
              <w:spacing w:before="83" w:line="240" w:lineRule="exact"/>
              <w:jc w:val="center"/>
              <w:textAlignment w:val="baseline"/>
              <w:rPr>
                <w:rFonts w:hint="default" w:ascii="Times New Roman" w:hAnsi="Times New Roman" w:eastAsia="方正仿宋_GBK" w:cs="Times New Roman"/>
                <w:snapToGrid w:val="0"/>
                <w:color w:val="000000"/>
                <w:spacing w:val="-2"/>
                <w:sz w:val="20"/>
                <w:szCs w:val="20"/>
                <w:lang w:eastAsia="en-US"/>
              </w:rPr>
            </w:pPr>
          </w:p>
          <w:p w14:paraId="79D0F0F5">
            <w:pPr>
              <w:keepNext w:val="0"/>
              <w:keepLines w:val="0"/>
              <w:pageBreakBefore w:val="0"/>
              <w:widowControl w:val="0"/>
              <w:kinsoku w:val="0"/>
              <w:wordWrap/>
              <w:overflowPunct/>
              <w:topLinePunct w:val="0"/>
              <w:autoSpaceDE w:val="0"/>
              <w:autoSpaceDN w:val="0"/>
              <w:bidi w:val="0"/>
              <w:adjustRightInd w:val="0"/>
              <w:snapToGrid w:val="0"/>
              <w:spacing w:before="83" w:line="240" w:lineRule="exact"/>
              <w:jc w:val="center"/>
              <w:textAlignment w:val="baseline"/>
              <w:rPr>
                <w:rFonts w:hint="default" w:ascii="Times New Roman" w:hAnsi="Times New Roman" w:eastAsia="方正仿宋_GBK" w:cs="Times New Roman"/>
                <w:snapToGrid w:val="0"/>
                <w:color w:val="000000"/>
                <w:spacing w:val="-2"/>
                <w:sz w:val="20"/>
                <w:szCs w:val="20"/>
                <w:lang w:eastAsia="en-US"/>
              </w:rPr>
            </w:pPr>
          </w:p>
          <w:p w14:paraId="0996E2B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2024年非寄宿制困难学生生活补助专项经费</w:t>
            </w:r>
          </w:p>
          <w:p w14:paraId="097119DF">
            <w:pPr>
              <w:keepNext w:val="0"/>
              <w:keepLines w:val="0"/>
              <w:pageBreakBefore w:val="0"/>
              <w:widowControl w:val="0"/>
              <w:kinsoku w:val="0"/>
              <w:wordWrap/>
              <w:overflowPunct/>
              <w:topLinePunct w:val="0"/>
              <w:autoSpaceDE w:val="0"/>
              <w:autoSpaceDN w:val="0"/>
              <w:bidi w:val="0"/>
              <w:adjustRightInd w:val="0"/>
              <w:snapToGrid w:val="0"/>
              <w:spacing w:before="83" w:line="240" w:lineRule="exact"/>
              <w:jc w:val="center"/>
              <w:textAlignment w:val="baseline"/>
              <w:rPr>
                <w:rFonts w:hint="default" w:ascii="Times New Roman" w:hAnsi="Times New Roman" w:eastAsia="方正仿宋_GBK" w:cs="Times New Roman"/>
                <w:snapToGrid w:val="0"/>
                <w:color w:val="000000"/>
                <w:spacing w:val="-2"/>
                <w:sz w:val="20"/>
                <w:szCs w:val="20"/>
                <w:lang w:eastAsia="en-US"/>
              </w:rPr>
            </w:pPr>
          </w:p>
        </w:tc>
        <w:tc>
          <w:tcPr>
            <w:tcW w:w="1232" w:type="dxa"/>
            <w:noWrap/>
            <w:vAlign w:val="center"/>
          </w:tcPr>
          <w:p w14:paraId="4A5224F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义务教育阶段家庭经济困难学生生活补助受益人数</w:t>
            </w:r>
          </w:p>
        </w:tc>
        <w:tc>
          <w:tcPr>
            <w:tcW w:w="765" w:type="dxa"/>
            <w:noWrap/>
            <w:vAlign w:val="center"/>
          </w:tcPr>
          <w:p w14:paraId="2947B3B4">
            <w:pPr>
              <w:keepNext w:val="0"/>
              <w:keepLines w:val="0"/>
              <w:pageBreakBefore w:val="0"/>
              <w:widowControl w:val="0"/>
              <w:wordWrap/>
              <w:overflowPunct/>
              <w:topLinePunct w:val="0"/>
              <w:bidi w:val="0"/>
              <w:spacing w:line="240" w:lineRule="exact"/>
              <w:ind w:firstLine="200" w:firstLineChars="10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1080" w:type="dxa"/>
            <w:noWrap/>
            <w:vAlign w:val="center"/>
          </w:tcPr>
          <w:p w14:paraId="106469B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17</w:t>
            </w:r>
          </w:p>
        </w:tc>
        <w:tc>
          <w:tcPr>
            <w:tcW w:w="840" w:type="dxa"/>
            <w:noWrap/>
            <w:vAlign w:val="center"/>
          </w:tcPr>
          <w:p w14:paraId="2ADF44BC">
            <w:pPr>
              <w:keepNext w:val="0"/>
              <w:keepLines w:val="0"/>
              <w:pageBreakBefore w:val="0"/>
              <w:widowControl w:val="0"/>
              <w:wordWrap/>
              <w:overflowPunct/>
              <w:topLinePunct w:val="0"/>
              <w:bidi w:val="0"/>
              <w:spacing w:line="240" w:lineRule="exact"/>
              <w:ind w:firstLine="200" w:firstLineChars="10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人</w:t>
            </w:r>
          </w:p>
        </w:tc>
        <w:tc>
          <w:tcPr>
            <w:tcW w:w="810" w:type="dxa"/>
            <w:noWrap/>
            <w:vAlign w:val="center"/>
          </w:tcPr>
          <w:p w14:paraId="648B6EE9">
            <w:pPr>
              <w:keepNext w:val="0"/>
              <w:keepLines w:val="0"/>
              <w:pageBreakBefore w:val="0"/>
              <w:widowControl w:val="0"/>
              <w:wordWrap/>
              <w:overflowPunct/>
              <w:topLinePunct w:val="0"/>
              <w:bidi w:val="0"/>
              <w:spacing w:line="240" w:lineRule="exact"/>
              <w:ind w:firstLine="200" w:firstLineChars="10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1020" w:type="dxa"/>
            <w:noWrap/>
            <w:vAlign w:val="center"/>
          </w:tcPr>
          <w:p w14:paraId="7F3B742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17</w:t>
            </w:r>
          </w:p>
        </w:tc>
        <w:tc>
          <w:tcPr>
            <w:tcW w:w="840" w:type="dxa"/>
            <w:noWrap/>
            <w:vAlign w:val="center"/>
          </w:tcPr>
          <w:p w14:paraId="1DD4987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330" w:type="dxa"/>
            <w:noWrap/>
            <w:vAlign w:val="center"/>
          </w:tcPr>
          <w:p w14:paraId="345F1783">
            <w:pPr>
              <w:keepNext w:val="0"/>
              <w:keepLines w:val="0"/>
              <w:pageBreakBefore w:val="0"/>
              <w:widowControl w:val="0"/>
              <w:kinsoku w:val="0"/>
              <w:wordWrap/>
              <w:overflowPunct/>
              <w:topLinePunct w:val="0"/>
              <w:autoSpaceDE w:val="0"/>
              <w:autoSpaceDN w:val="0"/>
              <w:bidi w:val="0"/>
              <w:adjustRightInd w:val="0"/>
              <w:snapToGrid w:val="0"/>
              <w:spacing w:before="83" w:line="240" w:lineRule="exact"/>
              <w:jc w:val="center"/>
              <w:textAlignment w:val="baseline"/>
              <w:rPr>
                <w:rFonts w:hint="default" w:ascii="Times New Roman" w:hAnsi="Times New Roman" w:eastAsia="方正仿宋_GBK" w:cs="Times New Roman"/>
                <w:snapToGrid w:val="0"/>
                <w:color w:val="000000"/>
                <w:spacing w:val="-2"/>
                <w:sz w:val="20"/>
                <w:szCs w:val="20"/>
                <w:lang w:eastAsia="en-US"/>
              </w:rPr>
            </w:pPr>
          </w:p>
        </w:tc>
        <w:tc>
          <w:tcPr>
            <w:tcW w:w="928" w:type="dxa"/>
            <w:vMerge w:val="restart"/>
            <w:noWrap/>
            <w:vAlign w:val="center"/>
          </w:tcPr>
          <w:p w14:paraId="58B668F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r>
      <w:tr w14:paraId="6EDD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noWrap/>
            <w:vAlign w:val="center"/>
          </w:tcPr>
          <w:p w14:paraId="1803B98A">
            <w:pPr>
              <w:keepNext w:val="0"/>
              <w:keepLines w:val="0"/>
              <w:pageBreakBefore w:val="0"/>
              <w:widowControl w:val="0"/>
              <w:wordWrap/>
              <w:overflowPunct/>
              <w:topLinePunct w:val="0"/>
              <w:bidi w:val="0"/>
              <w:spacing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65" w:type="dxa"/>
            <w:vMerge w:val="continue"/>
            <w:noWrap/>
            <w:vAlign w:val="center"/>
          </w:tcPr>
          <w:p w14:paraId="700F525C">
            <w:pPr>
              <w:keepNext w:val="0"/>
              <w:keepLines w:val="0"/>
              <w:pageBreakBefore w:val="0"/>
              <w:widowControl w:val="0"/>
              <w:kinsoku w:val="0"/>
              <w:wordWrap/>
              <w:overflowPunct/>
              <w:topLinePunct w:val="0"/>
              <w:autoSpaceDE w:val="0"/>
              <w:autoSpaceDN w:val="0"/>
              <w:bidi w:val="0"/>
              <w:adjustRightInd w:val="0"/>
              <w:snapToGrid w:val="0"/>
              <w:spacing w:before="83" w:line="240" w:lineRule="exact"/>
              <w:ind w:left="140"/>
              <w:jc w:val="center"/>
              <w:textAlignment w:val="baseline"/>
              <w:rPr>
                <w:rFonts w:hint="default" w:ascii="Times New Roman" w:hAnsi="Times New Roman" w:eastAsia="方正仿宋_GBK" w:cs="Times New Roman"/>
                <w:snapToGrid w:val="0"/>
                <w:color w:val="000000"/>
                <w:spacing w:val="-2"/>
                <w:sz w:val="20"/>
                <w:szCs w:val="20"/>
                <w:lang w:eastAsia="en-US"/>
              </w:rPr>
            </w:pPr>
          </w:p>
        </w:tc>
        <w:tc>
          <w:tcPr>
            <w:tcW w:w="1232" w:type="dxa"/>
            <w:noWrap/>
            <w:vAlign w:val="center"/>
          </w:tcPr>
          <w:p w14:paraId="4789ADE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下达时间</w:t>
            </w:r>
          </w:p>
        </w:tc>
        <w:tc>
          <w:tcPr>
            <w:tcW w:w="765" w:type="dxa"/>
            <w:noWrap/>
            <w:vAlign w:val="center"/>
          </w:tcPr>
          <w:p w14:paraId="33CB882D">
            <w:pPr>
              <w:keepNext w:val="0"/>
              <w:keepLines w:val="0"/>
              <w:pageBreakBefore w:val="0"/>
              <w:widowControl w:val="0"/>
              <w:wordWrap/>
              <w:overflowPunct/>
              <w:topLinePunct w:val="0"/>
              <w:bidi w:val="0"/>
              <w:spacing w:line="240" w:lineRule="exact"/>
              <w:ind w:firstLine="200" w:firstLineChars="10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1080" w:type="dxa"/>
            <w:noWrap/>
            <w:vAlign w:val="center"/>
          </w:tcPr>
          <w:p w14:paraId="203ABA2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w:t>
            </w:r>
          </w:p>
        </w:tc>
        <w:tc>
          <w:tcPr>
            <w:tcW w:w="840" w:type="dxa"/>
            <w:noWrap/>
            <w:vAlign w:val="center"/>
          </w:tcPr>
          <w:p w14:paraId="6DDC70B8">
            <w:pPr>
              <w:keepNext w:val="0"/>
              <w:keepLines w:val="0"/>
              <w:pageBreakBefore w:val="0"/>
              <w:widowControl w:val="0"/>
              <w:wordWrap/>
              <w:overflowPunct/>
              <w:topLinePunct w:val="0"/>
              <w:bidi w:val="0"/>
              <w:spacing w:line="240" w:lineRule="exact"/>
              <w:ind w:firstLine="200" w:firstLineChars="10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年</w:t>
            </w:r>
          </w:p>
        </w:tc>
        <w:tc>
          <w:tcPr>
            <w:tcW w:w="810" w:type="dxa"/>
            <w:noWrap/>
            <w:vAlign w:val="center"/>
          </w:tcPr>
          <w:p w14:paraId="47D68AD0">
            <w:pPr>
              <w:keepNext w:val="0"/>
              <w:keepLines w:val="0"/>
              <w:pageBreakBefore w:val="0"/>
              <w:widowControl w:val="0"/>
              <w:wordWrap/>
              <w:overflowPunct/>
              <w:topLinePunct w:val="0"/>
              <w:bidi w:val="0"/>
              <w:spacing w:line="240" w:lineRule="exact"/>
              <w:ind w:firstLine="200" w:firstLineChars="10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1020" w:type="dxa"/>
            <w:noWrap/>
            <w:vAlign w:val="center"/>
          </w:tcPr>
          <w:p w14:paraId="6CA7E13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w:t>
            </w:r>
          </w:p>
        </w:tc>
        <w:tc>
          <w:tcPr>
            <w:tcW w:w="840" w:type="dxa"/>
            <w:noWrap/>
            <w:vAlign w:val="center"/>
          </w:tcPr>
          <w:p w14:paraId="3B6FB91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330" w:type="dxa"/>
            <w:noWrap/>
            <w:vAlign w:val="center"/>
          </w:tcPr>
          <w:p w14:paraId="50BB86DD">
            <w:pPr>
              <w:keepNext w:val="0"/>
              <w:keepLines w:val="0"/>
              <w:pageBreakBefore w:val="0"/>
              <w:widowControl w:val="0"/>
              <w:kinsoku w:val="0"/>
              <w:wordWrap/>
              <w:overflowPunct/>
              <w:topLinePunct w:val="0"/>
              <w:autoSpaceDE w:val="0"/>
              <w:autoSpaceDN w:val="0"/>
              <w:bidi w:val="0"/>
              <w:adjustRightInd w:val="0"/>
              <w:snapToGrid w:val="0"/>
              <w:spacing w:before="83" w:line="240" w:lineRule="exact"/>
              <w:jc w:val="center"/>
              <w:textAlignment w:val="baseline"/>
              <w:rPr>
                <w:rFonts w:hint="default" w:ascii="Times New Roman" w:hAnsi="Times New Roman" w:eastAsia="方正仿宋_GBK" w:cs="Times New Roman"/>
                <w:snapToGrid w:val="0"/>
                <w:color w:val="000000"/>
                <w:spacing w:val="-2"/>
                <w:sz w:val="20"/>
                <w:szCs w:val="20"/>
                <w:lang w:eastAsia="en-US"/>
              </w:rPr>
            </w:pPr>
          </w:p>
        </w:tc>
        <w:tc>
          <w:tcPr>
            <w:tcW w:w="928" w:type="dxa"/>
            <w:vMerge w:val="continue"/>
            <w:noWrap/>
            <w:vAlign w:val="center"/>
          </w:tcPr>
          <w:p w14:paraId="65C42CBD">
            <w:pPr>
              <w:keepNext w:val="0"/>
              <w:keepLines w:val="0"/>
              <w:pageBreakBefore w:val="0"/>
              <w:widowControl w:val="0"/>
              <w:wordWrap/>
              <w:overflowPunct/>
              <w:topLinePunct w:val="0"/>
              <w:bidi w:val="0"/>
              <w:spacing w:line="240" w:lineRule="exact"/>
              <w:ind w:firstLine="400" w:firstLineChars="200"/>
              <w:jc w:val="center"/>
              <w:rPr>
                <w:rFonts w:hint="default" w:ascii="Times New Roman" w:hAnsi="Times New Roman" w:eastAsia="方正仿宋_GBK" w:cs="Times New Roman"/>
                <w:color w:val="000000"/>
                <w:sz w:val="20"/>
                <w:szCs w:val="20"/>
              </w:rPr>
            </w:pPr>
          </w:p>
        </w:tc>
      </w:tr>
      <w:tr w14:paraId="228A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noWrap/>
            <w:vAlign w:val="center"/>
          </w:tcPr>
          <w:p w14:paraId="44848181">
            <w:pPr>
              <w:keepNext w:val="0"/>
              <w:keepLines w:val="0"/>
              <w:pageBreakBefore w:val="0"/>
              <w:widowControl w:val="0"/>
              <w:wordWrap/>
              <w:overflowPunct/>
              <w:topLinePunct w:val="0"/>
              <w:bidi w:val="0"/>
              <w:spacing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65" w:type="dxa"/>
            <w:vMerge w:val="continue"/>
            <w:noWrap/>
            <w:vAlign w:val="center"/>
          </w:tcPr>
          <w:p w14:paraId="6A78C481">
            <w:pPr>
              <w:keepNext w:val="0"/>
              <w:keepLines w:val="0"/>
              <w:pageBreakBefore w:val="0"/>
              <w:widowControl w:val="0"/>
              <w:kinsoku w:val="0"/>
              <w:wordWrap/>
              <w:overflowPunct/>
              <w:topLinePunct w:val="0"/>
              <w:autoSpaceDE w:val="0"/>
              <w:autoSpaceDN w:val="0"/>
              <w:bidi w:val="0"/>
              <w:adjustRightInd w:val="0"/>
              <w:snapToGrid w:val="0"/>
              <w:spacing w:before="83" w:line="240" w:lineRule="exact"/>
              <w:ind w:left="140"/>
              <w:jc w:val="center"/>
              <w:textAlignment w:val="baseline"/>
              <w:rPr>
                <w:rFonts w:hint="default" w:ascii="Times New Roman" w:hAnsi="Times New Roman" w:eastAsia="方正仿宋_GBK" w:cs="Times New Roman"/>
                <w:snapToGrid w:val="0"/>
                <w:color w:val="000000"/>
                <w:spacing w:val="-2"/>
                <w:sz w:val="20"/>
                <w:szCs w:val="20"/>
                <w:lang w:eastAsia="en-US"/>
              </w:rPr>
            </w:pPr>
          </w:p>
        </w:tc>
        <w:tc>
          <w:tcPr>
            <w:tcW w:w="1232" w:type="dxa"/>
            <w:noWrap/>
            <w:vAlign w:val="center"/>
          </w:tcPr>
          <w:p w14:paraId="7C8DB4B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下达标准</w:t>
            </w:r>
          </w:p>
        </w:tc>
        <w:tc>
          <w:tcPr>
            <w:tcW w:w="765" w:type="dxa"/>
            <w:noWrap/>
            <w:vAlign w:val="center"/>
          </w:tcPr>
          <w:p w14:paraId="2B357273">
            <w:pPr>
              <w:keepNext w:val="0"/>
              <w:keepLines w:val="0"/>
              <w:pageBreakBefore w:val="0"/>
              <w:widowControl w:val="0"/>
              <w:wordWrap/>
              <w:overflowPunct/>
              <w:topLinePunct w:val="0"/>
              <w:bidi w:val="0"/>
              <w:spacing w:line="240" w:lineRule="exact"/>
              <w:ind w:firstLine="200" w:firstLineChars="10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1080" w:type="dxa"/>
            <w:noWrap/>
            <w:vAlign w:val="center"/>
          </w:tcPr>
          <w:p w14:paraId="719BC3D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10700</w:t>
            </w:r>
          </w:p>
        </w:tc>
        <w:tc>
          <w:tcPr>
            <w:tcW w:w="840" w:type="dxa"/>
            <w:noWrap/>
            <w:vAlign w:val="center"/>
          </w:tcPr>
          <w:p w14:paraId="1A83D51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元</w:t>
            </w:r>
          </w:p>
        </w:tc>
        <w:tc>
          <w:tcPr>
            <w:tcW w:w="810" w:type="dxa"/>
            <w:noWrap/>
            <w:vAlign w:val="center"/>
          </w:tcPr>
          <w:p w14:paraId="3F65FC6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1020" w:type="dxa"/>
            <w:noWrap/>
            <w:vAlign w:val="center"/>
          </w:tcPr>
          <w:p w14:paraId="1CCFB35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10700</w:t>
            </w:r>
          </w:p>
        </w:tc>
        <w:tc>
          <w:tcPr>
            <w:tcW w:w="840" w:type="dxa"/>
            <w:noWrap/>
            <w:vAlign w:val="center"/>
          </w:tcPr>
          <w:p w14:paraId="787B436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330" w:type="dxa"/>
            <w:noWrap/>
            <w:vAlign w:val="center"/>
          </w:tcPr>
          <w:p w14:paraId="44596A01">
            <w:pPr>
              <w:keepNext w:val="0"/>
              <w:keepLines w:val="0"/>
              <w:pageBreakBefore w:val="0"/>
              <w:widowControl w:val="0"/>
              <w:kinsoku w:val="0"/>
              <w:wordWrap/>
              <w:overflowPunct/>
              <w:topLinePunct w:val="0"/>
              <w:autoSpaceDE w:val="0"/>
              <w:autoSpaceDN w:val="0"/>
              <w:bidi w:val="0"/>
              <w:adjustRightInd w:val="0"/>
              <w:snapToGrid w:val="0"/>
              <w:spacing w:before="83" w:line="240" w:lineRule="exact"/>
              <w:jc w:val="center"/>
              <w:textAlignment w:val="baseline"/>
              <w:rPr>
                <w:rFonts w:hint="default" w:ascii="Times New Roman" w:hAnsi="Times New Roman" w:eastAsia="方正仿宋_GBK" w:cs="Times New Roman"/>
                <w:snapToGrid w:val="0"/>
                <w:color w:val="000000"/>
                <w:spacing w:val="-2"/>
                <w:sz w:val="20"/>
                <w:szCs w:val="20"/>
                <w:lang w:eastAsia="en-US"/>
              </w:rPr>
            </w:pPr>
          </w:p>
        </w:tc>
        <w:tc>
          <w:tcPr>
            <w:tcW w:w="928" w:type="dxa"/>
            <w:vMerge w:val="continue"/>
            <w:noWrap/>
            <w:vAlign w:val="center"/>
          </w:tcPr>
          <w:p w14:paraId="003E732D">
            <w:pPr>
              <w:keepNext w:val="0"/>
              <w:keepLines w:val="0"/>
              <w:pageBreakBefore w:val="0"/>
              <w:widowControl w:val="0"/>
              <w:wordWrap/>
              <w:overflowPunct/>
              <w:topLinePunct w:val="0"/>
              <w:bidi w:val="0"/>
              <w:spacing w:line="240" w:lineRule="exact"/>
              <w:ind w:firstLine="400" w:firstLineChars="200"/>
              <w:jc w:val="center"/>
              <w:rPr>
                <w:rFonts w:hint="default" w:ascii="Times New Roman" w:hAnsi="Times New Roman" w:eastAsia="方正仿宋_GBK" w:cs="Times New Roman"/>
                <w:color w:val="000000"/>
                <w:sz w:val="20"/>
                <w:szCs w:val="20"/>
              </w:rPr>
            </w:pPr>
          </w:p>
        </w:tc>
      </w:tr>
      <w:tr w14:paraId="2826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noWrap/>
            <w:vAlign w:val="center"/>
          </w:tcPr>
          <w:p w14:paraId="13765E5B">
            <w:pPr>
              <w:keepNext w:val="0"/>
              <w:keepLines w:val="0"/>
              <w:pageBreakBefore w:val="0"/>
              <w:widowControl w:val="0"/>
              <w:wordWrap/>
              <w:overflowPunct/>
              <w:topLinePunct w:val="0"/>
              <w:bidi w:val="0"/>
              <w:spacing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65" w:type="dxa"/>
            <w:vMerge w:val="continue"/>
            <w:noWrap/>
            <w:vAlign w:val="center"/>
          </w:tcPr>
          <w:p w14:paraId="04F7DB06">
            <w:pPr>
              <w:keepNext w:val="0"/>
              <w:keepLines w:val="0"/>
              <w:pageBreakBefore w:val="0"/>
              <w:widowControl w:val="0"/>
              <w:kinsoku w:val="0"/>
              <w:wordWrap/>
              <w:overflowPunct/>
              <w:topLinePunct w:val="0"/>
              <w:autoSpaceDE w:val="0"/>
              <w:autoSpaceDN w:val="0"/>
              <w:bidi w:val="0"/>
              <w:adjustRightInd w:val="0"/>
              <w:snapToGrid w:val="0"/>
              <w:spacing w:before="83" w:line="240" w:lineRule="exact"/>
              <w:ind w:left="140"/>
              <w:jc w:val="center"/>
              <w:textAlignment w:val="baseline"/>
              <w:rPr>
                <w:rFonts w:hint="default" w:ascii="Times New Roman" w:hAnsi="Times New Roman" w:eastAsia="方正仿宋_GBK" w:cs="Times New Roman"/>
                <w:snapToGrid w:val="0"/>
                <w:color w:val="000000"/>
                <w:spacing w:val="-2"/>
                <w:sz w:val="20"/>
                <w:szCs w:val="20"/>
                <w:lang w:eastAsia="en-US"/>
              </w:rPr>
            </w:pPr>
          </w:p>
        </w:tc>
        <w:tc>
          <w:tcPr>
            <w:tcW w:w="1232" w:type="dxa"/>
            <w:noWrap/>
            <w:vAlign w:val="center"/>
          </w:tcPr>
          <w:p w14:paraId="12D4BDB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家庭经济困难学生应助尽助覆盖率</w:t>
            </w:r>
          </w:p>
        </w:tc>
        <w:tc>
          <w:tcPr>
            <w:tcW w:w="765" w:type="dxa"/>
            <w:noWrap/>
            <w:vAlign w:val="center"/>
          </w:tcPr>
          <w:p w14:paraId="7C307FB7">
            <w:pPr>
              <w:keepNext w:val="0"/>
              <w:keepLines w:val="0"/>
              <w:pageBreakBefore w:val="0"/>
              <w:widowControl w:val="0"/>
              <w:wordWrap/>
              <w:overflowPunct/>
              <w:topLinePunct w:val="0"/>
              <w:bidi w:val="0"/>
              <w:spacing w:line="240" w:lineRule="exact"/>
              <w:ind w:firstLine="200" w:firstLineChars="10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1080" w:type="dxa"/>
            <w:noWrap/>
            <w:vAlign w:val="center"/>
          </w:tcPr>
          <w:p w14:paraId="4B5741D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840" w:type="dxa"/>
            <w:noWrap/>
            <w:vAlign w:val="center"/>
          </w:tcPr>
          <w:p w14:paraId="62E149A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0" w:type="dxa"/>
            <w:noWrap/>
            <w:vAlign w:val="center"/>
          </w:tcPr>
          <w:p w14:paraId="79E01480">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1020" w:type="dxa"/>
            <w:noWrap/>
            <w:vAlign w:val="center"/>
          </w:tcPr>
          <w:p w14:paraId="3C03B1A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840" w:type="dxa"/>
            <w:noWrap/>
            <w:vAlign w:val="center"/>
          </w:tcPr>
          <w:p w14:paraId="15930E6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330" w:type="dxa"/>
            <w:noWrap/>
            <w:vAlign w:val="center"/>
          </w:tcPr>
          <w:p w14:paraId="13E70B0B">
            <w:pPr>
              <w:keepNext w:val="0"/>
              <w:keepLines w:val="0"/>
              <w:pageBreakBefore w:val="0"/>
              <w:widowControl w:val="0"/>
              <w:kinsoku w:val="0"/>
              <w:wordWrap/>
              <w:overflowPunct/>
              <w:topLinePunct w:val="0"/>
              <w:autoSpaceDE w:val="0"/>
              <w:autoSpaceDN w:val="0"/>
              <w:bidi w:val="0"/>
              <w:adjustRightInd w:val="0"/>
              <w:snapToGrid w:val="0"/>
              <w:spacing w:before="83" w:line="240" w:lineRule="exact"/>
              <w:jc w:val="center"/>
              <w:textAlignment w:val="baseline"/>
              <w:rPr>
                <w:rFonts w:hint="default" w:ascii="Times New Roman" w:hAnsi="Times New Roman" w:eastAsia="方正仿宋_GBK" w:cs="Times New Roman"/>
                <w:snapToGrid w:val="0"/>
                <w:color w:val="000000"/>
                <w:spacing w:val="-2"/>
                <w:sz w:val="20"/>
                <w:szCs w:val="20"/>
                <w:lang w:eastAsia="en-US"/>
              </w:rPr>
            </w:pPr>
          </w:p>
        </w:tc>
        <w:tc>
          <w:tcPr>
            <w:tcW w:w="928" w:type="dxa"/>
            <w:vMerge w:val="continue"/>
            <w:noWrap/>
            <w:vAlign w:val="center"/>
          </w:tcPr>
          <w:p w14:paraId="18F40586">
            <w:pPr>
              <w:keepNext w:val="0"/>
              <w:keepLines w:val="0"/>
              <w:pageBreakBefore w:val="0"/>
              <w:widowControl w:val="0"/>
              <w:wordWrap/>
              <w:overflowPunct/>
              <w:topLinePunct w:val="0"/>
              <w:bidi w:val="0"/>
              <w:spacing w:line="240" w:lineRule="exact"/>
              <w:ind w:firstLine="400" w:firstLineChars="200"/>
              <w:jc w:val="center"/>
              <w:rPr>
                <w:rFonts w:hint="default" w:ascii="Times New Roman" w:hAnsi="Times New Roman" w:eastAsia="方正仿宋_GBK" w:cs="Times New Roman"/>
                <w:color w:val="000000"/>
                <w:sz w:val="20"/>
                <w:szCs w:val="20"/>
              </w:rPr>
            </w:pPr>
          </w:p>
        </w:tc>
      </w:tr>
      <w:tr w14:paraId="61AF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noWrap/>
            <w:vAlign w:val="center"/>
          </w:tcPr>
          <w:p w14:paraId="07FA28B0">
            <w:pPr>
              <w:keepNext w:val="0"/>
              <w:keepLines w:val="0"/>
              <w:pageBreakBefore w:val="0"/>
              <w:widowControl w:val="0"/>
              <w:wordWrap/>
              <w:overflowPunct/>
              <w:topLinePunct w:val="0"/>
              <w:bidi w:val="0"/>
              <w:spacing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65" w:type="dxa"/>
            <w:vMerge w:val="continue"/>
            <w:noWrap/>
            <w:vAlign w:val="center"/>
          </w:tcPr>
          <w:p w14:paraId="3AFE7AB8">
            <w:pPr>
              <w:keepNext w:val="0"/>
              <w:keepLines w:val="0"/>
              <w:pageBreakBefore w:val="0"/>
              <w:widowControl w:val="0"/>
              <w:kinsoku w:val="0"/>
              <w:wordWrap/>
              <w:overflowPunct/>
              <w:topLinePunct w:val="0"/>
              <w:autoSpaceDE w:val="0"/>
              <w:autoSpaceDN w:val="0"/>
              <w:bidi w:val="0"/>
              <w:adjustRightInd w:val="0"/>
              <w:snapToGrid w:val="0"/>
              <w:spacing w:before="83" w:line="240" w:lineRule="exact"/>
              <w:ind w:left="140"/>
              <w:jc w:val="center"/>
              <w:textAlignment w:val="baseline"/>
              <w:rPr>
                <w:rFonts w:hint="default" w:ascii="Times New Roman" w:hAnsi="Times New Roman" w:eastAsia="方正仿宋_GBK" w:cs="Times New Roman"/>
                <w:snapToGrid w:val="0"/>
                <w:color w:val="000000"/>
                <w:spacing w:val="-2"/>
                <w:sz w:val="20"/>
                <w:szCs w:val="20"/>
                <w:lang w:eastAsia="en-US"/>
              </w:rPr>
            </w:pPr>
          </w:p>
        </w:tc>
        <w:tc>
          <w:tcPr>
            <w:tcW w:w="1232" w:type="dxa"/>
            <w:noWrap/>
            <w:vAlign w:val="center"/>
          </w:tcPr>
          <w:p w14:paraId="523FEDA1">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对社会产生的影响</w:t>
            </w:r>
          </w:p>
        </w:tc>
        <w:tc>
          <w:tcPr>
            <w:tcW w:w="765" w:type="dxa"/>
            <w:noWrap/>
            <w:vAlign w:val="center"/>
          </w:tcPr>
          <w:p w14:paraId="5A11E4C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定性</w:t>
            </w:r>
          </w:p>
        </w:tc>
        <w:tc>
          <w:tcPr>
            <w:tcW w:w="1080" w:type="dxa"/>
            <w:noWrap/>
            <w:vAlign w:val="center"/>
          </w:tcPr>
          <w:p w14:paraId="2E0F465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提高学生健康水平</w:t>
            </w:r>
          </w:p>
        </w:tc>
        <w:tc>
          <w:tcPr>
            <w:tcW w:w="840" w:type="dxa"/>
            <w:noWrap/>
            <w:vAlign w:val="center"/>
          </w:tcPr>
          <w:p w14:paraId="54AA6AE2">
            <w:pPr>
              <w:keepNext w:val="0"/>
              <w:keepLines w:val="0"/>
              <w:pageBreakBefore w:val="0"/>
              <w:widowControl w:val="0"/>
              <w:wordWrap/>
              <w:overflowPunct/>
              <w:topLinePunct w:val="0"/>
              <w:bidi w:val="0"/>
              <w:spacing w:line="240" w:lineRule="exact"/>
              <w:ind w:firstLine="200" w:firstLineChars="100"/>
              <w:jc w:val="center"/>
              <w:rPr>
                <w:rFonts w:hint="default" w:ascii="Times New Roman" w:hAnsi="Times New Roman" w:eastAsia="方正仿宋_GBK" w:cs="Times New Roman"/>
                <w:color w:val="000000"/>
                <w:sz w:val="20"/>
                <w:szCs w:val="20"/>
              </w:rPr>
            </w:pPr>
          </w:p>
        </w:tc>
        <w:tc>
          <w:tcPr>
            <w:tcW w:w="810" w:type="dxa"/>
            <w:noWrap/>
            <w:vAlign w:val="center"/>
          </w:tcPr>
          <w:p w14:paraId="4E32C78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1020" w:type="dxa"/>
            <w:noWrap/>
            <w:vAlign w:val="center"/>
          </w:tcPr>
          <w:p w14:paraId="4602088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p>
        </w:tc>
        <w:tc>
          <w:tcPr>
            <w:tcW w:w="840" w:type="dxa"/>
            <w:noWrap/>
            <w:vAlign w:val="center"/>
          </w:tcPr>
          <w:p w14:paraId="34830B4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330" w:type="dxa"/>
            <w:noWrap/>
            <w:vAlign w:val="center"/>
          </w:tcPr>
          <w:p w14:paraId="74A6104F">
            <w:pPr>
              <w:keepNext w:val="0"/>
              <w:keepLines w:val="0"/>
              <w:pageBreakBefore w:val="0"/>
              <w:widowControl w:val="0"/>
              <w:kinsoku w:val="0"/>
              <w:wordWrap/>
              <w:overflowPunct/>
              <w:topLinePunct w:val="0"/>
              <w:autoSpaceDE w:val="0"/>
              <w:autoSpaceDN w:val="0"/>
              <w:bidi w:val="0"/>
              <w:adjustRightInd w:val="0"/>
              <w:snapToGrid w:val="0"/>
              <w:spacing w:before="83" w:line="240" w:lineRule="exact"/>
              <w:jc w:val="center"/>
              <w:textAlignment w:val="baseline"/>
              <w:rPr>
                <w:rFonts w:hint="default" w:ascii="Times New Roman" w:hAnsi="Times New Roman" w:eastAsia="方正仿宋_GBK" w:cs="Times New Roman"/>
                <w:snapToGrid w:val="0"/>
                <w:color w:val="000000"/>
                <w:spacing w:val="-2"/>
                <w:sz w:val="20"/>
                <w:szCs w:val="20"/>
              </w:rPr>
            </w:pPr>
          </w:p>
        </w:tc>
        <w:tc>
          <w:tcPr>
            <w:tcW w:w="928" w:type="dxa"/>
            <w:vMerge w:val="continue"/>
            <w:noWrap/>
            <w:vAlign w:val="center"/>
          </w:tcPr>
          <w:p w14:paraId="20CCB52F">
            <w:pPr>
              <w:keepNext w:val="0"/>
              <w:keepLines w:val="0"/>
              <w:pageBreakBefore w:val="0"/>
              <w:widowControl w:val="0"/>
              <w:wordWrap/>
              <w:overflowPunct/>
              <w:topLinePunct w:val="0"/>
              <w:bidi w:val="0"/>
              <w:spacing w:line="240" w:lineRule="exact"/>
              <w:ind w:firstLine="400" w:firstLineChars="200"/>
              <w:jc w:val="center"/>
              <w:rPr>
                <w:rFonts w:hint="default" w:ascii="Times New Roman" w:hAnsi="Times New Roman" w:eastAsia="方正仿宋_GBK" w:cs="Times New Roman"/>
                <w:color w:val="000000"/>
                <w:sz w:val="20"/>
                <w:szCs w:val="20"/>
              </w:rPr>
            </w:pPr>
          </w:p>
        </w:tc>
      </w:tr>
      <w:tr w14:paraId="01EF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noWrap/>
            <w:vAlign w:val="center"/>
          </w:tcPr>
          <w:p w14:paraId="57CA1497">
            <w:pPr>
              <w:keepNext w:val="0"/>
              <w:keepLines w:val="0"/>
              <w:pageBreakBefore w:val="0"/>
              <w:widowControl w:val="0"/>
              <w:wordWrap/>
              <w:overflowPunct/>
              <w:topLinePunct w:val="0"/>
              <w:bidi w:val="0"/>
              <w:spacing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65" w:type="dxa"/>
            <w:vMerge w:val="continue"/>
            <w:noWrap/>
            <w:vAlign w:val="center"/>
          </w:tcPr>
          <w:p w14:paraId="622D9FB0">
            <w:pPr>
              <w:keepNext w:val="0"/>
              <w:keepLines w:val="0"/>
              <w:pageBreakBefore w:val="0"/>
              <w:widowControl w:val="0"/>
              <w:kinsoku w:val="0"/>
              <w:wordWrap/>
              <w:overflowPunct/>
              <w:topLinePunct w:val="0"/>
              <w:autoSpaceDE w:val="0"/>
              <w:autoSpaceDN w:val="0"/>
              <w:bidi w:val="0"/>
              <w:adjustRightInd w:val="0"/>
              <w:snapToGrid w:val="0"/>
              <w:spacing w:before="83" w:line="240" w:lineRule="exact"/>
              <w:ind w:left="140"/>
              <w:jc w:val="center"/>
              <w:textAlignment w:val="baseline"/>
              <w:rPr>
                <w:rFonts w:hint="default" w:ascii="Times New Roman" w:hAnsi="Times New Roman" w:eastAsia="方正仿宋_GBK" w:cs="Times New Roman"/>
                <w:snapToGrid w:val="0"/>
                <w:color w:val="000000"/>
                <w:spacing w:val="-2"/>
                <w:sz w:val="20"/>
                <w:szCs w:val="20"/>
                <w:lang w:eastAsia="en-US"/>
              </w:rPr>
            </w:pPr>
          </w:p>
        </w:tc>
        <w:tc>
          <w:tcPr>
            <w:tcW w:w="1232" w:type="dxa"/>
            <w:noWrap/>
            <w:vAlign w:val="center"/>
          </w:tcPr>
          <w:p w14:paraId="1446EC5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受助学生满意度</w:t>
            </w:r>
          </w:p>
        </w:tc>
        <w:tc>
          <w:tcPr>
            <w:tcW w:w="765" w:type="dxa"/>
            <w:noWrap/>
            <w:vAlign w:val="center"/>
          </w:tcPr>
          <w:p w14:paraId="53744772">
            <w:pPr>
              <w:keepNext w:val="0"/>
              <w:keepLines w:val="0"/>
              <w:pageBreakBefore w:val="0"/>
              <w:widowControl w:val="0"/>
              <w:wordWrap/>
              <w:overflowPunct/>
              <w:topLinePunct w:val="0"/>
              <w:bidi w:val="0"/>
              <w:spacing w:line="240" w:lineRule="exact"/>
              <w:ind w:firstLine="200" w:firstLineChars="10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1080" w:type="dxa"/>
            <w:noWrap/>
            <w:vAlign w:val="center"/>
          </w:tcPr>
          <w:p w14:paraId="3EC9AAB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95</w:t>
            </w:r>
          </w:p>
        </w:tc>
        <w:tc>
          <w:tcPr>
            <w:tcW w:w="840" w:type="dxa"/>
            <w:noWrap/>
            <w:vAlign w:val="center"/>
          </w:tcPr>
          <w:p w14:paraId="32898AF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0" w:type="dxa"/>
            <w:noWrap/>
            <w:vAlign w:val="center"/>
          </w:tcPr>
          <w:p w14:paraId="37C895D1">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1020" w:type="dxa"/>
            <w:noWrap/>
            <w:vAlign w:val="center"/>
          </w:tcPr>
          <w:p w14:paraId="5D1FA7A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95</w:t>
            </w:r>
          </w:p>
        </w:tc>
        <w:tc>
          <w:tcPr>
            <w:tcW w:w="840" w:type="dxa"/>
            <w:noWrap/>
            <w:vAlign w:val="center"/>
          </w:tcPr>
          <w:p w14:paraId="750E80D5">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330" w:type="dxa"/>
            <w:noWrap/>
            <w:vAlign w:val="center"/>
          </w:tcPr>
          <w:p w14:paraId="6033A966">
            <w:pPr>
              <w:keepNext w:val="0"/>
              <w:keepLines w:val="0"/>
              <w:pageBreakBefore w:val="0"/>
              <w:widowControl w:val="0"/>
              <w:kinsoku w:val="0"/>
              <w:wordWrap/>
              <w:overflowPunct/>
              <w:topLinePunct w:val="0"/>
              <w:autoSpaceDE w:val="0"/>
              <w:autoSpaceDN w:val="0"/>
              <w:bidi w:val="0"/>
              <w:adjustRightInd w:val="0"/>
              <w:snapToGrid w:val="0"/>
              <w:spacing w:before="83" w:line="240" w:lineRule="exact"/>
              <w:jc w:val="center"/>
              <w:textAlignment w:val="baseline"/>
              <w:rPr>
                <w:rFonts w:hint="default" w:ascii="Times New Roman" w:hAnsi="Times New Roman" w:eastAsia="方正仿宋_GBK" w:cs="Times New Roman"/>
                <w:snapToGrid w:val="0"/>
                <w:color w:val="000000"/>
                <w:spacing w:val="-2"/>
                <w:sz w:val="20"/>
                <w:szCs w:val="20"/>
              </w:rPr>
            </w:pPr>
          </w:p>
        </w:tc>
        <w:tc>
          <w:tcPr>
            <w:tcW w:w="928" w:type="dxa"/>
            <w:vMerge w:val="continue"/>
            <w:noWrap/>
            <w:vAlign w:val="center"/>
          </w:tcPr>
          <w:p w14:paraId="473DFE9E">
            <w:pPr>
              <w:keepNext w:val="0"/>
              <w:keepLines w:val="0"/>
              <w:pageBreakBefore w:val="0"/>
              <w:widowControl w:val="0"/>
              <w:wordWrap/>
              <w:overflowPunct/>
              <w:topLinePunct w:val="0"/>
              <w:bidi w:val="0"/>
              <w:spacing w:line="240" w:lineRule="exact"/>
              <w:ind w:firstLine="400" w:firstLineChars="200"/>
              <w:jc w:val="center"/>
              <w:rPr>
                <w:rFonts w:hint="default" w:ascii="Times New Roman" w:hAnsi="Times New Roman" w:eastAsia="方正仿宋_GBK" w:cs="Times New Roman"/>
                <w:color w:val="000000"/>
                <w:sz w:val="20"/>
                <w:szCs w:val="20"/>
              </w:rPr>
            </w:pPr>
          </w:p>
        </w:tc>
      </w:tr>
      <w:tr w14:paraId="0BBB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1" w:type="dxa"/>
            <w:vMerge w:val="continue"/>
            <w:noWrap/>
            <w:vAlign w:val="center"/>
          </w:tcPr>
          <w:p w14:paraId="23CC37C6">
            <w:pPr>
              <w:keepNext w:val="0"/>
              <w:keepLines w:val="0"/>
              <w:pageBreakBefore w:val="0"/>
              <w:widowControl w:val="0"/>
              <w:wordWrap/>
              <w:overflowPunct/>
              <w:topLinePunct w:val="0"/>
              <w:bidi w:val="0"/>
              <w:spacing w:line="240" w:lineRule="exact"/>
              <w:ind w:firstLine="400" w:firstLineChars="200"/>
              <w:jc w:val="center"/>
              <w:textAlignment w:val="center"/>
              <w:rPr>
                <w:rFonts w:hint="default" w:ascii="Times New Roman" w:hAnsi="Times New Roman" w:eastAsia="方正仿宋_GBK" w:cs="Times New Roman"/>
                <w:color w:val="000000"/>
                <w:sz w:val="20"/>
                <w:szCs w:val="20"/>
              </w:rPr>
            </w:pPr>
          </w:p>
        </w:tc>
        <w:tc>
          <w:tcPr>
            <w:tcW w:w="765" w:type="dxa"/>
            <w:vMerge w:val="continue"/>
            <w:noWrap/>
            <w:vAlign w:val="center"/>
          </w:tcPr>
          <w:p w14:paraId="320CDFF9">
            <w:pPr>
              <w:keepNext w:val="0"/>
              <w:keepLines w:val="0"/>
              <w:pageBreakBefore w:val="0"/>
              <w:widowControl w:val="0"/>
              <w:kinsoku w:val="0"/>
              <w:wordWrap/>
              <w:overflowPunct/>
              <w:topLinePunct w:val="0"/>
              <w:autoSpaceDE w:val="0"/>
              <w:autoSpaceDN w:val="0"/>
              <w:bidi w:val="0"/>
              <w:adjustRightInd w:val="0"/>
              <w:snapToGrid w:val="0"/>
              <w:spacing w:before="83" w:line="240" w:lineRule="exact"/>
              <w:ind w:left="140"/>
              <w:jc w:val="center"/>
              <w:textAlignment w:val="baseline"/>
              <w:rPr>
                <w:rFonts w:hint="default" w:ascii="Times New Roman" w:hAnsi="Times New Roman" w:eastAsia="方正仿宋_GBK" w:cs="Times New Roman"/>
                <w:snapToGrid w:val="0"/>
                <w:color w:val="000000"/>
                <w:spacing w:val="-2"/>
                <w:sz w:val="20"/>
                <w:szCs w:val="20"/>
                <w:lang w:eastAsia="en-US"/>
              </w:rPr>
            </w:pPr>
          </w:p>
        </w:tc>
        <w:tc>
          <w:tcPr>
            <w:tcW w:w="1232" w:type="dxa"/>
            <w:noWrap/>
            <w:vAlign w:val="center"/>
          </w:tcPr>
          <w:p w14:paraId="61EE735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执行率</w:t>
            </w:r>
          </w:p>
        </w:tc>
        <w:tc>
          <w:tcPr>
            <w:tcW w:w="765" w:type="dxa"/>
            <w:noWrap/>
            <w:vAlign w:val="center"/>
          </w:tcPr>
          <w:p w14:paraId="4C2AD0B4">
            <w:pPr>
              <w:keepNext w:val="0"/>
              <w:keepLines w:val="0"/>
              <w:pageBreakBefore w:val="0"/>
              <w:widowControl w:val="0"/>
              <w:wordWrap/>
              <w:overflowPunct/>
              <w:topLinePunct w:val="0"/>
              <w:bidi w:val="0"/>
              <w:spacing w:line="240" w:lineRule="exact"/>
              <w:ind w:firstLine="200" w:firstLineChars="10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w:t>
            </w:r>
          </w:p>
        </w:tc>
        <w:tc>
          <w:tcPr>
            <w:tcW w:w="1080" w:type="dxa"/>
            <w:noWrap/>
            <w:vAlign w:val="center"/>
          </w:tcPr>
          <w:p w14:paraId="07C7EF4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100</w:t>
            </w:r>
          </w:p>
        </w:tc>
        <w:tc>
          <w:tcPr>
            <w:tcW w:w="840" w:type="dxa"/>
            <w:noWrap/>
            <w:vAlign w:val="center"/>
          </w:tcPr>
          <w:p w14:paraId="2B61E15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w:t>
            </w:r>
          </w:p>
        </w:tc>
        <w:tc>
          <w:tcPr>
            <w:tcW w:w="810" w:type="dxa"/>
            <w:noWrap/>
            <w:vAlign w:val="center"/>
          </w:tcPr>
          <w:p w14:paraId="7210249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10</w:t>
            </w:r>
          </w:p>
        </w:tc>
        <w:tc>
          <w:tcPr>
            <w:tcW w:w="1020" w:type="dxa"/>
            <w:noWrap/>
            <w:vAlign w:val="center"/>
          </w:tcPr>
          <w:p w14:paraId="0BBA714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100</w:t>
            </w:r>
          </w:p>
        </w:tc>
        <w:tc>
          <w:tcPr>
            <w:tcW w:w="840" w:type="dxa"/>
            <w:noWrap/>
            <w:vAlign w:val="center"/>
          </w:tcPr>
          <w:p w14:paraId="6938AE1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10</w:t>
            </w:r>
          </w:p>
        </w:tc>
        <w:tc>
          <w:tcPr>
            <w:tcW w:w="330" w:type="dxa"/>
            <w:noWrap/>
            <w:vAlign w:val="center"/>
          </w:tcPr>
          <w:p w14:paraId="4250E296">
            <w:pPr>
              <w:keepNext w:val="0"/>
              <w:keepLines w:val="0"/>
              <w:pageBreakBefore w:val="0"/>
              <w:widowControl w:val="0"/>
              <w:kinsoku w:val="0"/>
              <w:wordWrap/>
              <w:overflowPunct/>
              <w:topLinePunct w:val="0"/>
              <w:autoSpaceDE w:val="0"/>
              <w:autoSpaceDN w:val="0"/>
              <w:bidi w:val="0"/>
              <w:adjustRightInd w:val="0"/>
              <w:snapToGrid w:val="0"/>
              <w:spacing w:before="83" w:line="240" w:lineRule="exact"/>
              <w:jc w:val="center"/>
              <w:textAlignment w:val="baseline"/>
              <w:rPr>
                <w:rFonts w:hint="default" w:ascii="Times New Roman" w:hAnsi="Times New Roman" w:eastAsia="方正仿宋_GBK" w:cs="Times New Roman"/>
                <w:snapToGrid w:val="0"/>
                <w:color w:val="000000"/>
                <w:spacing w:val="-2"/>
                <w:sz w:val="20"/>
                <w:szCs w:val="20"/>
              </w:rPr>
            </w:pPr>
          </w:p>
        </w:tc>
        <w:tc>
          <w:tcPr>
            <w:tcW w:w="928" w:type="dxa"/>
            <w:noWrap/>
            <w:vAlign w:val="center"/>
          </w:tcPr>
          <w:p w14:paraId="4DDF8831">
            <w:pPr>
              <w:keepNext w:val="0"/>
              <w:keepLines w:val="0"/>
              <w:pageBreakBefore w:val="0"/>
              <w:widowControl w:val="0"/>
              <w:wordWrap/>
              <w:overflowPunct/>
              <w:topLinePunct w:val="0"/>
              <w:bidi w:val="0"/>
              <w:spacing w:line="240" w:lineRule="exact"/>
              <w:ind w:firstLine="400" w:firstLineChars="200"/>
              <w:jc w:val="center"/>
              <w:rPr>
                <w:rFonts w:hint="default" w:ascii="Times New Roman" w:hAnsi="Times New Roman" w:eastAsia="方正仿宋_GBK" w:cs="Times New Roman"/>
                <w:color w:val="000000"/>
                <w:sz w:val="20"/>
                <w:szCs w:val="20"/>
              </w:rPr>
            </w:pPr>
          </w:p>
        </w:tc>
      </w:tr>
    </w:tbl>
    <w:p w14:paraId="421D0640">
      <w:pPr>
        <w:keepNext w:val="0"/>
        <w:keepLines w:val="0"/>
        <w:pageBreakBefore w:val="0"/>
        <w:widowControl w:val="0"/>
        <w:tabs>
          <w:tab w:val="center" w:pos="4153"/>
          <w:tab w:val="left" w:pos="7275"/>
        </w:tabs>
        <w:wordWrap/>
        <w:overflowPunct/>
        <w:topLinePunct w:val="0"/>
        <w:bidi w:val="0"/>
        <w:spacing w:line="600" w:lineRule="exact"/>
        <w:ind w:firstLine="640" w:firstLineChars="200"/>
        <w:rPr>
          <w:rStyle w:val="12"/>
          <w:rFonts w:hint="default" w:ascii="Times New Roman" w:hAnsi="Times New Roman" w:eastAsia="楷体"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（二）单位重点绩效评价情况</w:t>
      </w:r>
    </w:p>
    <w:p w14:paraId="39501790">
      <w:pPr>
        <w:keepNext w:val="0"/>
        <w:keepLines w:val="0"/>
        <w:pageBreakBefore w:val="0"/>
        <w:widowControl w:val="0"/>
        <w:tabs>
          <w:tab w:val="center" w:pos="4153"/>
          <w:tab w:val="left" w:pos="7275"/>
        </w:tabs>
        <w:wordWrap/>
        <w:overflowPunct/>
        <w:topLinePunct w:val="0"/>
        <w:bidi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我单位2024年无重点绩效评价。</w:t>
      </w:r>
    </w:p>
    <w:p w14:paraId="733E2CE0">
      <w:pPr>
        <w:keepNext w:val="0"/>
        <w:keepLines w:val="0"/>
        <w:pageBreakBefore w:val="0"/>
        <w:widowControl w:val="0"/>
        <w:numPr>
          <w:ilvl w:val="0"/>
          <w:numId w:val="1"/>
        </w:numPr>
        <w:tabs>
          <w:tab w:val="center" w:pos="4153"/>
          <w:tab w:val="left" w:pos="7275"/>
        </w:tabs>
        <w:wordWrap/>
        <w:overflowPunct/>
        <w:topLinePunct w:val="0"/>
        <w:bidi w:val="0"/>
        <w:spacing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财政绩效评价情况</w:t>
      </w:r>
    </w:p>
    <w:p w14:paraId="1AFB1F74">
      <w:pPr>
        <w:keepNext w:val="0"/>
        <w:keepLines w:val="0"/>
        <w:pageBreakBefore w:val="0"/>
        <w:widowControl w:val="0"/>
        <w:tabs>
          <w:tab w:val="center" w:pos="4153"/>
          <w:tab w:val="left" w:pos="7275"/>
        </w:tabs>
        <w:wordWrap/>
        <w:overflowPunct/>
        <w:topLinePunct w:val="0"/>
        <w:bidi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财政重点绩效评价由区财政局统一公开。</w:t>
      </w:r>
    </w:p>
    <w:p w14:paraId="421A0236">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黑体_GBK" w:cs="Times New Roman"/>
          <w:bCs/>
          <w:sz w:val="32"/>
          <w:szCs w:val="32"/>
          <w:shd w:val="clear" w:color="auto" w:fill="FFFFFF"/>
        </w:rPr>
      </w:pPr>
      <w:r>
        <w:rPr>
          <w:rFonts w:hint="default" w:ascii="Times New Roman" w:hAnsi="Times New Roman" w:eastAsia="方正黑体_GBK" w:cs="Times New Roman"/>
          <w:bCs/>
          <w:sz w:val="32"/>
          <w:szCs w:val="32"/>
          <w:shd w:val="clear" w:color="auto" w:fill="FFFFFF"/>
        </w:rPr>
        <w:t>六、专业名词解释</w:t>
      </w:r>
    </w:p>
    <w:p w14:paraId="1F1130A3">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指本年度从本级财政单位取得的财政拨款，包括一般公共预算财政拨款和政府性基金预算财政拨款。</w:t>
      </w:r>
    </w:p>
    <w:p w14:paraId="022B8F75">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3CA05D8B">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E9CBE90">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65FF9F38">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6B4B58C2">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B9970B0">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3C5B6456">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2D24A81">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3CC4E138">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085C4D8F">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2BA7EA39">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（十二）</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9B48F5">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6396CBA">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14E5ACA4">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4996AE88">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04F81B07">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10B8B6FF">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shd w:val="clear" w:color="auto" w:fill="FFFFFF"/>
        </w:rPr>
        <w:t>七、决算公开联系方式及信息反馈渠道</w:t>
      </w:r>
    </w:p>
    <w:p w14:paraId="371C45DD">
      <w:pPr>
        <w:keepNext w:val="0"/>
        <w:keepLines w:val="0"/>
        <w:pageBreakBefore w:val="0"/>
        <w:widowControl w:val="0"/>
        <w:shd w:val="clear" w:color="auto" w:fill="FFFFFF"/>
        <w:wordWrap/>
        <w:overflowPunct/>
        <w:topLinePunct w:val="0"/>
        <w:bidi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sz w:val="32"/>
          <w:szCs w:val="32"/>
          <w:shd w:val="clear" w:color="auto" w:fill="FFFFFF"/>
        </w:rPr>
        <w:t>023-68181256</w:t>
      </w:r>
    </w:p>
    <w:p w14:paraId="71AC224A">
      <w:pPr>
        <w:keepNext w:val="0"/>
        <w:keepLines w:val="0"/>
        <w:pageBreakBefore w:val="0"/>
        <w:widowControl w:val="0"/>
        <w:wordWrap/>
        <w:overflowPunct/>
        <w:topLinePunct w:val="0"/>
        <w:autoSpaceDE w:val="0"/>
        <w:bidi w:val="0"/>
        <w:spacing w:line="600" w:lineRule="exact"/>
        <w:ind w:firstLine="640" w:firstLineChars="200"/>
        <w:jc w:val="both"/>
        <w:rPr>
          <w:rFonts w:hint="default" w:ascii="Times New Roman" w:hAnsi="Times New Roman" w:eastAsia="方正楷体_GBK" w:cs="Times New Roman"/>
          <w:bCs/>
          <w:sz w:val="32"/>
          <w:szCs w:val="32"/>
          <w:shd w:val="clear" w:color="auto" w:fill="FFFFFF"/>
        </w:rPr>
      </w:pPr>
    </w:p>
    <w:p w14:paraId="46956C02">
      <w:pPr>
        <w:keepNext w:val="0"/>
        <w:keepLines w:val="0"/>
        <w:pageBreakBefore w:val="0"/>
        <w:widowControl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32A8FB57">
      <w:pPr>
        <w:keepNext w:val="0"/>
        <w:keepLines w:val="0"/>
        <w:pageBreakBefore w:val="0"/>
        <w:widowControl w:val="0"/>
        <w:wordWrap/>
        <w:overflowPunct/>
        <w:topLinePunct w:val="0"/>
        <w:bidi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39540931">
      <w:pPr>
        <w:keepNext w:val="0"/>
        <w:keepLines w:val="0"/>
        <w:pageBreakBefore w:val="0"/>
        <w:widowControl w:val="0"/>
        <w:wordWrap/>
        <w:overflowPunct/>
        <w:topLinePunct w:val="0"/>
        <w:bidi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06C75180">
      <w:pPr>
        <w:keepNext w:val="0"/>
        <w:keepLines w:val="0"/>
        <w:pageBreakBefore w:val="0"/>
        <w:widowControl w:val="0"/>
        <w:wordWrap/>
        <w:overflowPunct/>
        <w:topLinePunct w:val="0"/>
        <w:bidi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35330F6E">
      <w:pPr>
        <w:keepNext w:val="0"/>
        <w:keepLines w:val="0"/>
        <w:pageBreakBefore w:val="0"/>
        <w:widowControl w:val="0"/>
        <w:wordWrap/>
        <w:overflowPunct/>
        <w:topLinePunct w:val="0"/>
        <w:bidi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cs="Times New Roman"/>
        </w:rPr>
        <w:t xml:space="preserve"> </w:t>
      </w:r>
      <w:r>
        <w:rPr>
          <w:rFonts w:hint="default" w:ascii="Times New Roman" w:hAnsi="Times New Roman" w:eastAsia="方正仿宋_GBK" w:cs="Times New Roman"/>
          <w:sz w:val="32"/>
          <w:szCs w:val="32"/>
          <w:shd w:val="clear" w:color="auto" w:fill="FFFFFF"/>
        </w:rPr>
        <w:t>一般公共预算财政拨款支出决算表</w:t>
      </w:r>
    </w:p>
    <w:p w14:paraId="524F4A6C">
      <w:pPr>
        <w:keepNext w:val="0"/>
        <w:keepLines w:val="0"/>
        <w:pageBreakBefore w:val="0"/>
        <w:widowControl w:val="0"/>
        <w:wordWrap/>
        <w:overflowPunct/>
        <w:topLinePunct w:val="0"/>
        <w:bidi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0F5FBA55">
      <w:pPr>
        <w:keepNext w:val="0"/>
        <w:keepLines w:val="0"/>
        <w:pageBreakBefore w:val="0"/>
        <w:widowControl w:val="0"/>
        <w:wordWrap/>
        <w:overflowPunct/>
        <w:topLinePunct w:val="0"/>
        <w:bidi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7.政府性基金预算财政拨款收入支出决算表</w:t>
      </w:r>
    </w:p>
    <w:p w14:paraId="6149C821">
      <w:pPr>
        <w:keepNext w:val="0"/>
        <w:keepLines w:val="0"/>
        <w:pageBreakBefore w:val="0"/>
        <w:widowControl w:val="0"/>
        <w:wordWrap/>
        <w:overflowPunct/>
        <w:topLinePunct w:val="0"/>
        <w:bidi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347A4FC7">
      <w:pPr>
        <w:keepNext w:val="0"/>
        <w:keepLines w:val="0"/>
        <w:pageBreakBefore w:val="0"/>
        <w:widowControl w:val="0"/>
        <w:wordWrap/>
        <w:overflowPunct/>
        <w:topLinePunct w:val="0"/>
        <w:bidi w:val="0"/>
        <w:spacing w:line="600" w:lineRule="exact"/>
        <w:ind w:firstLine="1600" w:firstLineChars="500"/>
        <w:jc w:val="both"/>
        <w:rPr>
          <w:rFonts w:hint="default" w:ascii="Times New Roman" w:hAnsi="Times New Roman" w:eastAsia="方正仿宋_GBK" w:cs="Times New Roman"/>
          <w:b/>
          <w:sz w:val="32"/>
          <w:szCs w:val="32"/>
          <w:shd w:val="clear" w:color="auto" w:fill="FFFF00"/>
        </w:rPr>
      </w:pPr>
      <w:r>
        <w:rPr>
          <w:rFonts w:hint="default" w:ascii="Times New Roman" w:hAnsi="Times New Roman" w:eastAsia="方正仿宋_GBK" w:cs="Times New Roman"/>
          <w:sz w:val="32"/>
          <w:szCs w:val="32"/>
          <w:shd w:val="clear" w:color="auto" w:fill="FFFFFF"/>
        </w:rPr>
        <w:t>9.机构运行信息表</w:t>
      </w:r>
    </w:p>
    <w:p w14:paraId="2680C8B8">
      <w:pPr>
        <w:pStyle w:val="13"/>
        <w:keepNext w:val="0"/>
        <w:keepLines w:val="0"/>
        <w:pageBreakBefore w:val="0"/>
        <w:widowControl w:val="0"/>
        <w:wordWrap/>
        <w:overflowPunct/>
        <w:topLinePunct w:val="0"/>
        <w:autoSpaceDE w:val="0"/>
        <w:bidi w:val="0"/>
        <w:spacing w:line="596" w:lineRule="exact"/>
        <w:ind w:firstLine="643"/>
        <w:jc w:val="both"/>
        <w:rPr>
          <w:rStyle w:val="12"/>
          <w:rFonts w:hint="default" w:ascii="Times New Roman" w:hAnsi="Times New Roman" w:eastAsia="方正仿宋_GBK" w:cs="Times New Roman"/>
          <w:sz w:val="32"/>
          <w:szCs w:val="32"/>
          <w:shd w:val="clear" w:color="auto" w:fill="FFFF00"/>
        </w:rPr>
      </w:pPr>
    </w:p>
    <w:p w14:paraId="32F007DA">
      <w:pPr>
        <w:keepNext w:val="0"/>
        <w:keepLines w:val="0"/>
        <w:pageBreakBefore w:val="0"/>
        <w:widowControl w:val="0"/>
        <w:wordWrap/>
        <w:overflowPunct/>
        <w:topLinePunct w:val="0"/>
        <w:bidi w:val="0"/>
        <w:rPr>
          <w:rFonts w:hint="default" w:ascii="Times New Roman" w:hAnsi="Times New Roman" w:cs="Times New Roman"/>
        </w:rPr>
        <w:sectPr>
          <w:footerReference r:id="rId3" w:type="default"/>
          <w:pgSz w:w="11915" w:h="16840"/>
          <w:pgMar w:top="2098" w:right="1531" w:bottom="1984" w:left="1531" w:header="851" w:footer="992" w:gutter="0"/>
          <w:pgNumType w:fmt="numberInDash"/>
          <w:cols w:space="0" w:num="1"/>
          <w:rtlGutter w:val="0"/>
          <w:docGrid w:type="lines" w:linePitch="327" w:charSpace="0"/>
        </w:sectPr>
      </w:pPr>
    </w:p>
    <w:p w14:paraId="53DBFC48">
      <w:pPr>
        <w:rPr>
          <w:rFonts w:hint="default" w:ascii="Times New Roman" w:hAnsi="Times New Roman" w:cs="Times New Roman"/>
          <w:sz w:val="21"/>
          <w:szCs w:val="21"/>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8488EE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A395974">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49C4926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C1BC3FD">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FFFBFEF">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FDFE279">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23EA55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16F8ECD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3DAD252">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重庆市九龙坡区华梁学校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6119613">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91C53B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2C1818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945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E6FAA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10247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40C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EEB9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35F3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CB14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E3D81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908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C5E4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735.41</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7C0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E410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00524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8B7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CF52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608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CB7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8C69A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89D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DCB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2281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670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80F11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F6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DAA3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B35D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6AD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F305A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1F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4FE4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092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4B38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630.51</w:t>
            </w:r>
            <w:r>
              <w:rPr>
                <w:rFonts w:hint="default" w:ascii="Times New Roman" w:hAnsi="Times New Roman" w:cs="Times New Roman"/>
                <w:color w:val="000000"/>
                <w:sz w:val="20"/>
              </w:rPr>
              <w:t xml:space="preserve"> </w:t>
            </w:r>
          </w:p>
        </w:tc>
      </w:tr>
      <w:tr w14:paraId="6B03DC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FC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0777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7970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8C4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4FA55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96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FB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A7DD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AA2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19F77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F2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2F4A58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823B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0D0A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50.48</w:t>
            </w:r>
            <w:r>
              <w:rPr>
                <w:rFonts w:hint="default" w:ascii="Times New Roman" w:hAnsi="Times New Roman" w:cs="Times New Roman"/>
                <w:color w:val="000000"/>
                <w:sz w:val="20"/>
              </w:rPr>
              <w:t xml:space="preserve"> </w:t>
            </w:r>
          </w:p>
        </w:tc>
      </w:tr>
      <w:tr w14:paraId="1A126F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8BBF">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A5D76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A80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0C9E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16.94</w:t>
            </w:r>
            <w:r>
              <w:rPr>
                <w:rFonts w:hint="default" w:ascii="Times New Roman" w:hAnsi="Times New Roman" w:cs="Times New Roman"/>
                <w:color w:val="000000"/>
                <w:sz w:val="20"/>
              </w:rPr>
              <w:t xml:space="preserve"> </w:t>
            </w:r>
          </w:p>
        </w:tc>
      </w:tr>
      <w:tr w14:paraId="72E8F5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A72D">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E1E64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0541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8CB8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7351C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DB5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024AE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FDD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5129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D1BB5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CD3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FCFD0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5C1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9014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C0832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2FD4">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CEC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7BB3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A0F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2D7C6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D1A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F436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7726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3117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A48EC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DC1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4AF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8D3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25E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253FD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4E0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4A22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785D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89EC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5AD3D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D70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DC6E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2F94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92DF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204235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893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72E9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7C7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C828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7430F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6D0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97FE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D853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0599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39.48</w:t>
            </w:r>
            <w:r>
              <w:rPr>
                <w:rFonts w:hint="default" w:ascii="Times New Roman" w:hAnsi="Times New Roman" w:cs="Times New Roman"/>
                <w:color w:val="000000"/>
                <w:sz w:val="20"/>
              </w:rPr>
              <w:t xml:space="preserve"> </w:t>
            </w:r>
          </w:p>
        </w:tc>
      </w:tr>
      <w:tr w14:paraId="12A4D1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EB8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0A9A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295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E62A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2F720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E07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C8B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DA2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9F0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71067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86F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AEDA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C97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EF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8DE7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F18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41B4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BC11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BE19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391FB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A855">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21A6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C710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3B7E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952CC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964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E313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21F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8A9D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A0807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C41D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C7AA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62AA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8A13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05C37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A6EA">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8FB0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737.41</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47EC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C2D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737.41</w:t>
            </w:r>
            <w:r>
              <w:rPr>
                <w:rFonts w:hint="default" w:ascii="Times New Roman" w:hAnsi="Times New Roman" w:cs="Times New Roman"/>
                <w:color w:val="000000"/>
                <w:sz w:val="20"/>
              </w:rPr>
              <w:t xml:space="preserve"> </w:t>
            </w:r>
          </w:p>
        </w:tc>
      </w:tr>
      <w:tr w14:paraId="0D560C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D8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E30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5A3B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CF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D513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88E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3427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C6A1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CC51CF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FBBD66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36B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B01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737.41</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E9086F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4FE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737.41</w:t>
            </w:r>
            <w:r>
              <w:rPr>
                <w:rFonts w:hint="default" w:ascii="Times New Roman" w:hAnsi="Times New Roman" w:cs="Times New Roman"/>
                <w:color w:val="000000"/>
                <w:sz w:val="20"/>
              </w:rPr>
              <w:t xml:space="preserve"> </w:t>
            </w:r>
          </w:p>
        </w:tc>
      </w:tr>
    </w:tbl>
    <w:p w14:paraId="48AAB62A">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F876F1">
      <w:pPr>
        <w:rPr>
          <w:rFonts w:hint="default" w:ascii="Times New Roman" w:hAnsi="Times New Roman" w:cs="Times New Roman"/>
          <w:sz w:val="21"/>
          <w:szCs w:val="21"/>
        </w:rPr>
      </w:pP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8BE6E70">
        <w:tblPrEx>
          <w:tblCellMar>
            <w:top w:w="0" w:type="dxa"/>
            <w:left w:w="0" w:type="dxa"/>
            <w:bottom w:w="0" w:type="dxa"/>
            <w:right w:w="0" w:type="dxa"/>
          </w:tblCellMar>
        </w:tblPrEx>
        <w:trPr>
          <w:trHeight w:val="23"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68DE688">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9E3787F">
        <w:tblPrEx>
          <w:tblCellMar>
            <w:top w:w="0" w:type="dxa"/>
            <w:left w:w="0" w:type="dxa"/>
            <w:bottom w:w="0" w:type="dxa"/>
            <w:right w:w="0" w:type="dxa"/>
          </w:tblCellMar>
        </w:tblPrEx>
        <w:trPr>
          <w:trHeight w:val="23"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7D9BCF6">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重庆市九龙坡区华梁学校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34C4ACF9">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EE6ED49">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4AC40BD">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0BB0E23">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0650CC9">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6CA3BBA">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F5C0A3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1ACAA15">
        <w:tblPrEx>
          <w:tblCellMar>
            <w:top w:w="0" w:type="dxa"/>
            <w:left w:w="0" w:type="dxa"/>
            <w:bottom w:w="0" w:type="dxa"/>
            <w:right w:w="0" w:type="dxa"/>
          </w:tblCellMar>
        </w:tblPrEx>
        <w:trPr>
          <w:trHeight w:val="23"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D42FFE0">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37CFBA8">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6236407">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0E9A53A">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385D9E5">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678B678">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B95EE19">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12201B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FBDC95">
        <w:tblPrEx>
          <w:tblCellMar>
            <w:top w:w="0" w:type="dxa"/>
            <w:left w:w="0" w:type="dxa"/>
            <w:bottom w:w="0" w:type="dxa"/>
            <w:right w:w="0" w:type="dxa"/>
          </w:tblCellMar>
        </w:tblPrEx>
        <w:trPr>
          <w:trHeight w:val="23"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F1D937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512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BD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C5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E9D49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943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8C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833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88C8158">
        <w:tblPrEx>
          <w:tblCellMar>
            <w:top w:w="0" w:type="dxa"/>
            <w:left w:w="0" w:type="dxa"/>
            <w:bottom w:w="0" w:type="dxa"/>
            <w:right w:w="0" w:type="dxa"/>
          </w:tblCellMar>
        </w:tblPrEx>
        <w:trPr>
          <w:trHeight w:val="312"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5E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BF3BF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1E8F2">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2D13E">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7F0EC">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8D1B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48A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0C36E">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F82F">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F450">
            <w:pPr>
              <w:jc w:val="center"/>
              <w:rPr>
                <w:rFonts w:hint="default" w:ascii="Times New Roman" w:hAnsi="Times New Roman" w:cs="Times New Roman"/>
                <w:b/>
                <w:color w:val="000000"/>
                <w:sz w:val="20"/>
                <w:szCs w:val="20"/>
              </w:rPr>
            </w:pPr>
          </w:p>
        </w:tc>
      </w:tr>
      <w:tr w14:paraId="0476C374">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926A">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1F1D9B">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D9CB">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AF016">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A6F10">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96B0">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AE06">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296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2E432">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DC947">
            <w:pPr>
              <w:jc w:val="center"/>
              <w:rPr>
                <w:rFonts w:hint="default" w:ascii="Times New Roman" w:hAnsi="Times New Roman" w:cs="Times New Roman"/>
                <w:b/>
                <w:color w:val="000000"/>
                <w:sz w:val="20"/>
                <w:szCs w:val="20"/>
              </w:rPr>
            </w:pPr>
          </w:p>
        </w:tc>
      </w:tr>
      <w:tr w14:paraId="00B51932">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8921">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9D9DA8">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EAE6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1A85">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DF8A">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D99B8">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3868F">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C5769">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116AF">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376D">
            <w:pPr>
              <w:jc w:val="center"/>
              <w:rPr>
                <w:rFonts w:hint="default" w:ascii="Times New Roman" w:hAnsi="Times New Roman" w:cs="Times New Roman"/>
                <w:b/>
                <w:color w:val="000000"/>
                <w:sz w:val="20"/>
                <w:szCs w:val="20"/>
              </w:rPr>
            </w:pPr>
          </w:p>
        </w:tc>
      </w:tr>
      <w:tr w14:paraId="2A556AB0">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B688">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5DCF32">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8DDCC">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0C59">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84EE">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3320B">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AFE42">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CC6C5">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306B5">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A051">
            <w:pPr>
              <w:jc w:val="center"/>
              <w:rPr>
                <w:rFonts w:hint="default" w:ascii="Times New Roman" w:hAnsi="Times New Roman" w:cs="Times New Roman"/>
                <w:b/>
                <w:color w:val="000000"/>
                <w:sz w:val="20"/>
                <w:szCs w:val="20"/>
              </w:rPr>
            </w:pPr>
          </w:p>
        </w:tc>
      </w:tr>
      <w:tr w14:paraId="2DED614F">
        <w:tblPrEx>
          <w:tblCellMar>
            <w:top w:w="0" w:type="dxa"/>
            <w:left w:w="0" w:type="dxa"/>
            <w:bottom w:w="0" w:type="dxa"/>
            <w:right w:w="0" w:type="dxa"/>
          </w:tblCellMar>
        </w:tblPrEx>
        <w:trPr>
          <w:trHeight w:val="23"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79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B63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737.41</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933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735.41</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3D8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790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2.00</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013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2.00</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B6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F30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3E3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CD10727">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1E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EFE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83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630.51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6F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628.51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60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80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87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D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D4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1D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F58D43C">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42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F4D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E6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630.51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8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628.51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3A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15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9E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2D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B1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40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9F9ED0">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FF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507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BB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38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78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F1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4E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3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09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4D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3F9C6E1">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950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7C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628.28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9B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628.28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F9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10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B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0D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0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C9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5CAFE4">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8C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87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45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A4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6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73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F5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4A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C4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0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08404A4">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A9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071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2C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F9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4E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E9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27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3C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52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0E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E3FC05D">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F3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392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76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B3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5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3F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CE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8D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71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B7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867915B">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62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95A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BF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B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25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E2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5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1A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D7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A0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C2BF9E">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F9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E3C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A6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38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48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07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EA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31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9A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62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7292B1">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52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8B7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F8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AD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27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CA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49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FE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1D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B0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23EDA15">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DF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51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93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BB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C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90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66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59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30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E2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77C78E8">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EF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9CE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4A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2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D1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D4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F4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5D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A8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74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83325F">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10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E74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39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7C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2E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7F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0E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E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2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C9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585861">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39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BFC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3A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BB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64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6F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A2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9A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A1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D7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56137D1">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DB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639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BA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8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A5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57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5E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AA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A6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AE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F951802">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EB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B07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3D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7E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0B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DA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B1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0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AA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41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503F14">
        <w:tblPrEx>
          <w:tblCellMar>
            <w:top w:w="0" w:type="dxa"/>
            <w:left w:w="0" w:type="dxa"/>
            <w:bottom w:w="0" w:type="dxa"/>
            <w:right w:w="0" w:type="dxa"/>
          </w:tblCellMar>
        </w:tblPrEx>
        <w:trPr>
          <w:trHeight w:val="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5B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811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10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1C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54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3F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9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D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CC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D9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3470533">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52042A6C">
        <w:tblPrEx>
          <w:tblCellMar>
            <w:top w:w="0" w:type="dxa"/>
            <w:left w:w="0" w:type="dxa"/>
            <w:bottom w:w="0" w:type="dxa"/>
            <w:right w:w="0" w:type="dxa"/>
          </w:tblCellMar>
        </w:tblPrEx>
        <w:trPr>
          <w:trHeight w:val="23"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50A586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49DD8C6">
        <w:tblPrEx>
          <w:tblCellMar>
            <w:top w:w="0" w:type="dxa"/>
            <w:left w:w="0" w:type="dxa"/>
            <w:bottom w:w="0" w:type="dxa"/>
            <w:right w:w="0" w:type="dxa"/>
          </w:tblCellMar>
        </w:tblPrEx>
        <w:trPr>
          <w:trHeight w:val="23"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71DBD72">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重庆市九龙坡区华梁学校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E774192">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F80D71E">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AD80F72">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9F01BDA">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B811E7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10A593F2">
        <w:tblPrEx>
          <w:tblCellMar>
            <w:top w:w="0" w:type="dxa"/>
            <w:left w:w="0" w:type="dxa"/>
            <w:bottom w:w="0" w:type="dxa"/>
            <w:right w:w="0" w:type="dxa"/>
          </w:tblCellMar>
        </w:tblPrEx>
        <w:trPr>
          <w:trHeight w:val="23"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AE4CFA4">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C3B6601">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BA7DE97">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47608EC">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329C625">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788A8A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070711">
        <w:tblPrEx>
          <w:tblCellMar>
            <w:top w:w="0" w:type="dxa"/>
            <w:left w:w="0" w:type="dxa"/>
            <w:bottom w:w="0" w:type="dxa"/>
            <w:right w:w="0" w:type="dxa"/>
          </w:tblCellMar>
        </w:tblPrEx>
        <w:trPr>
          <w:trHeight w:val="23"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D87DB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89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25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550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033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231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8A4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CA05B97">
        <w:tblPrEx>
          <w:tblCellMar>
            <w:top w:w="0" w:type="dxa"/>
            <w:left w:w="0" w:type="dxa"/>
            <w:bottom w:w="0" w:type="dxa"/>
            <w:right w:w="0" w:type="dxa"/>
          </w:tblCellMar>
        </w:tblPrEx>
        <w:trPr>
          <w:trHeight w:val="312"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122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E4EF4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4074E">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5CA0">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B007">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B8E9F">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981A2">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61649">
            <w:pPr>
              <w:jc w:val="center"/>
              <w:rPr>
                <w:rFonts w:hint="default" w:ascii="Times New Roman" w:hAnsi="Times New Roman" w:cs="Times New Roman"/>
                <w:b/>
                <w:color w:val="000000"/>
                <w:sz w:val="20"/>
                <w:szCs w:val="20"/>
              </w:rPr>
            </w:pPr>
          </w:p>
        </w:tc>
      </w:tr>
      <w:tr w14:paraId="7E07F6A5">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85F7">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91573B">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CD4D">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4E5B2">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8D0E9">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FA1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57BD1">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BCBE">
            <w:pPr>
              <w:jc w:val="center"/>
              <w:rPr>
                <w:rFonts w:hint="default" w:ascii="Times New Roman" w:hAnsi="Times New Roman" w:cs="Times New Roman"/>
                <w:b/>
                <w:color w:val="000000"/>
                <w:sz w:val="20"/>
                <w:szCs w:val="20"/>
              </w:rPr>
            </w:pPr>
          </w:p>
        </w:tc>
      </w:tr>
      <w:tr w14:paraId="5F16ADF7">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5D7A">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0C2269">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A8F1B">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D379">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D4AC">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8BD72">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79A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6EB8C">
            <w:pPr>
              <w:jc w:val="center"/>
              <w:rPr>
                <w:rFonts w:hint="default" w:ascii="Times New Roman" w:hAnsi="Times New Roman" w:cs="Times New Roman"/>
                <w:b/>
                <w:color w:val="000000"/>
                <w:sz w:val="20"/>
                <w:szCs w:val="20"/>
              </w:rPr>
            </w:pPr>
          </w:p>
        </w:tc>
      </w:tr>
      <w:tr w14:paraId="1F194FC5">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ECBD">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5FD227">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7565">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EC47">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68743">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9DCDF">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3776">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4F412">
            <w:pPr>
              <w:jc w:val="center"/>
              <w:rPr>
                <w:rFonts w:hint="default" w:ascii="Times New Roman" w:hAnsi="Times New Roman" w:cs="Times New Roman"/>
                <w:b/>
                <w:color w:val="000000"/>
                <w:sz w:val="20"/>
                <w:szCs w:val="20"/>
              </w:rPr>
            </w:pPr>
          </w:p>
        </w:tc>
      </w:tr>
      <w:tr w14:paraId="46A60DAA">
        <w:tblPrEx>
          <w:tblCellMar>
            <w:top w:w="0" w:type="dxa"/>
            <w:left w:w="0" w:type="dxa"/>
            <w:bottom w:w="0" w:type="dxa"/>
            <w:right w:w="0" w:type="dxa"/>
          </w:tblCellMar>
        </w:tblPrEx>
        <w:trPr>
          <w:trHeight w:val="23"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0F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AEB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737.41</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157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445.51</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419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291.91</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B1D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025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4AE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C497DA1">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A0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72C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F3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630.51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8A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338.60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A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291.91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0A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55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94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09E121A">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45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C0C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0C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630.51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3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338.60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45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291.91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F8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EB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8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937632">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FF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9F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36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6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98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BE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D8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73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E5ECCB6">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E1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399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F3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628.28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0C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338.60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E72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289.68</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E0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C5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FA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EBD34D6">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85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980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9E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D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F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F3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32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6C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EA9693">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95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BA5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D1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3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A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73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37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49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3B067D">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62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61B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59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C2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6B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BE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55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4C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252608">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BEC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384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05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A8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F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88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9B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8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56055A7">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4E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29D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15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E6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A0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DC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37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FD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B19772">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EF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96D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1D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5A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29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15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B1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38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902905">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D2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A1B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38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AA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1D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DA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D2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E18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59C7131">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38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1A7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A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06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4F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80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3B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2C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D581A12">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F5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68B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BF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4D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72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61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A6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37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37AD22">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FB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7B3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86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FD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2C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91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0D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4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41DA6AE">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6B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C05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CB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58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20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51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3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F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E097AC">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9C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A9D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F4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19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C3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A0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CC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D0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7851B4">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E1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AEE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85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2B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0E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EA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2E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B5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B4CF7DB">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1C113F3">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5E25B93">
      <w:pPr>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ACE928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BA2CA12">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E2C001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CFBBD96">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重庆市九龙坡区华梁学校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4DD59D4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A0FE3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46A454">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79B336B">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16AA77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D6BB10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D0D29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93207D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3E287C">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D5EE69">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C10317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DBD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7D2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36BC41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FB7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5A05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24E1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13E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94117F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BAF4F">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FD22">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C34B3">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0E9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941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625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4E0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2B98DD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CE3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2C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735.41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9C4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E9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EB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A4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ED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FC32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1F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E2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B9F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A2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DA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7A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18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48D8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59B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7F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A54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51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50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93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15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D2C0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FB3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969B5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62A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88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29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95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FF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ECE6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7B3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62D4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B09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42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628.51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E5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628.51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58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81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0B066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B1F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7ACD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EA6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78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E2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AC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57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8449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449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A06C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C1A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04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BB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71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0F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B058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2E4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D6BD5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EE5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51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50.48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F4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50.48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A3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F8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2443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B9B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7AAC9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C6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45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B3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92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A0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FB70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525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8E2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6CE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0A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F6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28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C3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4DF9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99A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D81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1FC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52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86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C9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AA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76B2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3D4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9B9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64F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95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99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32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FF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A98E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816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2CC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D3D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7E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5B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60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13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787F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C31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31C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791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4C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25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E6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91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2F74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1D5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768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076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93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3A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62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09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DE40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5BB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841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56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D1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EB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AB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41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1BC1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7F4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CAA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57A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4E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C1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31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51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8947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F20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E6C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D9E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75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6E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A4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43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7E3B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4CF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52B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248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26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5F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AA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97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4FA1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52D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8CE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CE3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61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F3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14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78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A5A8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6D0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353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465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B6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9C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AB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58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E261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DFA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BA5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328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11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B0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7B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79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2D749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65A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357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FF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2F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79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84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86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46DD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B36A4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1DD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295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E4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1F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9B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A6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6562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15BF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A35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36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84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6A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1D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AA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CA28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4D1D0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CC7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70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76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BE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87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C8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45F8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8980">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CF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735.41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4B13">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93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735.41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84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735.41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DB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5F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040A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6E8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DE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4C0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D4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97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3F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AF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0268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7E9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B6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C94ACF">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7F76B">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D5C50D">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DCDCF8">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AA2292">
            <w:pPr>
              <w:spacing w:line="200" w:lineRule="exact"/>
              <w:rPr>
                <w:rFonts w:hint="default" w:ascii="Times New Roman" w:hAnsi="Times New Roman" w:cs="Times New Roman"/>
                <w:color w:val="000000"/>
                <w:sz w:val="18"/>
                <w:szCs w:val="18"/>
              </w:rPr>
            </w:pPr>
          </w:p>
        </w:tc>
      </w:tr>
      <w:tr w14:paraId="0C4DD7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B0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15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17B1">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FA9B">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BFAA">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1D33">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FE79">
            <w:pPr>
              <w:spacing w:line="200" w:lineRule="exact"/>
              <w:jc w:val="right"/>
              <w:rPr>
                <w:rFonts w:hint="default" w:ascii="Times New Roman" w:hAnsi="Times New Roman" w:cs="Times New Roman"/>
                <w:color w:val="000000"/>
                <w:sz w:val="18"/>
                <w:szCs w:val="18"/>
              </w:rPr>
            </w:pPr>
          </w:p>
        </w:tc>
      </w:tr>
      <w:tr w14:paraId="7FB355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B30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F3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1795">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490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88A7">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55EA">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F958">
            <w:pPr>
              <w:spacing w:line="200" w:lineRule="exact"/>
              <w:jc w:val="right"/>
              <w:rPr>
                <w:rFonts w:hint="default" w:ascii="Times New Roman" w:hAnsi="Times New Roman" w:cs="Times New Roman"/>
                <w:color w:val="000000"/>
                <w:sz w:val="18"/>
                <w:szCs w:val="18"/>
              </w:rPr>
            </w:pPr>
          </w:p>
        </w:tc>
      </w:tr>
      <w:tr w14:paraId="42445D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DA0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C1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735.41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4C8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80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735.41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99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735.41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55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47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3100222F">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1B0B5016">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6C9A72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3FF58E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ECDA9AE">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重庆市九龙坡区华梁学校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6B1BC7D">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F489CC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B75FC3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53FAA90">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37AD1E4">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63A71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128DB6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08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98C2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FEBAD3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A4C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5988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1B4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57E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EB6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78B6CC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3F133">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6541A">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D7A71">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FAF29">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5829D">
            <w:pPr>
              <w:jc w:val="center"/>
              <w:rPr>
                <w:rFonts w:hint="default" w:ascii="Times New Roman" w:hAnsi="Times New Roman" w:cs="Times New Roman"/>
                <w:b/>
                <w:color w:val="000000"/>
                <w:sz w:val="20"/>
                <w:szCs w:val="20"/>
              </w:rPr>
            </w:pPr>
          </w:p>
        </w:tc>
      </w:tr>
      <w:tr w14:paraId="58CA41A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B6A4">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7A974">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7D22E">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C82BA">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BB3AE">
            <w:pPr>
              <w:jc w:val="center"/>
              <w:rPr>
                <w:rFonts w:hint="default" w:ascii="Times New Roman" w:hAnsi="Times New Roman" w:cs="Times New Roman"/>
                <w:b/>
                <w:color w:val="000000"/>
                <w:sz w:val="20"/>
                <w:szCs w:val="20"/>
              </w:rPr>
            </w:pPr>
          </w:p>
        </w:tc>
      </w:tr>
      <w:tr w14:paraId="35375D6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69D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5A4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735.41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C25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445.51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910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289.91</w:t>
            </w:r>
            <w:r>
              <w:rPr>
                <w:rFonts w:hint="default" w:ascii="Times New Roman" w:hAnsi="Times New Roman" w:cs="Times New Roman"/>
                <w:b/>
                <w:color w:val="000000"/>
                <w:sz w:val="20"/>
              </w:rPr>
              <w:t xml:space="preserve"> </w:t>
            </w:r>
          </w:p>
        </w:tc>
      </w:tr>
      <w:tr w14:paraId="6E9D0F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75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226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92C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628.51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DA2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338.60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F2E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289.91</w:t>
            </w:r>
            <w:r>
              <w:rPr>
                <w:rFonts w:hint="default" w:ascii="Times New Roman" w:hAnsi="Times New Roman" w:cs="Times New Roman"/>
                <w:b/>
                <w:color w:val="000000"/>
                <w:sz w:val="20"/>
              </w:rPr>
              <w:t xml:space="preserve"> </w:t>
            </w:r>
          </w:p>
        </w:tc>
      </w:tr>
      <w:tr w14:paraId="657566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BA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B07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5FD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628.51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4C5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338.60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0A5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289.91</w:t>
            </w:r>
            <w:r>
              <w:rPr>
                <w:rFonts w:hint="default" w:ascii="Times New Roman" w:hAnsi="Times New Roman" w:cs="Times New Roman"/>
                <w:b/>
                <w:color w:val="000000"/>
                <w:sz w:val="20"/>
              </w:rPr>
              <w:t xml:space="preserve"> </w:t>
            </w:r>
          </w:p>
        </w:tc>
      </w:tr>
      <w:tr w14:paraId="6DB109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15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61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70E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628.28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98F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338.60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994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289.68</w:t>
            </w:r>
            <w:r>
              <w:rPr>
                <w:rFonts w:hint="default" w:ascii="Times New Roman" w:hAnsi="Times New Roman" w:cs="Times New Roman"/>
                <w:color w:val="000000"/>
                <w:sz w:val="20"/>
              </w:rPr>
              <w:t xml:space="preserve"> </w:t>
            </w:r>
          </w:p>
        </w:tc>
      </w:tr>
      <w:tr w14:paraId="52439E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D7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C3C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868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E9E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3F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r>
      <w:tr w14:paraId="37762F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43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0A9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269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0CE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B96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B37F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69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F21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4B8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64B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50.48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413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76FB2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20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0D9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3A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33.65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B25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33.65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AA5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238B4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6E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B8F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B76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16.83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24A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16.83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FD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80CB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ED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BB7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4AC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F0F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C2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16C69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9C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B3B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20D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67F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D6B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A98F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C2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BF4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BD9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B4C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A31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8F0B2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3C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249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7CA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43E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C10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EF64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B2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A3D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9B7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7AA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554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D29C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46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E48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8B1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DDA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057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26CF3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17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CFE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15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30.19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D86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30.19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8B5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8DBEF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61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10E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9FC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0E0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83A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26B50F8">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CB5BB45">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6BCA9D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C869BC3">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384CFE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7DC086D">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重庆市九龙坡区华梁学校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15BE9F6D">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29BE758">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5C24E24">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0BC35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548BBAA8">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AB44364">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D006BAB">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227F98F">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D866550">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89031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282A65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235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098C6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1A880C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D791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7BC0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2983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EA56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9D99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03B03">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B60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8CD43">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D3BC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DAB28C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62177">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3BFD8">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A1A5B">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BCD91">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B1789">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F97AA">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0E528">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0D7D3">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2A3EC">
            <w:pPr>
              <w:spacing w:line="192" w:lineRule="exact"/>
              <w:jc w:val="center"/>
              <w:rPr>
                <w:rFonts w:hint="default" w:ascii="Times New Roman" w:hAnsi="Times New Roman" w:cs="Times New Roman"/>
                <w:b/>
                <w:color w:val="000000"/>
                <w:sz w:val="18"/>
                <w:szCs w:val="18"/>
              </w:rPr>
            </w:pPr>
          </w:p>
        </w:tc>
      </w:tr>
      <w:tr w14:paraId="304BC1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0FB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E66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0DE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340.18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58C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79F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77E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103.44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CB6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90E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6F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w:t>
            </w:r>
            <w:r>
              <w:rPr>
                <w:rFonts w:hint="default" w:ascii="Times New Roman" w:hAnsi="Times New Roman" w:cs="Times New Roman"/>
                <w:color w:val="000000"/>
                <w:sz w:val="18"/>
              </w:rPr>
              <w:t xml:space="preserve"> </w:t>
            </w:r>
          </w:p>
        </w:tc>
      </w:tr>
      <w:tr w14:paraId="20F8B6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F9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BF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30C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64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4A9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649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B4D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DF3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604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9EB5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62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D8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C72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01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19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F5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35D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6D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823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w:t>
            </w:r>
            <w:r>
              <w:rPr>
                <w:rFonts w:hint="default" w:ascii="Times New Roman" w:hAnsi="Times New Roman" w:cs="Times New Roman"/>
                <w:color w:val="000000"/>
                <w:sz w:val="18"/>
              </w:rPr>
              <w:t xml:space="preserve"> </w:t>
            </w:r>
          </w:p>
        </w:tc>
      </w:tr>
      <w:tr w14:paraId="24D763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85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31D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3D1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DE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53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D13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27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50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F7A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012D2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94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AE8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ACF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0E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49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C2F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33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17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598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72D2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8A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B1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819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318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3A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CD4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C9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F8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DC7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4FD8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A95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E5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B29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3C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40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849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25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53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6C9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A70C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47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ACE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DF1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B6D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0F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F80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1C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D6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C71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1627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FB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92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371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39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0B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5E2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8A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AC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30F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2445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8F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63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725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27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A4B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59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A3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3E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C53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474A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2C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27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3B1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C7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793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EE5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B1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49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5E3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CE56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D2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79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D8A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78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E4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6F5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34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8A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6A9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51B3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81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A8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B05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F0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19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5F5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86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DA3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7DB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2D65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CD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D0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83D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C2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00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6CB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E21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AA1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7B2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140C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446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D63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4CC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3E6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10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12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1A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66D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017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E252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A8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530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CAC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6F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DB6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991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81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B4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34A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BFBD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58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5F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1DD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35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8D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3B1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7D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85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205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72CF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A3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686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03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9A1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E2D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A44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5B7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1A5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413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53D8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81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873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264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35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E4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79C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BB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22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9FE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1FB5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EF5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6D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A13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D8D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5D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872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346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EE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320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446B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59D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AB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688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2A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FDF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0C6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54.10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0E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163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179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9354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31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E66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636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06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6D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A21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A24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22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656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FBFF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C3F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FD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16D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A7B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8AB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2E0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FF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ACA2">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1E1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43A4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1A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B56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525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F9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31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15C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90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5CB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0B2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61B6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DC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96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DA5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B5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B21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130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4B4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92D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D14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D816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BA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F6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B29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0E9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86A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6AE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48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0E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011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2A48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31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71A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7A8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C4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0C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DC6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6E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BA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4F2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7AF2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242A">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6E81">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882388">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D2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32F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2B5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C8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F53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7B4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7667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37BA">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3C9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3E359">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863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0E2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D9C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19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B8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701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7EFB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D403">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05A4">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5A9B60">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04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2B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A74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F8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A5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C7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9C0A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4BB9">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EE81">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B12F66">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E6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DB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AD0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B772">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CC9D">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314A">
            <w:pPr>
              <w:spacing w:line="192" w:lineRule="exact"/>
              <w:jc w:val="right"/>
              <w:rPr>
                <w:rFonts w:hint="default" w:ascii="Times New Roman" w:hAnsi="Times New Roman" w:cs="Times New Roman"/>
                <w:color w:val="000000"/>
                <w:sz w:val="18"/>
                <w:szCs w:val="18"/>
              </w:rPr>
            </w:pPr>
          </w:p>
        </w:tc>
      </w:tr>
      <w:tr w14:paraId="06E95F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1A1A">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ACB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540D42">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6C3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056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24C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69AF">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4A86">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E8E6">
            <w:pPr>
              <w:spacing w:line="192" w:lineRule="exact"/>
              <w:jc w:val="right"/>
              <w:rPr>
                <w:rFonts w:hint="default" w:ascii="Times New Roman" w:hAnsi="Times New Roman" w:cs="Times New Roman"/>
                <w:color w:val="000000"/>
                <w:sz w:val="18"/>
                <w:szCs w:val="18"/>
              </w:rPr>
            </w:pPr>
          </w:p>
        </w:tc>
      </w:tr>
      <w:tr w14:paraId="11DD6B9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A16E">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EE40">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38B005">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0F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6F3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AFF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5017">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E6BE">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4401">
            <w:pPr>
              <w:spacing w:line="192" w:lineRule="exact"/>
              <w:jc w:val="right"/>
              <w:rPr>
                <w:rFonts w:hint="default" w:ascii="Times New Roman" w:hAnsi="Times New Roman" w:cs="Times New Roman"/>
                <w:color w:val="000000"/>
                <w:sz w:val="18"/>
                <w:szCs w:val="18"/>
              </w:rPr>
            </w:pPr>
          </w:p>
        </w:tc>
      </w:tr>
      <w:tr w14:paraId="2322677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450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9BBC5B">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340.18</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243A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7DD1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105.33</w:t>
            </w:r>
            <w:r>
              <w:rPr>
                <w:rFonts w:hint="default" w:ascii="Times New Roman" w:hAnsi="Times New Roman" w:cs="Times New Roman"/>
                <w:color w:val="000000"/>
                <w:sz w:val="18"/>
              </w:rPr>
              <w:t xml:space="preserve"> </w:t>
            </w:r>
          </w:p>
        </w:tc>
      </w:tr>
    </w:tbl>
    <w:p w14:paraId="50A1E2A5">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8A24F8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0A34DC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E1A744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C2506D3">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重庆市九龙坡区华梁学校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6D1BD89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0F1B8C">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78336F">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5790332">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F6B789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0E69E72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1B0713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AFDA3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37287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3C369F">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B8D2DC3">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82E1F6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FB2AF8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AE3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88CE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C0C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2605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E94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E7DE9B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D499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90E3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3A2AB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932B7">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B89C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C67E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B73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C6BB">
            <w:pPr>
              <w:jc w:val="center"/>
              <w:rPr>
                <w:rFonts w:hint="default" w:ascii="Times New Roman" w:hAnsi="Times New Roman" w:cs="Times New Roman"/>
                <w:b/>
                <w:color w:val="000000"/>
                <w:sz w:val="20"/>
                <w:szCs w:val="20"/>
              </w:rPr>
            </w:pPr>
          </w:p>
        </w:tc>
      </w:tr>
      <w:tr w14:paraId="00FD4C9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5D02">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7793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5E524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0A21">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972B5">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95261">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F1055">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2BF80">
            <w:pPr>
              <w:jc w:val="center"/>
              <w:rPr>
                <w:rFonts w:hint="default" w:ascii="Times New Roman" w:hAnsi="Times New Roman" w:cs="Times New Roman"/>
                <w:b/>
                <w:color w:val="000000"/>
                <w:sz w:val="20"/>
                <w:szCs w:val="20"/>
              </w:rPr>
            </w:pPr>
          </w:p>
        </w:tc>
      </w:tr>
      <w:tr w14:paraId="63722EA4">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ED23D">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1260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94AE6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E52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8A92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6E438">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4101B">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BFB9">
            <w:pPr>
              <w:jc w:val="center"/>
              <w:rPr>
                <w:rFonts w:hint="default" w:ascii="Times New Roman" w:hAnsi="Times New Roman" w:cs="Times New Roman"/>
                <w:b/>
                <w:color w:val="000000"/>
                <w:sz w:val="20"/>
                <w:szCs w:val="20"/>
              </w:rPr>
            </w:pPr>
          </w:p>
        </w:tc>
      </w:tr>
      <w:tr w14:paraId="60A4DD8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38A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471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35A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1A4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AC3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ED1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893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86AD74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8B3EE">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F9A02">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C49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FD0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7F0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D71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6E4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AEF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31CC76F">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97AEFE9">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A761C8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9A0F75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16745B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87A9EDD">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重庆市九龙坡区华梁学校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6B97BBA">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7FE09F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B0BC5B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29C4629">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E18CAEF">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C93415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1B9B2E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AD21E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BA5F9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14D189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59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871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01E5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4967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93B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5A7032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F9C0F">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B5926">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0F7A8">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823EA">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3ADE5">
            <w:pPr>
              <w:jc w:val="center"/>
              <w:rPr>
                <w:rFonts w:hint="default" w:ascii="Times New Roman" w:hAnsi="Times New Roman" w:cs="Times New Roman"/>
                <w:b/>
                <w:color w:val="000000"/>
                <w:sz w:val="20"/>
                <w:szCs w:val="20"/>
              </w:rPr>
            </w:pPr>
          </w:p>
        </w:tc>
      </w:tr>
      <w:tr w14:paraId="4D19643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7E28D">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1C88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69AD8">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1C364">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D38DA">
            <w:pPr>
              <w:jc w:val="center"/>
              <w:rPr>
                <w:rFonts w:hint="default" w:ascii="Times New Roman" w:hAnsi="Times New Roman" w:cs="Times New Roman"/>
                <w:b/>
                <w:color w:val="000000"/>
                <w:sz w:val="20"/>
                <w:szCs w:val="20"/>
              </w:rPr>
            </w:pPr>
          </w:p>
        </w:tc>
      </w:tr>
      <w:tr w14:paraId="22CA84C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0B6C5">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A8E9B">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A797B">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4C186">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1D4AC">
            <w:pPr>
              <w:jc w:val="center"/>
              <w:rPr>
                <w:rFonts w:hint="default" w:ascii="Times New Roman" w:hAnsi="Times New Roman" w:cs="Times New Roman"/>
                <w:b/>
                <w:color w:val="000000"/>
                <w:sz w:val="20"/>
                <w:szCs w:val="20"/>
              </w:rPr>
            </w:pPr>
          </w:p>
        </w:tc>
      </w:tr>
      <w:tr w14:paraId="7B8B379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16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72A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8A385">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129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AB32F6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4979">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E579D">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8BA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546E4">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54C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6969004">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3AC35B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86FAB7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715B7D4">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9EBE7E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4565521">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30BF520D">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F69442D">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1E8FBBC">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27EE172B">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1CBBB66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2DA13D6">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重庆市九龙坡区华梁学校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5316A57">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9932801">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B82CD54">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45F0EF0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72EE2">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A44EB">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DB907">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5C792">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23BE2">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3E04A2F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52D60">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5061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64F8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A9199">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FF31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57ED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5A93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B50A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5442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C6B5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1842A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F2C1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C39E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F6ACD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F689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E557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999B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4B93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D68D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E054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A42A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EE16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CC53F">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EE9A5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8FB2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0182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4468E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DFAE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3EE0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9E4B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0D96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F6F24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A619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748B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684F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6070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0406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56D0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1B95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51BA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8DDE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437D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3DE5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0570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45582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9A39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1C7EC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BFA1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4E7D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E7B6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4BF3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4A26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BEE0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B008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F274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59E4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C9BE1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FB37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FA95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011B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C0F6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F706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D8435">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1ABA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0A74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285A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175F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2E86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5404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11C0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B7F5B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17F2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FEF1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ED58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472B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691E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4BE2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4372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87C6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C042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0E5C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4B5B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95B2C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14D4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D5DE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3B19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2F448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9363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3D721">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48D32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20B3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341D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D6AC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62F3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EB7D6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A1DA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5928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6855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EB01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873F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03AF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5F2F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749B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4E4B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BC82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AAA8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64CC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EA84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C6CB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7618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B3866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D627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74A12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06A1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3BF6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F1FB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3CA2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5B09E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D966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C3ED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A0E5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3020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042D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65F6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CB164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87430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A3A5B">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00F9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41E3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77846">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E1A8C">
            <w:pPr>
              <w:spacing w:line="280" w:lineRule="exact"/>
              <w:jc w:val="right"/>
              <w:rPr>
                <w:rFonts w:hint="default" w:ascii="Times New Roman" w:hAnsi="Times New Roman" w:cs="Times New Roman"/>
                <w:color w:val="000000"/>
                <w:kern w:val="2"/>
                <w:sz w:val="16"/>
                <w:szCs w:val="16"/>
              </w:rPr>
            </w:pPr>
          </w:p>
        </w:tc>
      </w:tr>
      <w:tr w14:paraId="070232D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A1986">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C394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7ED3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5.55</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46ABE">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6B6ED">
            <w:pPr>
              <w:spacing w:line="280" w:lineRule="exact"/>
              <w:jc w:val="right"/>
              <w:rPr>
                <w:rFonts w:hint="default" w:ascii="Times New Roman" w:hAnsi="Times New Roman" w:cs="Times New Roman"/>
                <w:color w:val="000000"/>
                <w:kern w:val="2"/>
                <w:sz w:val="16"/>
                <w:szCs w:val="16"/>
              </w:rPr>
            </w:pPr>
          </w:p>
        </w:tc>
      </w:tr>
      <w:tr w14:paraId="57B42D2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BEDFD">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50178">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3EB0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C11CB">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3C6B5">
            <w:pPr>
              <w:spacing w:line="280" w:lineRule="exact"/>
              <w:jc w:val="right"/>
              <w:rPr>
                <w:rFonts w:hint="default" w:ascii="Times New Roman" w:hAnsi="Times New Roman" w:cs="Times New Roman"/>
                <w:color w:val="000000"/>
                <w:sz w:val="16"/>
                <w:szCs w:val="16"/>
              </w:rPr>
            </w:pPr>
          </w:p>
        </w:tc>
      </w:tr>
    </w:tbl>
    <w:p w14:paraId="30E734F0">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p w14:paraId="781F6837">
      <w:pPr>
        <w:pStyle w:val="13"/>
        <w:autoSpaceDE w:val="0"/>
        <w:spacing w:line="596" w:lineRule="exact"/>
        <w:ind w:firstLine="0" w:firstLineChars="0"/>
        <w:jc w:val="both"/>
        <w:rPr>
          <w:rFonts w:hint="default" w:ascii="Times New Roman" w:hAnsi="Times New Roman" w:eastAsia="方正仿宋_GBK" w:cs="Times New Roman"/>
          <w:sz w:val="32"/>
          <w:szCs w:val="32"/>
          <w:shd w:val="clear" w:color="auto" w:fill="FFFFFF"/>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EF4D">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FC2330">
                          <w:pPr>
                            <w:pStyle w:val="5"/>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4FC2330">
                    <w:pPr>
                      <w:pStyle w:val="5"/>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2C021">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032DE6">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D032DE6">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548897">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548897">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131D">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A71C0"/>
    <w:multiLevelType w:val="singleLevel"/>
    <w:tmpl w:val="979A71C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64"/>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3BB7"/>
    <w:rsid w:val="000D7BCC"/>
    <w:rsid w:val="000F40AB"/>
    <w:rsid w:val="0011342F"/>
    <w:rsid w:val="00224071"/>
    <w:rsid w:val="003D7BF6"/>
    <w:rsid w:val="00415DAE"/>
    <w:rsid w:val="004C01A0"/>
    <w:rsid w:val="00550ABE"/>
    <w:rsid w:val="0066264B"/>
    <w:rsid w:val="007B419D"/>
    <w:rsid w:val="009B67B8"/>
    <w:rsid w:val="00B00446"/>
    <w:rsid w:val="00B03CCD"/>
    <w:rsid w:val="00C92A4E"/>
    <w:rsid w:val="00DE38F0"/>
    <w:rsid w:val="00E00DBD"/>
    <w:rsid w:val="00FD104A"/>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9E267AC"/>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4FE566F"/>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6A548E"/>
    <w:rsid w:val="50A91A82"/>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9DD23D9"/>
    <w:rsid w:val="5A6279C1"/>
    <w:rsid w:val="5AD563E4"/>
    <w:rsid w:val="5C1336B7"/>
    <w:rsid w:val="5C263CE4"/>
    <w:rsid w:val="5C5D2777"/>
    <w:rsid w:val="5C722D7F"/>
    <w:rsid w:val="5D290C69"/>
    <w:rsid w:val="5DC17CC6"/>
    <w:rsid w:val="5EFA176D"/>
    <w:rsid w:val="5F0247F9"/>
    <w:rsid w:val="5F2D4A41"/>
    <w:rsid w:val="5FD550D2"/>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列出段落2"/>
    <w:basedOn w:val="1"/>
    <w:autoRedefine/>
    <w:qFormat/>
    <w:uiPriority w:val="99"/>
    <w:pPr>
      <w:ind w:firstLine="420" w:firstLineChars="200"/>
    </w:pPr>
  </w:style>
  <w:style w:type="character" w:customStyle="1" w:styleId="17">
    <w:name w:val="正文文本 字符"/>
    <w:basedOn w:val="11"/>
    <w:link w:val="2"/>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3086</Words>
  <Characters>3545</Characters>
  <Lines>95</Lines>
  <Paragraphs>26</Paragraphs>
  <TotalTime>18</TotalTime>
  <ScaleCrop>false</ScaleCrop>
  <LinksUpToDate>false</LinksUpToDate>
  <CharactersWithSpaces>3548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2025-10-24T02:44:33Z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