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81289">
      <w:pPr>
        <w:pStyle w:val="8"/>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重庆市九龙坡区应急管理综合行政执法支队</w:t>
      </w:r>
    </w:p>
    <w:p w14:paraId="4DC3AED5">
      <w:pPr>
        <w:pStyle w:val="8"/>
        <w:spacing w:before="0" w:beforeAutospacing="0" w:after="0" w:afterAutospacing="0" w:line="596" w:lineRule="exact"/>
        <w:jc w:val="center"/>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b w:val="0"/>
          <w:bCs w:val="0"/>
          <w:sz w:val="44"/>
          <w:szCs w:val="44"/>
          <w:shd w:val="clear" w:color="auto" w:fill="FFFFFF"/>
        </w:rPr>
        <w:t>202</w:t>
      </w:r>
      <w:r>
        <w:rPr>
          <w:rFonts w:hint="eastAsia" w:ascii="Times New Roman" w:hAnsi="Times New Roman" w:eastAsia="方正小标宋_GBK"/>
          <w:b w:val="0"/>
          <w:bCs w:val="0"/>
          <w:sz w:val="44"/>
          <w:szCs w:val="44"/>
          <w:shd w:val="clear" w:color="auto" w:fill="FFFFFF"/>
          <w:lang w:val="en-US" w:eastAsia="zh-CN"/>
        </w:rPr>
        <w:t>4</w:t>
      </w:r>
      <w:r>
        <w:rPr>
          <w:rFonts w:ascii="方正小标宋_GBK" w:hAnsi="方正小标宋_GBK" w:eastAsia="方正小标宋_GBK" w:cs="方正小标宋_GBK"/>
          <w:b w:val="0"/>
          <w:bCs w:val="0"/>
          <w:sz w:val="44"/>
          <w:szCs w:val="44"/>
          <w:shd w:val="clear" w:color="auto" w:fill="FFFFFF"/>
        </w:rPr>
        <w:t>年度</w:t>
      </w:r>
      <w:r>
        <w:rPr>
          <w:rFonts w:hint="eastAsia" w:ascii="方正小标宋_GBK" w:hAnsi="方正小标宋_GBK" w:eastAsia="方正小标宋_GBK" w:cs="方正小标宋_GBK"/>
          <w:b w:val="0"/>
          <w:bCs w:val="0"/>
          <w:sz w:val="44"/>
          <w:szCs w:val="44"/>
          <w:shd w:val="clear" w:color="auto" w:fill="FFFFFF"/>
          <w:lang w:val="en-US" w:eastAsia="zh-CN"/>
        </w:rPr>
        <w:t>单位</w:t>
      </w:r>
      <w:r>
        <w:rPr>
          <w:rFonts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ascii="方正小标宋_GBK" w:hAnsi="方正小标宋_GBK" w:eastAsia="方正小标宋_GBK" w:cs="方正小标宋_GBK"/>
          <w:b w:val="0"/>
          <w:bCs w:val="0"/>
          <w:sz w:val="44"/>
          <w:szCs w:val="44"/>
          <w:shd w:val="clear" w:color="auto" w:fill="FFFFFF"/>
        </w:rPr>
        <w:t>说明</w:t>
      </w:r>
    </w:p>
    <w:p w14:paraId="03BEAA39">
      <w:pPr>
        <w:keepNext w:val="0"/>
        <w:keepLines w:val="0"/>
        <w:pageBreakBefore w:val="0"/>
        <w:widowControl/>
        <w:kinsoku/>
        <w:wordWrap/>
        <w:overflowPunct/>
        <w:topLinePunct w:val="0"/>
        <w:autoSpaceDN/>
        <w:bidi w:val="0"/>
        <w:spacing w:line="600" w:lineRule="exact"/>
        <w:jc w:val="center"/>
        <w:textAlignment w:val="auto"/>
        <w:rPr>
          <w:rFonts w:hint="default" w:ascii="Times New Roman" w:hAnsi="Times New Roman" w:eastAsia="方正小标宋_GBK"/>
          <w:kern w:val="2"/>
          <w:sz w:val="44"/>
          <w:szCs w:val="54"/>
        </w:rPr>
      </w:pPr>
    </w:p>
    <w:p w14:paraId="6CF9D2DF">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一、</w:t>
      </w:r>
      <w:r>
        <w:rPr>
          <w:rFonts w:hint="eastAsia" w:ascii="Times New Roman" w:hAnsi="Times New Roman" w:eastAsia="方正黑体_GBK" w:cs="宋体"/>
          <w:bCs/>
          <w:kern w:val="0"/>
          <w:sz w:val="32"/>
          <w:szCs w:val="20"/>
          <w:lang w:val="en-US" w:eastAsia="zh-CN"/>
        </w:rPr>
        <w:t>单位</w:t>
      </w:r>
      <w:r>
        <w:rPr>
          <w:rFonts w:hint="eastAsia" w:ascii="Times New Roman" w:hAnsi="Times New Roman" w:eastAsia="方正黑体_GBK" w:cs="宋体"/>
          <w:bCs/>
          <w:kern w:val="0"/>
          <w:sz w:val="32"/>
          <w:szCs w:val="20"/>
        </w:rPr>
        <w:t>基本情况</w:t>
      </w:r>
    </w:p>
    <w:p w14:paraId="6FFA33FB">
      <w:pPr>
        <w:keepNext w:val="0"/>
        <w:keepLines w:val="0"/>
        <w:pageBreakBefore w:val="0"/>
        <w:widowControl w:val="0"/>
        <w:kinsoku/>
        <w:wordWrap/>
        <w:overflowPunct/>
        <w:topLinePunct w:val="0"/>
        <w:autoSpaceDN/>
        <w:bidi w:val="0"/>
        <w:adjustRightInd w:val="0"/>
        <w:snapToGrid w:val="0"/>
        <w:spacing w:line="600" w:lineRule="exact"/>
        <w:ind w:left="1120" w:leftChars="200" w:hanging="640" w:hanging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（一）职能职责</w:t>
      </w:r>
    </w:p>
    <w:p w14:paraId="07C4BF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1.受委托承担全区冶金、有色、建材、机械、轻工、纺织、烟草行业应急管理行政执法工作</w:t>
      </w:r>
      <w:r>
        <w:rPr>
          <w:rFonts w:hint="eastAsia" w:ascii="Times New Roman" w:hAnsi="Times New Roman" w:eastAsia="方正仿宋_GBK" w:cs="Times New Roman"/>
          <w:color w:val="auto"/>
          <w:kern w:val="0"/>
          <w:sz w:val="32"/>
          <w:szCs w:val="32"/>
          <w:lang w:eastAsia="zh-CN"/>
        </w:rPr>
        <w:t>；</w:t>
      </w:r>
    </w:p>
    <w:p w14:paraId="29566BC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2.指导监督全区冶金、有色、建材、机械、轻工、纺织、烟草相关行业企业安全生产标准化、安全预防控制体系建设等工作，依法监督检查行业生产经营单位贯彻落实安全生产法律法规和标准情况</w:t>
      </w:r>
      <w:r>
        <w:rPr>
          <w:rFonts w:hint="eastAsia" w:ascii="Times New Roman" w:hAnsi="Times New Roman" w:eastAsia="方正仿宋_GBK" w:cs="Times New Roman"/>
          <w:color w:val="auto"/>
          <w:kern w:val="0"/>
          <w:sz w:val="32"/>
          <w:szCs w:val="32"/>
          <w:lang w:eastAsia="zh-CN"/>
        </w:rPr>
        <w:t>；</w:t>
      </w:r>
    </w:p>
    <w:p w14:paraId="796071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3.负责应急管理行政执法计划编制、执法队伍建设和执法规范化建设工作，开展行政执法情况监测分析</w:t>
      </w:r>
      <w:r>
        <w:rPr>
          <w:rFonts w:hint="eastAsia" w:ascii="Times New Roman" w:hAnsi="Times New Roman" w:eastAsia="方正仿宋_GBK" w:cs="Times New Roman"/>
          <w:color w:val="auto"/>
          <w:kern w:val="0"/>
          <w:sz w:val="32"/>
          <w:szCs w:val="32"/>
          <w:lang w:eastAsia="zh-CN"/>
        </w:rPr>
        <w:t>；</w:t>
      </w:r>
    </w:p>
    <w:p w14:paraId="13AA1C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4.承担全区安全生产大检查、安全生产专项整治具体执法工作</w:t>
      </w:r>
      <w:r>
        <w:rPr>
          <w:rFonts w:hint="eastAsia" w:ascii="Times New Roman" w:hAnsi="Times New Roman" w:eastAsia="方正仿宋_GBK" w:cs="Times New Roman"/>
          <w:color w:val="auto"/>
          <w:kern w:val="0"/>
          <w:sz w:val="32"/>
          <w:szCs w:val="32"/>
          <w:lang w:eastAsia="zh-CN"/>
        </w:rPr>
        <w:t>；</w:t>
      </w:r>
    </w:p>
    <w:p w14:paraId="37DE05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rPr>
        <w:t>5.协助开展其他行业领域的安全生产专项整治及行政执法工作</w:t>
      </w:r>
      <w:r>
        <w:rPr>
          <w:rFonts w:hint="eastAsia" w:ascii="Times New Roman" w:hAnsi="Times New Roman" w:eastAsia="方正仿宋_GBK" w:cs="Times New Roman"/>
          <w:color w:val="auto"/>
          <w:kern w:val="0"/>
          <w:sz w:val="32"/>
          <w:szCs w:val="32"/>
          <w:lang w:eastAsia="zh-CN"/>
        </w:rPr>
        <w:t>；</w:t>
      </w:r>
    </w:p>
    <w:p w14:paraId="30BC5A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6.承办上级主管部门交办的其他任务。</w:t>
      </w:r>
    </w:p>
    <w:p w14:paraId="609987FD">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color w:val="auto"/>
          <w:kern w:val="0"/>
          <w:sz w:val="32"/>
          <w:szCs w:val="32"/>
        </w:rPr>
      </w:pPr>
      <w:r>
        <w:rPr>
          <w:rFonts w:hint="eastAsia" w:ascii="Times New Roman" w:hAnsi="Times New Roman" w:eastAsia="方正楷体_GBK" w:cs="宋体"/>
          <w:bCs/>
          <w:color w:val="auto"/>
          <w:kern w:val="0"/>
          <w:sz w:val="32"/>
          <w:szCs w:val="20"/>
        </w:rPr>
        <w:t>（二）机构设置</w:t>
      </w:r>
    </w:p>
    <w:p w14:paraId="04FE26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九龙坡区应急管理综合行政执法支队设4个内设机构</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执法一科、执法二科、执法三科</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lang w:val="en-US" w:eastAsia="zh-CN"/>
        </w:rPr>
        <w:t>执法四科</w:t>
      </w:r>
      <w:r>
        <w:rPr>
          <w:rFonts w:hint="eastAsia" w:ascii="Times New Roman" w:hAnsi="Times New Roman" w:eastAsia="方正仿宋_GBK" w:cs="Times New Roman"/>
          <w:color w:val="auto"/>
          <w:kern w:val="0"/>
          <w:sz w:val="32"/>
          <w:szCs w:val="32"/>
        </w:rPr>
        <w:t>。</w:t>
      </w:r>
    </w:p>
    <w:p w14:paraId="341A12BB">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黑体_GBK" w:cs="宋体"/>
          <w:bCs/>
          <w:kern w:val="0"/>
          <w:sz w:val="32"/>
          <w:szCs w:val="20"/>
        </w:rPr>
        <w:t>二、</w:t>
      </w:r>
      <w:r>
        <w:rPr>
          <w:rFonts w:hint="eastAsia" w:ascii="Times New Roman" w:hAnsi="Times New Roman" w:eastAsia="方正黑体_GBK" w:cs="宋体"/>
          <w:bCs/>
          <w:kern w:val="0"/>
          <w:sz w:val="32"/>
          <w:szCs w:val="20"/>
          <w:lang w:val="en-US" w:eastAsia="zh-CN"/>
        </w:rPr>
        <w:t>单位决算收支情况说明</w:t>
      </w:r>
    </w:p>
    <w:p w14:paraId="629E9430">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（一）收入支出决算总体情况说明</w:t>
      </w:r>
    </w:p>
    <w:p w14:paraId="64C689E0">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1.总体情况</w:t>
      </w:r>
      <w:r>
        <w:rPr>
          <w:rFonts w:hint="eastAsia" w:ascii="Times New Roman" w:hAnsi="Times New Roman" w:eastAsia="方正仿宋_GBK" w:cs="宋体"/>
          <w:kern w:val="0"/>
          <w:sz w:val="32"/>
          <w:szCs w:val="32"/>
        </w:rPr>
        <w:t>。2024年度收入总计806.75万元，支出总计806.75万元。收、支与2023年度相比，增加42.47万元，增长5.6%，主要原因是</w:t>
      </w:r>
      <w:r>
        <w:rPr>
          <w:rFonts w:hint="eastAsia" w:ascii="Times New Roman" w:hAnsi="Times New Roman" w:eastAsia="方正仿宋_GBK" w:cs="宋体"/>
          <w:kern w:val="0"/>
          <w:sz w:val="32"/>
          <w:szCs w:val="32"/>
          <w:lang w:val="en-US" w:eastAsia="zh-CN"/>
        </w:rPr>
        <w:t>人员增加1人、人员工资调标、社保缴费基数调整，人员经费增加；内控编制等委托业务费用增加，日常办公费用增加</w:t>
      </w:r>
      <w:r>
        <w:rPr>
          <w:rFonts w:hint="eastAsia" w:ascii="Times New Roman" w:hAnsi="Times New Roman" w:eastAsia="方正仿宋_GBK" w:cs="宋体"/>
          <w:kern w:val="0"/>
          <w:sz w:val="32"/>
          <w:szCs w:val="32"/>
        </w:rPr>
        <w:t>。</w:t>
      </w:r>
    </w:p>
    <w:p w14:paraId="55BBEF6B">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2.收入情况。</w:t>
      </w:r>
      <w:r>
        <w:rPr>
          <w:rFonts w:hint="eastAsia" w:ascii="Times New Roman" w:hAnsi="Times New Roman" w:eastAsia="方正仿宋_GBK" w:cs="宋体"/>
          <w:kern w:val="0"/>
          <w:sz w:val="32"/>
          <w:szCs w:val="32"/>
        </w:rPr>
        <w:t>2024年度收入合计806.75万元，与2023年度相比，增加42.47万元，增长5.6%，主要原因是</w:t>
      </w:r>
      <w:r>
        <w:rPr>
          <w:rFonts w:hint="eastAsia" w:ascii="Times New Roman" w:hAnsi="Times New Roman" w:eastAsia="方正仿宋_GBK" w:cs="宋体"/>
          <w:kern w:val="0"/>
          <w:sz w:val="32"/>
          <w:szCs w:val="32"/>
          <w:lang w:val="en-US" w:eastAsia="zh-CN"/>
        </w:rPr>
        <w:t>人员增加1人、人员工资调标、社保缴费基数调整，人员经费增加；内控编制等委托业务费用增加，日常办公费用增加</w:t>
      </w:r>
      <w:r>
        <w:rPr>
          <w:rFonts w:hint="eastAsia" w:ascii="Times New Roman" w:hAnsi="Times New Roman" w:eastAsia="方正仿宋_GBK" w:cs="宋体"/>
          <w:kern w:val="0"/>
          <w:sz w:val="32"/>
          <w:szCs w:val="32"/>
        </w:rPr>
        <w:t>。其中：财政拨款收入806.75万元，占100.00%。此外，使用非财政拨款结余和专用结余0.00万元，年初结转和结余0.00万元。</w:t>
      </w:r>
    </w:p>
    <w:p w14:paraId="018431C0">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3.支出情况。</w:t>
      </w:r>
      <w:r>
        <w:rPr>
          <w:rFonts w:hint="eastAsia" w:ascii="Times New Roman" w:hAnsi="Times New Roman" w:eastAsia="方正仿宋_GBK" w:cs="宋体"/>
          <w:kern w:val="0"/>
          <w:sz w:val="32"/>
          <w:szCs w:val="32"/>
        </w:rPr>
        <w:t>2024年度支出合计806.75万元，与2023年度相比，增加42.47万元，增长5.6%，</w:t>
      </w:r>
      <w:r>
        <w:rPr>
          <w:rFonts w:hint="eastAsia" w:ascii="Times New Roman" w:hAnsi="Times New Roman" w:eastAsia="方正仿宋_GBK" w:cs="宋体"/>
          <w:kern w:val="0"/>
          <w:sz w:val="32"/>
          <w:szCs w:val="32"/>
          <w:lang w:eastAsia="zh-CN"/>
        </w:rPr>
        <w:t>主要原因是</w:t>
      </w:r>
      <w:r>
        <w:rPr>
          <w:rFonts w:hint="eastAsia" w:ascii="Times New Roman" w:hAnsi="Times New Roman" w:eastAsia="方正仿宋_GBK" w:cs="宋体"/>
          <w:kern w:val="0"/>
          <w:sz w:val="32"/>
          <w:szCs w:val="32"/>
        </w:rPr>
        <w:t>人员增加1人、人员工资调标、社保缴费基数调整，人员经费增加；内控编制等</w:t>
      </w:r>
      <w:r>
        <w:rPr>
          <w:rFonts w:hint="eastAsia" w:ascii="Times New Roman" w:hAnsi="Times New Roman" w:eastAsia="方正仿宋_GBK" w:cs="宋体"/>
          <w:kern w:val="0"/>
          <w:sz w:val="32"/>
          <w:szCs w:val="32"/>
          <w:lang w:eastAsia="zh-CN"/>
        </w:rPr>
        <w:t>委托业务</w:t>
      </w:r>
      <w:r>
        <w:rPr>
          <w:rFonts w:hint="eastAsia" w:ascii="Times New Roman" w:hAnsi="Times New Roman" w:eastAsia="方正仿宋_GBK" w:cs="宋体"/>
          <w:kern w:val="0"/>
          <w:sz w:val="32"/>
          <w:szCs w:val="32"/>
        </w:rPr>
        <w:t>费用增加，日常办公费用增加。其中：基本支出806.75万元，占100.00%</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此外，结余分配0.00万元。</w:t>
      </w:r>
    </w:p>
    <w:p w14:paraId="49016E8C">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rPr>
        <w:t>2024年度年末结转和结余0.00万元，与2023年度相比，无增减。</w:t>
      </w:r>
    </w:p>
    <w:p w14:paraId="0B34D2E9">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（二）财政拨款收入支出决算总体情况说明</w:t>
      </w:r>
    </w:p>
    <w:p w14:paraId="1BB1ED79">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2024年度财政拨款收、支总计806.75万元。与2023年相比，财政拨款收、支总计各增加42.47万元，增长5.6%。主要原因是人员增加1人、人员工资调标、社保缴费基数调整，人员经费增加；内控编制等</w:t>
      </w:r>
      <w:r>
        <w:rPr>
          <w:rFonts w:hint="eastAsia" w:ascii="Times New Roman" w:hAnsi="Times New Roman" w:eastAsia="方正仿宋_GBK" w:cs="宋体"/>
          <w:kern w:val="0"/>
          <w:sz w:val="32"/>
          <w:szCs w:val="32"/>
          <w:lang w:eastAsia="zh-CN"/>
        </w:rPr>
        <w:t>委托业务</w:t>
      </w:r>
      <w:r>
        <w:rPr>
          <w:rFonts w:hint="eastAsia" w:ascii="Times New Roman" w:hAnsi="Times New Roman" w:eastAsia="方正仿宋_GBK" w:cs="宋体"/>
          <w:kern w:val="0"/>
          <w:sz w:val="32"/>
          <w:szCs w:val="32"/>
        </w:rPr>
        <w:t>费用增加，日常办公费用增加。</w:t>
      </w:r>
    </w:p>
    <w:p w14:paraId="272B938E">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（三）一般公共预算财政拨款收入支出决算情况说明</w:t>
      </w:r>
    </w:p>
    <w:p w14:paraId="4BD687BD">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highlight w:val="none"/>
        </w:rPr>
        <w:t>1.收入情况。</w:t>
      </w:r>
      <w:r>
        <w:rPr>
          <w:rFonts w:hint="eastAsia" w:ascii="Times New Roman" w:hAnsi="Times New Roman" w:eastAsia="方正仿宋_GBK" w:cs="宋体"/>
          <w:kern w:val="0"/>
          <w:sz w:val="32"/>
          <w:szCs w:val="32"/>
          <w:highlight w:val="none"/>
        </w:rPr>
        <w:t>2024年度一般公共预算财政拨款收入806.75万元，与2023年度相比，增加42.47万元，增长5.6%。</w:t>
      </w:r>
      <w:r>
        <w:rPr>
          <w:rFonts w:hint="eastAsia" w:ascii="Times New Roman" w:hAnsi="Times New Roman" w:eastAsia="方正仿宋_GBK" w:cs="宋体"/>
          <w:kern w:val="0"/>
          <w:sz w:val="32"/>
          <w:szCs w:val="32"/>
          <w:highlight w:val="none"/>
          <w:lang w:eastAsia="zh-CN"/>
        </w:rPr>
        <w:t>主要原因是</w:t>
      </w:r>
      <w:r>
        <w:rPr>
          <w:rFonts w:hint="eastAsia" w:ascii="Times New Roman" w:hAnsi="Times New Roman" w:eastAsia="方正仿宋_GBK" w:cs="宋体"/>
          <w:kern w:val="0"/>
          <w:sz w:val="32"/>
          <w:szCs w:val="32"/>
          <w:highlight w:val="none"/>
        </w:rPr>
        <w:t>人员增加1人、社保缴费基数调整，人员经费增加；内控编制等</w:t>
      </w:r>
      <w:r>
        <w:rPr>
          <w:rFonts w:hint="eastAsia" w:ascii="Times New Roman" w:hAnsi="Times New Roman" w:eastAsia="方正仿宋_GBK" w:cs="宋体"/>
          <w:kern w:val="0"/>
          <w:sz w:val="32"/>
          <w:szCs w:val="32"/>
          <w:highlight w:val="none"/>
          <w:lang w:eastAsia="zh-CN"/>
        </w:rPr>
        <w:t>委托业务</w:t>
      </w:r>
      <w:r>
        <w:rPr>
          <w:rFonts w:hint="eastAsia" w:ascii="Times New Roman" w:hAnsi="Times New Roman" w:eastAsia="方正仿宋_GBK" w:cs="宋体"/>
          <w:kern w:val="0"/>
          <w:sz w:val="32"/>
          <w:szCs w:val="32"/>
          <w:highlight w:val="none"/>
        </w:rPr>
        <w:t>费用增加，日常办公费用增加。较年初预算数增加37.40万元，增长4.9%。</w:t>
      </w:r>
      <w:r>
        <w:rPr>
          <w:rFonts w:hint="eastAsia" w:ascii="Times New Roman" w:hAnsi="Times New Roman" w:eastAsia="方正仿宋_GBK" w:cs="宋体"/>
          <w:color w:val="auto"/>
          <w:kern w:val="0"/>
          <w:sz w:val="32"/>
          <w:szCs w:val="32"/>
          <w:highlight w:val="none"/>
        </w:rPr>
        <w:t>主要原因是</w:t>
      </w:r>
      <w:r>
        <w:rPr>
          <w:rFonts w:hint="eastAsia" w:ascii="Times New Roman" w:hAnsi="Times New Roman" w:eastAsia="方正仿宋_GBK" w:cs="宋体"/>
          <w:color w:val="auto"/>
          <w:kern w:val="0"/>
          <w:sz w:val="32"/>
          <w:szCs w:val="32"/>
        </w:rPr>
        <w:t>人员增加、人员工资调标，人员经费增加</w:t>
      </w:r>
      <w:r>
        <w:rPr>
          <w:rFonts w:hint="eastAsia" w:ascii="Times New Roman" w:hAnsi="Times New Roman" w:eastAsia="方正仿宋_GBK" w:cs="宋体"/>
          <w:kern w:val="0"/>
          <w:sz w:val="32"/>
          <w:szCs w:val="32"/>
        </w:rPr>
        <w:t>。</w:t>
      </w:r>
      <w:r>
        <w:rPr>
          <w:rFonts w:hint="eastAsia" w:ascii="Times New Roman" w:hAnsi="Times New Roman" w:eastAsia="方正仿宋_GBK" w:cs="宋体"/>
          <w:color w:val="auto"/>
          <w:kern w:val="0"/>
          <w:sz w:val="32"/>
          <w:szCs w:val="32"/>
          <w:highlight w:val="none"/>
        </w:rPr>
        <w:t>人员经费增加。</w:t>
      </w:r>
      <w:r>
        <w:rPr>
          <w:rFonts w:hint="eastAsia" w:ascii="Times New Roman" w:hAnsi="Times New Roman" w:eastAsia="方正仿宋_GBK" w:cs="宋体"/>
          <w:kern w:val="0"/>
          <w:sz w:val="32"/>
          <w:szCs w:val="32"/>
          <w:highlight w:val="none"/>
        </w:rPr>
        <w:t>此外，年初财政拨款结转和结余0.00万元</w:t>
      </w:r>
      <w:r>
        <w:rPr>
          <w:rFonts w:hint="eastAsia" w:ascii="Times New Roman" w:hAnsi="Times New Roman" w:eastAsia="方正仿宋_GBK" w:cs="宋体"/>
          <w:kern w:val="0"/>
          <w:sz w:val="32"/>
          <w:szCs w:val="32"/>
        </w:rPr>
        <w:t>。</w:t>
      </w:r>
    </w:p>
    <w:p w14:paraId="620C2704">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2.支出情况。</w:t>
      </w:r>
      <w:r>
        <w:rPr>
          <w:rFonts w:hint="eastAsia" w:ascii="Times New Roman" w:hAnsi="Times New Roman" w:eastAsia="方正仿宋_GBK" w:cs="宋体"/>
          <w:kern w:val="0"/>
          <w:sz w:val="32"/>
          <w:szCs w:val="32"/>
        </w:rPr>
        <w:t>2024年度一般公共预算财政拨款支出806.75万元，与2023年度相比，增加42.47万元，增长5.6%。</w:t>
      </w:r>
      <w:r>
        <w:rPr>
          <w:rFonts w:hint="eastAsia" w:ascii="Times New Roman" w:hAnsi="Times New Roman" w:eastAsia="方正仿宋_GBK" w:cs="宋体"/>
          <w:kern w:val="0"/>
          <w:sz w:val="32"/>
          <w:szCs w:val="32"/>
          <w:lang w:eastAsia="zh-CN"/>
        </w:rPr>
        <w:t>主要原因是</w:t>
      </w:r>
      <w:r>
        <w:rPr>
          <w:rFonts w:hint="eastAsia" w:ascii="Times New Roman" w:hAnsi="Times New Roman" w:eastAsia="方正仿宋_GBK" w:cs="宋体"/>
          <w:kern w:val="0"/>
          <w:sz w:val="32"/>
          <w:szCs w:val="32"/>
        </w:rPr>
        <w:t>人员增加1人、社保缴费基数调整，人员经费增加；内控编制等</w:t>
      </w:r>
      <w:r>
        <w:rPr>
          <w:rFonts w:hint="eastAsia" w:ascii="Times New Roman" w:hAnsi="Times New Roman" w:eastAsia="方正仿宋_GBK" w:cs="宋体"/>
          <w:kern w:val="0"/>
          <w:sz w:val="32"/>
          <w:szCs w:val="32"/>
          <w:lang w:eastAsia="zh-CN"/>
        </w:rPr>
        <w:t>委托业务</w:t>
      </w:r>
      <w:r>
        <w:rPr>
          <w:rFonts w:hint="eastAsia" w:ascii="Times New Roman" w:hAnsi="Times New Roman" w:eastAsia="方正仿宋_GBK" w:cs="宋体"/>
          <w:kern w:val="0"/>
          <w:sz w:val="32"/>
          <w:szCs w:val="32"/>
        </w:rPr>
        <w:t>费用增加，日常办公费用增加。较年初预算数增加37.40万元，增长4.9%。</w:t>
      </w:r>
      <w:r>
        <w:rPr>
          <w:rFonts w:hint="eastAsia" w:ascii="Times New Roman" w:hAnsi="Times New Roman" w:eastAsia="方正仿宋_GBK" w:cs="宋体"/>
          <w:color w:val="auto"/>
          <w:kern w:val="0"/>
          <w:sz w:val="32"/>
          <w:szCs w:val="32"/>
        </w:rPr>
        <w:t>主要原因是人员增加、人员工资调标，人员经费增加</w:t>
      </w:r>
      <w:r>
        <w:rPr>
          <w:rFonts w:hint="eastAsia" w:ascii="Times New Roman" w:hAnsi="Times New Roman" w:eastAsia="方正仿宋_GBK" w:cs="宋体"/>
          <w:kern w:val="0"/>
          <w:sz w:val="32"/>
          <w:szCs w:val="32"/>
        </w:rPr>
        <w:t>。</w:t>
      </w:r>
    </w:p>
    <w:p w14:paraId="6A81F705">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rPr>
        <w:t>2024年度年末一般公共预算财政拨款结转和结余0.00万元，与2023年度相比，无增减。</w:t>
      </w:r>
    </w:p>
    <w:p w14:paraId="0271BD67">
      <w:pPr>
        <w:keepNext w:val="0"/>
        <w:keepLines w:val="0"/>
        <w:pageBreakBefore w:val="0"/>
        <w:widowControl w:val="0"/>
        <w:kinsoku/>
        <w:wordWrap/>
        <w:overflowPunct/>
        <w:topLinePunct w:val="0"/>
        <w:autoSpaceDN/>
        <w:bidi w:val="0"/>
        <w:spacing w:line="600" w:lineRule="exact"/>
        <w:ind w:firstLine="630"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b/>
          <w:bCs/>
          <w:kern w:val="0"/>
          <w:sz w:val="32"/>
          <w:szCs w:val="20"/>
        </w:rPr>
        <w:t>4.比较情况</w:t>
      </w:r>
      <w:r>
        <w:rPr>
          <w:rFonts w:hint="eastAsia" w:ascii="Times New Roman" w:hAnsi="Times New Roman" w:eastAsia="方正仿宋_GBK" w:cs="宋体"/>
          <w:kern w:val="0"/>
          <w:sz w:val="32"/>
          <w:szCs w:val="32"/>
        </w:rPr>
        <w:t>。本单位2024年度一般公共预算财政拨款支出主要用于以下几个方面：</w:t>
      </w:r>
    </w:p>
    <w:p w14:paraId="3AC09B8D">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color w:val="auto"/>
          <w:kern w:val="0"/>
          <w:sz w:val="32"/>
          <w:szCs w:val="32"/>
          <w:highlight w:val="none"/>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highlight w:val="none"/>
        </w:rPr>
        <w:t>1）社会保障与就业支出88.44万元，占10.96%，较年初预算数减少0.32万元，下降0.4%，</w:t>
      </w:r>
      <w:r>
        <w:rPr>
          <w:rFonts w:hint="eastAsia" w:ascii="Times New Roman" w:hAnsi="Times New Roman" w:eastAsia="方正仿宋_GBK" w:cs="宋体"/>
          <w:color w:val="auto"/>
          <w:kern w:val="0"/>
          <w:sz w:val="32"/>
          <w:szCs w:val="32"/>
          <w:highlight w:val="none"/>
        </w:rPr>
        <w:t>主要原因是</w:t>
      </w:r>
      <w:r>
        <w:rPr>
          <w:rFonts w:hint="eastAsia" w:ascii="Times New Roman" w:hAnsi="Times New Roman" w:eastAsia="方正仿宋_GBK" w:cs="宋体"/>
          <w:color w:val="auto"/>
          <w:kern w:val="0"/>
          <w:sz w:val="32"/>
          <w:szCs w:val="32"/>
          <w:highlight w:val="none"/>
          <w:lang w:val="en-US" w:eastAsia="zh-CN"/>
        </w:rPr>
        <w:t>老干部活动费用减少</w:t>
      </w:r>
      <w:r>
        <w:rPr>
          <w:rFonts w:hint="eastAsia" w:ascii="Times New Roman" w:hAnsi="Times New Roman" w:eastAsia="方正仿宋_GBK" w:cs="宋体"/>
          <w:color w:val="auto"/>
          <w:kern w:val="0"/>
          <w:sz w:val="32"/>
          <w:szCs w:val="32"/>
          <w:highlight w:val="none"/>
        </w:rPr>
        <w:t>。</w:t>
      </w:r>
    </w:p>
    <w:p w14:paraId="0C92DCCC">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highlight w:val="none"/>
        </w:rPr>
      </w:pPr>
      <w:r>
        <w:rPr>
          <w:rFonts w:hint="eastAsia"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2</w:t>
      </w:r>
      <w:r>
        <w:rPr>
          <w:rFonts w:hint="eastAsia" w:ascii="Times New Roman" w:hAnsi="Times New Roman" w:eastAsia="方正仿宋_GBK" w:cs="宋体"/>
          <w:kern w:val="0"/>
          <w:sz w:val="32"/>
          <w:szCs w:val="32"/>
          <w:highlight w:val="none"/>
        </w:rPr>
        <w:t>）卫生健康支出40.18万元，占4.98%，较年初预算数无增减</w:t>
      </w:r>
      <w:r>
        <w:rPr>
          <w:rFonts w:hint="eastAsia" w:ascii="Times New Roman" w:hAnsi="Times New Roman" w:eastAsia="方正仿宋_GBK" w:cs="宋体"/>
          <w:kern w:val="0"/>
          <w:sz w:val="32"/>
          <w:szCs w:val="32"/>
          <w:highlight w:val="none"/>
          <w:lang w:eastAsia="zh-CN"/>
        </w:rPr>
        <w:t>，</w:t>
      </w:r>
      <w:r>
        <w:rPr>
          <w:rFonts w:hint="eastAsia" w:ascii="Times New Roman" w:hAnsi="Times New Roman" w:eastAsia="方正仿宋_GBK" w:cs="宋体"/>
          <w:kern w:val="0"/>
          <w:sz w:val="32"/>
          <w:szCs w:val="32"/>
          <w:highlight w:val="none"/>
          <w:lang w:val="en-US" w:eastAsia="zh-CN"/>
        </w:rPr>
        <w:t>与年初预算数持平</w:t>
      </w:r>
      <w:r>
        <w:rPr>
          <w:rFonts w:hint="eastAsia" w:ascii="Times New Roman" w:hAnsi="Times New Roman" w:eastAsia="方正仿宋_GBK" w:cs="宋体"/>
          <w:kern w:val="0"/>
          <w:sz w:val="32"/>
          <w:szCs w:val="32"/>
          <w:highlight w:val="none"/>
        </w:rPr>
        <w:t>。</w:t>
      </w:r>
    </w:p>
    <w:p w14:paraId="51EAFD2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highlight w:val="none"/>
        </w:rPr>
      </w:pPr>
      <w:r>
        <w:rPr>
          <w:rFonts w:hint="eastAsia"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3</w:t>
      </w:r>
      <w:r>
        <w:rPr>
          <w:rFonts w:hint="eastAsia" w:ascii="Times New Roman" w:hAnsi="Times New Roman" w:eastAsia="方正仿宋_GBK" w:cs="宋体"/>
          <w:kern w:val="0"/>
          <w:sz w:val="32"/>
          <w:szCs w:val="32"/>
          <w:highlight w:val="none"/>
        </w:rPr>
        <w:t>）住房保障支出60.61万元，占7.51%，较年初预算数增加4.99万元，增长9.0%，主要原因是</w:t>
      </w:r>
      <w:r>
        <w:rPr>
          <w:rFonts w:hint="eastAsia" w:ascii="Times New Roman" w:hAnsi="Times New Roman" w:eastAsia="方正仿宋_GBK" w:cs="宋体"/>
          <w:kern w:val="0"/>
          <w:sz w:val="32"/>
          <w:szCs w:val="32"/>
          <w:highlight w:val="none"/>
          <w:lang w:val="en-US" w:eastAsia="zh-CN"/>
        </w:rPr>
        <w:t>公积金缴费基数</w:t>
      </w:r>
      <w:r>
        <w:rPr>
          <w:rFonts w:hint="eastAsia" w:ascii="Times New Roman" w:hAnsi="Times New Roman" w:eastAsia="方正仿宋_GBK" w:cs="宋体"/>
          <w:kern w:val="0"/>
          <w:sz w:val="32"/>
          <w:szCs w:val="32"/>
          <w:highlight w:val="none"/>
        </w:rPr>
        <w:t>调整。</w:t>
      </w:r>
    </w:p>
    <w:p w14:paraId="24825C5A">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color w:val="auto"/>
          <w:kern w:val="0"/>
          <w:sz w:val="32"/>
          <w:szCs w:val="32"/>
          <w:highlight w:val="none"/>
          <w:lang w:val="en-US" w:eastAsia="zh-CN"/>
        </w:rPr>
      </w:pPr>
      <w:r>
        <w:rPr>
          <w:rFonts w:hint="eastAsia" w:ascii="Times New Roman" w:hAnsi="Times New Roman" w:eastAsia="方正仿宋_GBK" w:cs="宋体"/>
          <w:kern w:val="0"/>
          <w:sz w:val="32"/>
          <w:szCs w:val="32"/>
          <w:highlight w:val="none"/>
        </w:rPr>
        <w:t>（</w:t>
      </w:r>
      <w:r>
        <w:rPr>
          <w:rFonts w:hint="eastAsia" w:ascii="Times New Roman" w:hAnsi="Times New Roman" w:eastAsia="方正仿宋_GBK" w:cs="宋体"/>
          <w:kern w:val="0"/>
          <w:sz w:val="32"/>
          <w:szCs w:val="32"/>
          <w:highlight w:val="none"/>
          <w:lang w:val="en-US" w:eastAsia="zh-CN"/>
        </w:rPr>
        <w:t>4</w:t>
      </w:r>
      <w:r>
        <w:rPr>
          <w:rFonts w:hint="eastAsia" w:ascii="Times New Roman" w:hAnsi="Times New Roman" w:eastAsia="方正仿宋_GBK" w:cs="宋体"/>
          <w:kern w:val="0"/>
          <w:sz w:val="32"/>
          <w:szCs w:val="32"/>
          <w:highlight w:val="none"/>
        </w:rPr>
        <w:t>）灾害防治及应急管理支出617.52万元，占76.54%，较年初预算数增加32.74万元，增长5.6%，</w:t>
      </w:r>
      <w:r>
        <w:rPr>
          <w:rFonts w:hint="eastAsia" w:ascii="Times New Roman" w:hAnsi="Times New Roman" w:eastAsia="方正仿宋_GBK" w:cs="宋体"/>
          <w:color w:val="auto"/>
          <w:kern w:val="0"/>
          <w:sz w:val="32"/>
          <w:szCs w:val="32"/>
          <w:highlight w:val="none"/>
        </w:rPr>
        <w:t>主要原因是</w:t>
      </w:r>
      <w:r>
        <w:rPr>
          <w:rFonts w:hint="eastAsia" w:ascii="Times New Roman" w:hAnsi="Times New Roman" w:eastAsia="方正仿宋_GBK" w:cs="宋体"/>
          <w:color w:val="auto"/>
          <w:kern w:val="0"/>
          <w:sz w:val="32"/>
          <w:szCs w:val="32"/>
          <w:highlight w:val="none"/>
          <w:lang w:val="en-US" w:eastAsia="zh-CN"/>
        </w:rPr>
        <w:t>人员增加、人员工资调标，经费增加。</w:t>
      </w:r>
    </w:p>
    <w:p w14:paraId="5F4944BD">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（四）一般公共预算财政拨款基本支出决算情况说明</w:t>
      </w:r>
    </w:p>
    <w:p w14:paraId="32E25399">
      <w:pPr>
        <w:keepNext w:val="0"/>
        <w:keepLines w:val="0"/>
        <w:pageBreakBefore w:val="0"/>
        <w:widowControl w:val="0"/>
        <w:kinsoku/>
        <w:wordWrap/>
        <w:overflowPunct/>
        <w:topLinePunct w:val="0"/>
        <w:autoSpaceDN/>
        <w:bidi w:val="0"/>
        <w:spacing w:line="600" w:lineRule="exact"/>
        <w:ind w:firstLine="627" w:firstLineChars="196"/>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2024年度一般公共财政拨款基本支出806.75万元。其中：人员经费669.63万元，与2023年度相比，增加21.12万元，增长3.3%，</w:t>
      </w:r>
      <w:r>
        <w:rPr>
          <w:rFonts w:hint="eastAsia" w:ascii="Times New Roman" w:hAnsi="Times New Roman" w:eastAsia="方正仿宋_GBK" w:cs="宋体"/>
          <w:color w:val="auto"/>
          <w:kern w:val="0"/>
          <w:sz w:val="32"/>
          <w:szCs w:val="32"/>
        </w:rPr>
        <w:t>主要原因是人员增加、人员工资调标</w:t>
      </w:r>
      <w:r>
        <w:rPr>
          <w:rFonts w:hint="eastAsia" w:ascii="Times New Roman" w:hAnsi="Times New Roman" w:eastAsia="方正仿宋_GBK" w:cs="宋体"/>
          <w:color w:val="auto"/>
          <w:kern w:val="0"/>
          <w:sz w:val="32"/>
          <w:szCs w:val="32"/>
          <w:lang w:eastAsia="zh-CN"/>
        </w:rPr>
        <w:t>、</w:t>
      </w:r>
      <w:r>
        <w:rPr>
          <w:rFonts w:hint="eastAsia" w:ascii="Times New Roman" w:hAnsi="Times New Roman" w:eastAsia="方正仿宋_GBK" w:cs="宋体"/>
          <w:color w:val="auto"/>
          <w:kern w:val="0"/>
          <w:sz w:val="32"/>
          <w:szCs w:val="32"/>
        </w:rPr>
        <w:t>社保缴费基数调整，人员经费增加</w:t>
      </w:r>
      <w:r>
        <w:rPr>
          <w:rFonts w:hint="eastAsia" w:ascii="Times New Roman" w:hAnsi="Times New Roman" w:eastAsia="方正仿宋_GBK" w:cs="宋体"/>
          <w:color w:val="auto"/>
          <w:kern w:val="0"/>
          <w:sz w:val="32"/>
          <w:szCs w:val="32"/>
          <w:lang w:eastAsia="zh-CN"/>
        </w:rPr>
        <w:t>。</w:t>
      </w:r>
      <w:r>
        <w:rPr>
          <w:rFonts w:hint="eastAsia" w:ascii="Times New Roman" w:hAnsi="Times New Roman" w:eastAsia="方正仿宋_GBK" w:cs="宋体"/>
          <w:kern w:val="0"/>
          <w:sz w:val="32"/>
          <w:szCs w:val="32"/>
        </w:rPr>
        <w:t>人员经费用途主要包括基本工资、津贴补贴、奖金、绩效工资、机关事业单位基本养老保险缴费、职业年金缴费、住房公积金等。公用经费137.12万元，与2023年度相比，增加21.35万元，增长18.4%，主要原因是内控编制等</w:t>
      </w:r>
      <w:r>
        <w:rPr>
          <w:rFonts w:hint="eastAsia" w:ascii="Times New Roman" w:hAnsi="Times New Roman" w:eastAsia="方正仿宋_GBK" w:cs="宋体"/>
          <w:kern w:val="0"/>
          <w:sz w:val="32"/>
          <w:szCs w:val="32"/>
          <w:lang w:eastAsia="zh-CN"/>
        </w:rPr>
        <w:t>委托业务</w:t>
      </w:r>
      <w:r>
        <w:rPr>
          <w:rFonts w:hint="eastAsia" w:ascii="Times New Roman" w:hAnsi="Times New Roman" w:eastAsia="方正仿宋_GBK" w:cs="宋体"/>
          <w:kern w:val="0"/>
          <w:sz w:val="32"/>
          <w:szCs w:val="32"/>
        </w:rPr>
        <w:t>费用增加，日常办公费用增加。公用经费用途主要包括办公费、水费、电费、邮电费、差旅费、委托业务费</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其他交通费用、工会经费等。</w:t>
      </w:r>
    </w:p>
    <w:p w14:paraId="7774A62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（五）政府性基金预算收支决算情况说明</w:t>
      </w:r>
    </w:p>
    <w:p w14:paraId="682AED69">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本单位2024年度无政府性基金预算财政拨款收支。</w:t>
      </w:r>
    </w:p>
    <w:p w14:paraId="2919BD23">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（六）国有资本经营预算财政拨款支出决算情况说明</w:t>
      </w:r>
    </w:p>
    <w:p w14:paraId="2CA05E57">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本单位2024年度无国有资本经营预算财政拨款支出。</w:t>
      </w:r>
    </w:p>
    <w:p w14:paraId="7E7C6750">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三、财政拨款“三公”经费情况说明</w:t>
      </w:r>
    </w:p>
    <w:p w14:paraId="07BA9328">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（一）“三公”经费支出总体情况说明</w:t>
      </w:r>
    </w:p>
    <w:p w14:paraId="6F7E8AB8">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2024年度“三公”经费支出共计10.23万元，较年初预算数减少2.77万元，下降21.3%，主要原因是认真贯彻落实中央八项规定精神，厉行节约</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加强公务接待支出管理</w:t>
      </w:r>
      <w:r>
        <w:rPr>
          <w:rFonts w:hint="eastAsia" w:ascii="Times New Roman" w:hAnsi="Times New Roman" w:eastAsia="方正仿宋_GBK" w:cs="宋体"/>
          <w:kern w:val="0"/>
          <w:sz w:val="32"/>
          <w:szCs w:val="32"/>
        </w:rPr>
        <w:t>。较上年支出数增加0.23万元，增长2.3%，主要原因是</w:t>
      </w:r>
      <w:r>
        <w:rPr>
          <w:rFonts w:hint="eastAsia" w:ascii="Times New Roman" w:hAnsi="Times New Roman" w:eastAsia="方正仿宋_GBK" w:cs="宋体"/>
          <w:kern w:val="0"/>
          <w:sz w:val="32"/>
          <w:szCs w:val="32"/>
          <w:lang w:val="en-US" w:eastAsia="zh-CN"/>
        </w:rPr>
        <w:t>上年度未发生公务接待费用，本年度公务</w:t>
      </w:r>
      <w:r>
        <w:rPr>
          <w:rFonts w:hint="eastAsia" w:ascii="Times New Roman" w:hAnsi="Times New Roman" w:eastAsia="方正仿宋_GBK" w:cs="宋体"/>
          <w:kern w:val="0"/>
          <w:sz w:val="32"/>
          <w:szCs w:val="32"/>
        </w:rPr>
        <w:t>接待批次、接待人数增加。</w:t>
      </w:r>
    </w:p>
    <w:p w14:paraId="0EA447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（二）“三公”经费分项支出情况</w:t>
      </w:r>
    </w:p>
    <w:p w14:paraId="27D0FA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年度未发生因公出国（境）费用支出。</w:t>
      </w:r>
    </w:p>
    <w:p w14:paraId="3B4BB7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年度未发生公务车购置费用支出。</w:t>
      </w:r>
    </w:p>
    <w:p w14:paraId="59A24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公务车运行维护费10.00万元，主要用于机要文件交换、市内因公出行、应急救援与安全生产监管等工作所需车辆的燃料费、维修费、过桥过路费、保险费等。费用支出较年初预算数无增减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与年初预算数持平。较上年支出数无增减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与上年持平</w:t>
      </w:r>
      <w:r>
        <w:rPr>
          <w:rFonts w:hint="eastAsia" w:ascii="Times New Roman" w:hAnsi="Times New Roman" w:eastAsia="方正仿宋_GBK" w:cs="宋体"/>
          <w:kern w:val="0"/>
          <w:sz w:val="32"/>
          <w:szCs w:val="32"/>
        </w:rPr>
        <w:t>。</w:t>
      </w:r>
    </w:p>
    <w:p w14:paraId="74D714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公务接待费0.23万元，主要用于</w:t>
      </w:r>
      <w:r>
        <w:rPr>
          <w:rFonts w:hint="eastAsia" w:ascii="Times New Roman" w:hAnsi="Times New Roman" w:eastAsia="方正仿宋_GBK" w:cs="宋体"/>
          <w:kern w:val="0"/>
          <w:sz w:val="32"/>
          <w:szCs w:val="32"/>
          <w:lang w:val="en-US" w:eastAsia="zh-CN"/>
        </w:rPr>
        <w:t>上级单位调研、检查等</w:t>
      </w:r>
      <w:r>
        <w:rPr>
          <w:rFonts w:hint="eastAsia" w:ascii="Times New Roman" w:hAnsi="Times New Roman" w:eastAsia="方正仿宋_GBK" w:cs="宋体"/>
          <w:kern w:val="0"/>
          <w:sz w:val="32"/>
          <w:szCs w:val="32"/>
        </w:rPr>
        <w:t>接待。费用支出较年初预算数减少2.77万元，下降92.3%，主要原因是认真贯彻落实中央八项规定精神，厉行节约，加强公务接待支出管理。较上年支出数增加0.23万元，增长100.0%，主要原因是上年度未发生公务接待费用，本年度公务接待批次、接待人数增加。</w:t>
      </w:r>
    </w:p>
    <w:p w14:paraId="66AA567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（三）“三公”经费实物量情况</w:t>
      </w:r>
    </w:p>
    <w:p w14:paraId="3FEF2A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xml:space="preserve"> 2024年度本单位因公出国（境）共计0个团组，0人；公务用车购置0辆，公务车保有量为2辆；国内公务接待3批次24人，其中：国内外事接待0批次，0人；国（境）外公务接待0批次，0人。2024年本单位人均接待费95.46元，车均购置费0万元，车均维护费5.00万元。</w:t>
      </w:r>
    </w:p>
    <w:p w14:paraId="69F07B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宋体"/>
          <w:b/>
          <w:kern w:val="0"/>
          <w:sz w:val="32"/>
          <w:szCs w:val="32"/>
        </w:rPr>
      </w:pPr>
      <w:r>
        <w:rPr>
          <w:rFonts w:hint="eastAsia" w:ascii="Times New Roman" w:hAnsi="Times New Roman" w:eastAsia="方正黑体_GBK" w:cs="宋体"/>
          <w:bCs/>
          <w:kern w:val="0"/>
          <w:sz w:val="32"/>
          <w:szCs w:val="20"/>
        </w:rPr>
        <w:t>四、其他需要说明的事项</w:t>
      </w:r>
    </w:p>
    <w:p w14:paraId="2DCA60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（一）财政拨款会议费和培训费情况说明</w:t>
      </w:r>
    </w:p>
    <w:p w14:paraId="3579BA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本年度会议费支出0.12万元，与2023年度相比，减少1.89万元，下降94.0%，主要原因是认真贯彻落实中央八项规定精神，厉行节约</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会议保障费用减少。本年度培训费支出0.95万元，与2023年度相比，减少0.03万元，下降3.1%，主要原因是</w:t>
      </w:r>
      <w:r>
        <w:rPr>
          <w:rFonts w:hint="eastAsia" w:ascii="Times New Roman" w:hAnsi="Times New Roman" w:eastAsia="方正仿宋_GBK" w:cs="宋体"/>
          <w:kern w:val="0"/>
          <w:sz w:val="32"/>
          <w:szCs w:val="32"/>
          <w:lang w:val="en-US" w:eastAsia="zh-CN"/>
        </w:rPr>
        <w:t>培训人次减少</w:t>
      </w:r>
      <w:r>
        <w:rPr>
          <w:rFonts w:hint="eastAsia" w:ascii="Times New Roman" w:hAnsi="Times New Roman" w:eastAsia="方正仿宋_GBK" w:cs="宋体"/>
          <w:kern w:val="0"/>
          <w:sz w:val="32"/>
          <w:szCs w:val="32"/>
        </w:rPr>
        <w:t>。</w:t>
      </w:r>
    </w:p>
    <w:p w14:paraId="35D31B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（二）机关运行经费情况说明</w:t>
      </w:r>
    </w:p>
    <w:p w14:paraId="416A11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2024年度本单位机关运行经费支出137.12万元，机关运行经费主要用于</w:t>
      </w:r>
      <w:r>
        <w:rPr>
          <w:rFonts w:hint="eastAsia" w:ascii="Times New Roman" w:hAnsi="Times New Roman" w:eastAsia="方正仿宋_GBK" w:cs="宋体"/>
          <w:kern w:val="0"/>
          <w:sz w:val="32"/>
          <w:szCs w:val="32"/>
          <w:lang w:eastAsia="zh-CN"/>
        </w:rPr>
        <w:t>开支</w:t>
      </w:r>
      <w:r>
        <w:rPr>
          <w:rFonts w:hint="eastAsia" w:ascii="Times New Roman" w:hAnsi="Times New Roman" w:eastAsia="方正仿宋_GBK" w:cs="宋体"/>
          <w:kern w:val="0"/>
          <w:sz w:val="32"/>
          <w:szCs w:val="32"/>
        </w:rPr>
        <w:t>办公费、水费、电费、邮电费、差旅费、委托业务费、其他交通费用、工会经费等。机关运行经费较上年支出数增加21.35万元，增长18.4%，主要原因是内控编制等委托业务费用增加，日常办公费用增加。</w:t>
      </w:r>
    </w:p>
    <w:p w14:paraId="6CB63D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（三）国有资产占用情况说明</w:t>
      </w:r>
    </w:p>
    <w:p w14:paraId="6BE9C0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14:paraId="01B1CF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宋体"/>
          <w:b/>
          <w:kern w:val="0"/>
          <w:sz w:val="32"/>
          <w:szCs w:val="32"/>
        </w:rPr>
      </w:pPr>
      <w:r>
        <w:rPr>
          <w:rFonts w:hint="eastAsia" w:ascii="Times New Roman" w:hAnsi="Times New Roman" w:eastAsia="方正楷体_GBK" w:cs="宋体"/>
          <w:bCs/>
          <w:kern w:val="0"/>
          <w:sz w:val="32"/>
          <w:szCs w:val="20"/>
        </w:rPr>
        <w:t>（四）政府采购支出情况说明</w:t>
      </w:r>
    </w:p>
    <w:p w14:paraId="7D8B296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2024年度本单位政府采购支出总额7.41万元，其中：政府采购货物支出7.41万元、政府采购工程支出0.00万元、政府采购服务支出0.00万元。授予中小企业合同金额7.41万元，占政府采购支出总额的100.00%，其中：授予小微企业合同金额7.41万元，占政府采购支出总额的100.00 %。主要用于采购</w:t>
      </w:r>
      <w:r>
        <w:rPr>
          <w:rFonts w:hint="eastAsia" w:ascii="Times New Roman" w:hAnsi="Times New Roman" w:eastAsia="方正仿宋_GBK" w:cs="宋体"/>
          <w:kern w:val="0"/>
          <w:sz w:val="32"/>
          <w:szCs w:val="32"/>
          <w:lang w:val="en-US" w:eastAsia="zh-CN"/>
        </w:rPr>
        <w:t>办公电脑、打印机等</w:t>
      </w:r>
      <w:r>
        <w:rPr>
          <w:rFonts w:hint="eastAsia" w:ascii="Times New Roman" w:hAnsi="Times New Roman" w:eastAsia="方正仿宋_GBK" w:cs="宋体"/>
          <w:kern w:val="0"/>
          <w:sz w:val="32"/>
          <w:szCs w:val="32"/>
        </w:rPr>
        <w:t>。</w:t>
      </w:r>
    </w:p>
    <w:p w14:paraId="49AF86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五、2024年度预算绩效管理情况说明</w:t>
      </w:r>
    </w:p>
    <w:p w14:paraId="37AD7B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（一）预算绩效管理工作开展情况</w:t>
      </w:r>
    </w:p>
    <w:p w14:paraId="06B220E3">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本单位</w:t>
      </w:r>
      <w:r>
        <w:rPr>
          <w:rFonts w:hint="eastAsia" w:ascii="Times New Roman" w:hAnsi="Times New Roman" w:eastAsia="方正仿宋_GBK" w:cs="宋体"/>
          <w:kern w:val="0"/>
          <w:sz w:val="32"/>
          <w:szCs w:val="32"/>
        </w:rPr>
        <w:t>202</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年度无项目支出经费，故未开展预算</w:t>
      </w:r>
      <w:r>
        <w:rPr>
          <w:rFonts w:hint="eastAsia" w:ascii="Times New Roman" w:hAnsi="Times New Roman" w:eastAsia="方正仿宋_GBK" w:cs="宋体"/>
          <w:kern w:val="0"/>
          <w:sz w:val="32"/>
          <w:szCs w:val="32"/>
          <w:lang w:val="en-US" w:eastAsia="zh-CN"/>
        </w:rPr>
        <w:t>绩效管理工作</w:t>
      </w:r>
    </w:p>
    <w:p w14:paraId="2088D8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lang w:val="en-US" w:eastAsia="zh-CN"/>
        </w:rPr>
        <w:t>六、专业名词解释</w:t>
      </w:r>
    </w:p>
    <w:p w14:paraId="1BCF65E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248C7DB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1CC8921">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5C264D1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5FF311A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w:t>
      </w:r>
      <w:bookmarkStart w:id="0" w:name="_GoBack"/>
      <w:r>
        <w:rPr>
          <w:rFonts w:hint="eastAsia" w:ascii="方正仿宋_GBK" w:hAnsi="方正仿宋_GBK" w:eastAsia="方正仿宋_GBK" w:cs="方正仿宋_GBK"/>
          <w:kern w:val="0"/>
          <w:sz w:val="32"/>
          <w:szCs w:val="32"/>
          <w:shd w:val="clear" w:fill="FFFFFF"/>
        </w:rPr>
        <w:t>”、“</w:t>
      </w:r>
      <w:bookmarkEnd w:id="0"/>
      <w:r>
        <w:rPr>
          <w:rFonts w:hint="eastAsia" w:ascii="方正仿宋_GBK" w:hAnsi="方正仿宋_GBK" w:eastAsia="方正仿宋_GBK" w:cs="方正仿宋_GBK"/>
          <w:kern w:val="0"/>
          <w:sz w:val="32"/>
          <w:szCs w:val="32"/>
          <w:shd w:val="clear" w:fill="FFFFFF"/>
        </w:rPr>
        <w:t>经营收入”、“其他收入”等不足以安排当年支出的情况下，使用以前年度积累的非财政拨款结余弥补本年度收支缺口的资金。</w:t>
      </w:r>
    </w:p>
    <w:p w14:paraId="1A6B9543">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529B9A16">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7F8C5A6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055415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4CDBA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9F74707">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2E73B35">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D8008FE">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AB3FBD">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B9E260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4D20659C">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8C9EF28">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宋体"/>
          <w:bCs/>
          <w:kern w:val="0"/>
          <w:sz w:val="32"/>
          <w:szCs w:val="20"/>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46ABA4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黑体_GBK" w:cs="宋体"/>
          <w:bCs/>
          <w:kern w:val="0"/>
          <w:sz w:val="32"/>
          <w:szCs w:val="20"/>
          <w:lang w:val="en-US" w:eastAsia="zh-CN"/>
        </w:rPr>
      </w:pPr>
      <w:r>
        <w:rPr>
          <w:rFonts w:hint="eastAsia" w:ascii="Times New Roman" w:hAnsi="Times New Roman" w:eastAsia="方正黑体_GBK" w:cs="宋体"/>
          <w:bCs/>
          <w:kern w:val="0"/>
          <w:sz w:val="32"/>
          <w:szCs w:val="20"/>
          <w:lang w:val="en-US" w:eastAsia="zh-CN"/>
        </w:rPr>
        <w:t>七、决算公开联系方式及信息反馈渠道</w:t>
      </w:r>
    </w:p>
    <w:p w14:paraId="67130C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w:t>
      </w:r>
    </w:p>
    <w:p w14:paraId="3EFF164F">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023-68786597</w:t>
      </w:r>
    </w:p>
    <w:p w14:paraId="0CCCEDC4">
      <w:pPr>
        <w:keepNext w:val="0"/>
        <w:keepLines w:val="0"/>
        <w:pageBreakBefore w:val="0"/>
        <w:widowControl w:val="0"/>
        <w:kinsoku/>
        <w:wordWrap/>
        <w:overflowPunct/>
        <w:topLinePunct w:val="0"/>
        <w:autoSpaceDN/>
        <w:bidi w:val="0"/>
        <w:spacing w:line="600" w:lineRule="exact"/>
        <w:ind w:firstLine="640" w:firstLineChars="200"/>
        <w:jc w:val="both"/>
        <w:textAlignment w:val="auto"/>
        <w:rPr>
          <w:rFonts w:hint="default" w:ascii="Times New Roman" w:hAnsi="Times New Roman" w:eastAsia="方正仿宋_GBK" w:cs="宋体"/>
          <w:kern w:val="0"/>
          <w:sz w:val="32"/>
          <w:szCs w:val="32"/>
        </w:rPr>
      </w:pPr>
    </w:p>
    <w:p w14:paraId="3213112E">
      <w:pPr>
        <w:keepNext w:val="0"/>
        <w:keepLines w:val="0"/>
        <w:pageBreakBefore w:val="0"/>
        <w:widowControl w:val="0"/>
        <w:kinsoku/>
        <w:wordWrap/>
        <w:overflowPunct/>
        <w:topLinePunct w:val="0"/>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附件：1.收入支出决算总表</w:t>
      </w:r>
    </w:p>
    <w:p w14:paraId="0B15FC41">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2.收入决算表</w:t>
      </w:r>
    </w:p>
    <w:p w14:paraId="66BC2D58">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3.支出决算表</w:t>
      </w:r>
    </w:p>
    <w:p w14:paraId="44B5BBC2">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4.财政拨款收入支出决算总表</w:t>
      </w:r>
    </w:p>
    <w:p w14:paraId="7B77C9E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5.一般公共预算财政拨款收入支出决算表</w:t>
      </w:r>
    </w:p>
    <w:p w14:paraId="1708ED73">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6.一般公共预算财政拨款基本支出决算表</w:t>
      </w:r>
    </w:p>
    <w:p w14:paraId="087FBFF4">
      <w:pPr>
        <w:keepNext w:val="0"/>
        <w:keepLines w:val="0"/>
        <w:pageBreakBefore w:val="0"/>
        <w:widowControl w:val="0"/>
        <w:kinsoku/>
        <w:wordWrap/>
        <w:overflowPunct/>
        <w:topLinePunct w:val="0"/>
        <w:autoSpaceDN/>
        <w:bidi w:val="0"/>
        <w:adjustRightInd w:val="0"/>
        <w:snapToGrid w:val="0"/>
        <w:spacing w:line="600" w:lineRule="exact"/>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7.政府性基金预算财政拨款收入支出决算表</w:t>
      </w:r>
    </w:p>
    <w:p w14:paraId="1874734C">
      <w:pPr>
        <w:keepNext w:val="0"/>
        <w:keepLines w:val="0"/>
        <w:pageBreakBefore w:val="0"/>
        <w:widowControl w:val="0"/>
        <w:kinsoku/>
        <w:wordWrap/>
        <w:overflowPunct/>
        <w:topLinePunct w:val="0"/>
        <w:autoSpaceDN/>
        <w:bidi w:val="0"/>
        <w:adjustRightInd w:val="0"/>
        <w:snapToGrid w:val="0"/>
        <w:spacing w:line="600" w:lineRule="exact"/>
        <w:ind w:firstLine="1600" w:firstLineChars="500"/>
        <w:jc w:val="left"/>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8.国有资本经营预算财政拨款支出决算表</w:t>
      </w:r>
    </w:p>
    <w:p w14:paraId="53FA013D">
      <w:pPr>
        <w:pStyle w:val="12"/>
        <w:keepNext w:val="0"/>
        <w:keepLines w:val="0"/>
        <w:pageBreakBefore w:val="0"/>
        <w:widowControl w:val="0"/>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9.机构运行信息表</w:t>
      </w:r>
    </w:p>
    <w:p w14:paraId="200C4D0D">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5509087B">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E48365C">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35"/>
        <w:gridCol w:w="3509"/>
        <w:gridCol w:w="3989"/>
        <w:gridCol w:w="2803"/>
      </w:tblGrid>
      <w:tr w14:paraId="6E4DFF4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698331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59C73C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EED8BCF">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FE943F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F38BA29">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86580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8482FC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077F5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重庆市九龙坡区应急管理综合行政执法支队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30E300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A8C0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D38903">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5EF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9D6146">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48331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B79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C98F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AEB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5FD2C">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2366E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9B91">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723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003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403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6F304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B5D2">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7F4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9BA2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9B4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EB63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EB8E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B79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3A0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58D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BB99D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C70B">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4E0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F7C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2D4B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8758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7526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BEB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EC6E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BE6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573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0A9A">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18F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3637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8C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0429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08753">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E1E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277A9">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522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BBE5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4766">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86F3B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4DAC">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076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88.44</w:t>
            </w:r>
            <w:r>
              <w:rPr>
                <w:rFonts w:ascii="Times New Roman" w:hAnsi="Times New Roman"/>
                <w:color w:val="000000"/>
                <w:sz w:val="20"/>
                <w:u w:color="auto"/>
              </w:rPr>
              <w:t xml:space="preserve"> </w:t>
            </w:r>
          </w:p>
        </w:tc>
      </w:tr>
      <w:tr w14:paraId="51E93E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323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B7DE7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0343D">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1D2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40.18</w:t>
            </w:r>
            <w:r>
              <w:rPr>
                <w:rFonts w:ascii="Times New Roman" w:hAnsi="Times New Roman"/>
                <w:color w:val="000000"/>
                <w:sz w:val="20"/>
                <w:u w:color="auto"/>
              </w:rPr>
              <w:t xml:space="preserve"> </w:t>
            </w:r>
          </w:p>
        </w:tc>
      </w:tr>
      <w:tr w14:paraId="5E4AA4E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152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23A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C2A9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8AE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DEC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6B1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6B6C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8FB8">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099B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31DB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48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0B8D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D347B">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00F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B67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97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5D0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5E1B0">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0C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9CBC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0770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77B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7CF37">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D53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6ABD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5D68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1CF2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D8C1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2BD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9B15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3A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B9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EE6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FCC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665D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52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38CD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151BB">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1A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76498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47B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3D02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4ED05">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270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479B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88B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1931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431D">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9BF7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60.61</w:t>
            </w:r>
            <w:r>
              <w:rPr>
                <w:rFonts w:ascii="Times New Roman" w:hAnsi="Times New Roman"/>
                <w:color w:val="000000"/>
                <w:sz w:val="20"/>
                <w:u w:color="auto"/>
              </w:rPr>
              <w:t xml:space="preserve"> </w:t>
            </w:r>
          </w:p>
        </w:tc>
      </w:tr>
      <w:tr w14:paraId="08A68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A5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8191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D0B9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A22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2ECC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06A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725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8B5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4E93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8D49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6EA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5026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8FDA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794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r>
      <w:tr w14:paraId="569541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1F5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247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257F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06BA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DABF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A965">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7A86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288FE">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69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4EF96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A04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8266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9878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F6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D8E4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D88B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E734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D01AE">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1E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D061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99CF">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E3A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A859">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9578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r>
              <w:rPr>
                <w:rFonts w:ascii="Times New Roman" w:hAnsi="Times New Roman"/>
                <w:color w:val="000000"/>
                <w:sz w:val="20"/>
                <w:u w:color="auto"/>
              </w:rPr>
              <w:t xml:space="preserve"> </w:t>
            </w:r>
          </w:p>
        </w:tc>
      </w:tr>
      <w:tr w14:paraId="09B129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4630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BE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383E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EFC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BBF7C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4BAF">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AB5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41110">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FC4C3F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B05177">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CBB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099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A5623E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91B1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806.75</w:t>
            </w:r>
            <w:r>
              <w:rPr>
                <w:rFonts w:ascii="Times New Roman" w:hAnsi="Times New Roman"/>
                <w:color w:val="000000"/>
                <w:sz w:val="20"/>
                <w:u w:color="auto"/>
              </w:rPr>
              <w:t xml:space="preserve"> </w:t>
            </w:r>
          </w:p>
        </w:tc>
      </w:tr>
    </w:tbl>
    <w:p w14:paraId="411B095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45F01CE">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1637"/>
        <w:gridCol w:w="3230"/>
        <w:gridCol w:w="1465"/>
        <w:gridCol w:w="1333"/>
        <w:gridCol w:w="1145"/>
        <w:gridCol w:w="1320"/>
        <w:gridCol w:w="1342"/>
        <w:gridCol w:w="1181"/>
        <w:gridCol w:w="1236"/>
        <w:gridCol w:w="1224"/>
      </w:tblGrid>
      <w:tr w14:paraId="27ED9926">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5C4EE6F">
            <w:pPr>
              <w:jc w:val="center"/>
              <w:textAlignment w:val="bottom"/>
              <w:rPr>
                <w:rFonts w:hint="default" w:cs="宋体"/>
                <w:b/>
                <w:color w:val="000000"/>
                <w:sz w:val="32"/>
                <w:szCs w:val="32"/>
              </w:rPr>
            </w:pPr>
            <w:r>
              <w:rPr>
                <w:rFonts w:cs="宋体"/>
                <w:b/>
                <w:color w:val="000000"/>
                <w:sz w:val="32"/>
                <w:szCs w:val="32"/>
              </w:rPr>
              <w:t>收入决算表</w:t>
            </w:r>
          </w:p>
        </w:tc>
      </w:tr>
      <w:tr w14:paraId="6F4DD99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EC6C3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重庆市九龙坡区应急管理综合行政执法支队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14:paraId="304A22B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C1DBBA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52191F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7F55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56F71F4">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7648BE6">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140A7A7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5B17FB7">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53ABA2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6703469">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A9798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237047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B0F0E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1405B4F">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8C905E7">
            <w:pPr>
              <w:rPr>
                <w:rFonts w:hint="default" w:cs="宋体"/>
                <w:color w:val="000000"/>
                <w:sz w:val="20"/>
                <w:szCs w:val="20"/>
              </w:rPr>
            </w:pPr>
          </w:p>
        </w:tc>
        <w:tc>
          <w:tcPr>
            <w:tcW w:w="427" w:type="pct"/>
            <w:tcBorders>
              <w:top w:val="nil"/>
              <w:left w:val="nil"/>
              <w:bottom w:val="nil"/>
              <w:right w:val="nil"/>
            </w:tcBorders>
            <w:shd w:val="clear" w:color="auto" w:fill="auto"/>
            <w:noWrap/>
            <w:tcMar>
              <w:top w:w="15" w:type="dxa"/>
              <w:left w:w="15" w:type="dxa"/>
              <w:right w:w="15" w:type="dxa"/>
            </w:tcMar>
            <w:vAlign w:val="bottom"/>
          </w:tcPr>
          <w:p w14:paraId="006FCE4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B3AC30">
        <w:tblPrEx>
          <w:tblCellMar>
            <w:top w:w="0" w:type="dxa"/>
            <w:left w:w="0" w:type="dxa"/>
            <w:bottom w:w="0" w:type="dxa"/>
            <w:right w:w="0" w:type="dxa"/>
          </w:tblCellMar>
        </w:tblPrEx>
        <w:trPr>
          <w:trHeight w:val="431" w:hRule="atLeast"/>
        </w:trPr>
        <w:tc>
          <w:tcPr>
            <w:tcW w:w="140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BA3A11E">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24F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EBE5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B76F">
            <w:pPr>
              <w:jc w:val="center"/>
              <w:textAlignment w:val="center"/>
              <w:rPr>
                <w:rFonts w:hint="default" w:cs="宋体"/>
                <w:b/>
                <w:color w:val="000000"/>
                <w:sz w:val="20"/>
                <w:szCs w:val="20"/>
              </w:rPr>
            </w:pPr>
            <w:r>
              <w:rPr>
                <w:rFonts w:cs="宋体"/>
                <w:b/>
                <w:color w:val="000000"/>
                <w:sz w:val="20"/>
                <w:szCs w:val="20"/>
              </w:rPr>
              <w:t>上级补助收入</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5EB15">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76033">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9B04">
            <w:pPr>
              <w:jc w:val="center"/>
              <w:textAlignment w:val="center"/>
              <w:rPr>
                <w:rFonts w:hint="default" w:cs="宋体"/>
                <w:b/>
                <w:color w:val="000000"/>
                <w:sz w:val="20"/>
                <w:szCs w:val="20"/>
              </w:rPr>
            </w:pPr>
            <w:r>
              <w:rPr>
                <w:rFonts w:cs="宋体"/>
                <w:b/>
                <w:color w:val="000000"/>
                <w:sz w:val="20"/>
                <w:szCs w:val="20"/>
              </w:rPr>
              <w:t>附属单位上缴收入</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24B0">
            <w:pPr>
              <w:jc w:val="center"/>
              <w:textAlignment w:val="center"/>
              <w:rPr>
                <w:rFonts w:hint="default" w:cs="宋体"/>
                <w:b/>
                <w:color w:val="000000"/>
                <w:sz w:val="20"/>
                <w:szCs w:val="20"/>
              </w:rPr>
            </w:pPr>
            <w:r>
              <w:rPr>
                <w:rFonts w:cs="宋体"/>
                <w:b/>
                <w:color w:val="000000"/>
                <w:sz w:val="20"/>
                <w:szCs w:val="20"/>
              </w:rPr>
              <w:t>其他收入</w:t>
            </w:r>
          </w:p>
        </w:tc>
      </w:tr>
      <w:tr w14:paraId="3EB6C9A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B33E">
            <w:pPr>
              <w:jc w:val="center"/>
              <w:textAlignment w:val="center"/>
              <w:rPr>
                <w:rFonts w:hint="default" w:cs="宋体"/>
                <w:b/>
                <w:color w:val="000000"/>
                <w:sz w:val="20"/>
                <w:szCs w:val="20"/>
              </w:rPr>
            </w:pPr>
            <w:r>
              <w:rPr>
                <w:rFonts w:cs="宋体"/>
                <w:b/>
                <w:color w:val="000000"/>
                <w:sz w:val="20"/>
                <w:szCs w:val="20"/>
              </w:rPr>
              <w:t>功能分类科目编码</w:t>
            </w:r>
          </w:p>
        </w:tc>
        <w:tc>
          <w:tcPr>
            <w:tcW w:w="940"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BB73F7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B7DD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FA37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2337">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2FD5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DE79C">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6ED5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5AFA2">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1754">
            <w:pPr>
              <w:jc w:val="center"/>
              <w:rPr>
                <w:rFonts w:hint="default" w:cs="宋体"/>
                <w:b/>
                <w:color w:val="000000"/>
                <w:sz w:val="20"/>
                <w:szCs w:val="20"/>
              </w:rPr>
            </w:pPr>
          </w:p>
        </w:tc>
      </w:tr>
      <w:tr w14:paraId="2844E91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9E17">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5AAEA9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7923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5741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F3C19">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019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2657">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9BC5E">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45762">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4A495">
            <w:pPr>
              <w:jc w:val="center"/>
              <w:rPr>
                <w:rFonts w:hint="default" w:cs="宋体"/>
                <w:b/>
                <w:color w:val="000000"/>
                <w:sz w:val="20"/>
                <w:szCs w:val="20"/>
              </w:rPr>
            </w:pPr>
          </w:p>
        </w:tc>
      </w:tr>
      <w:tr w14:paraId="33C7EBC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7CBC">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6B01B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4B87F">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2536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916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730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C3A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8DD6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EBE4A">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1DAF">
            <w:pPr>
              <w:jc w:val="center"/>
              <w:rPr>
                <w:rFonts w:hint="default" w:cs="宋体"/>
                <w:b/>
                <w:color w:val="000000"/>
                <w:sz w:val="20"/>
                <w:szCs w:val="20"/>
              </w:rPr>
            </w:pPr>
          </w:p>
        </w:tc>
      </w:tr>
      <w:tr w14:paraId="6C34D8E2">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00CD">
            <w:pPr>
              <w:jc w:val="center"/>
              <w:rPr>
                <w:rFonts w:hint="default" w:cs="宋体"/>
                <w:b/>
                <w:color w:val="000000"/>
                <w:sz w:val="20"/>
                <w:szCs w:val="20"/>
              </w:rPr>
            </w:pPr>
          </w:p>
        </w:tc>
        <w:tc>
          <w:tcPr>
            <w:tcW w:w="940"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25861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A5D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1C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0FCD">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EE6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667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E3DF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B34A4">
            <w:pPr>
              <w:jc w:val="center"/>
              <w:rPr>
                <w:rFonts w:hint="default" w:cs="宋体"/>
                <w:b/>
                <w:color w:val="000000"/>
                <w:sz w:val="20"/>
                <w:szCs w:val="20"/>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A46BD">
            <w:pPr>
              <w:jc w:val="center"/>
              <w:rPr>
                <w:rFonts w:hint="default" w:cs="宋体"/>
                <w:b/>
                <w:color w:val="000000"/>
                <w:sz w:val="20"/>
                <w:szCs w:val="20"/>
              </w:rPr>
            </w:pPr>
          </w:p>
        </w:tc>
      </w:tr>
      <w:tr w14:paraId="0AB919D1">
        <w:tblPrEx>
          <w:tblCellMar>
            <w:top w:w="0" w:type="dxa"/>
            <w:left w:w="0" w:type="dxa"/>
            <w:bottom w:w="0" w:type="dxa"/>
            <w:right w:w="0" w:type="dxa"/>
          </w:tblCellMar>
        </w:tblPrEx>
        <w:trPr>
          <w:trHeight w:val="338" w:hRule="atLeast"/>
        </w:trPr>
        <w:tc>
          <w:tcPr>
            <w:tcW w:w="14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51B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D38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DB0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813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DB2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D4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08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B283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FFA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251CA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8C0A">
            <w:pPr>
              <w:textAlignment w:val="center"/>
              <w:rPr>
                <w:rFonts w:hint="default" w:cs="宋体"/>
                <w:color w:val="000000"/>
                <w:sz w:val="20"/>
                <w:szCs w:val="20"/>
              </w:rPr>
            </w:pPr>
            <w:r>
              <w:rPr>
                <w:rFonts w:cs="宋体"/>
                <w:b/>
                <w:color w:val="000000"/>
                <w:sz w:val="20"/>
                <w:szCs w:val="20"/>
              </w:rPr>
              <w:t>208</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414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A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A3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E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C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9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C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7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5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6913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EBE0">
            <w:pPr>
              <w:textAlignment w:val="center"/>
              <w:rPr>
                <w:rFonts w:hint="default" w:cs="宋体"/>
                <w:color w:val="000000"/>
                <w:sz w:val="20"/>
                <w:szCs w:val="20"/>
              </w:rPr>
            </w:pPr>
            <w:r>
              <w:rPr>
                <w:rFonts w:cs="宋体"/>
                <w:b/>
                <w:color w:val="000000"/>
                <w:sz w:val="20"/>
                <w:szCs w:val="20"/>
              </w:rPr>
              <w:t>20805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C6937">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CC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4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B0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D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14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38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9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E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A7A8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EC24">
            <w:pPr>
              <w:textAlignment w:val="center"/>
              <w:rPr>
                <w:rFonts w:hint="default" w:cs="宋体"/>
                <w:color w:val="000000"/>
                <w:sz w:val="20"/>
                <w:szCs w:val="20"/>
              </w:rPr>
            </w:pPr>
            <w:r>
              <w:rPr>
                <w:rFonts w:cs="宋体"/>
                <w:color w:val="000000"/>
                <w:sz w:val="20"/>
                <w:szCs w:val="20"/>
              </w:rPr>
              <w:t>2080505</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C147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D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95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7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C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D9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B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30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3F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2CFF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E515">
            <w:pPr>
              <w:textAlignment w:val="center"/>
              <w:rPr>
                <w:rFonts w:hint="default" w:cs="宋体"/>
                <w:color w:val="000000"/>
                <w:sz w:val="20"/>
                <w:szCs w:val="20"/>
              </w:rPr>
            </w:pPr>
            <w:r>
              <w:rPr>
                <w:rFonts w:cs="宋体"/>
                <w:color w:val="000000"/>
                <w:sz w:val="20"/>
                <w:szCs w:val="20"/>
              </w:rPr>
              <w:t>2080506</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714E">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E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D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4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49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3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E34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0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84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477B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1E88">
            <w:pPr>
              <w:textAlignment w:val="center"/>
              <w:rPr>
                <w:rFonts w:hint="default" w:cs="宋体"/>
                <w:color w:val="000000"/>
                <w:sz w:val="20"/>
                <w:szCs w:val="20"/>
              </w:rPr>
            </w:pPr>
            <w:r>
              <w:rPr>
                <w:rFonts w:cs="宋体"/>
                <w:color w:val="000000"/>
                <w:sz w:val="20"/>
                <w:szCs w:val="20"/>
              </w:rPr>
              <w:t>2080599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88BB">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1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87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A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8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3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B5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E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1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A93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3609">
            <w:pPr>
              <w:textAlignment w:val="center"/>
              <w:rPr>
                <w:rFonts w:hint="default" w:cs="宋体"/>
                <w:color w:val="000000"/>
                <w:sz w:val="20"/>
                <w:szCs w:val="20"/>
              </w:rPr>
            </w:pPr>
            <w:r>
              <w:rPr>
                <w:rFonts w:cs="宋体"/>
                <w:b/>
                <w:color w:val="000000"/>
                <w:sz w:val="20"/>
                <w:szCs w:val="20"/>
              </w:rPr>
              <w:t>210</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7B36F">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CB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55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A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7D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C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B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5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A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7FC1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2BAA">
            <w:pPr>
              <w:textAlignment w:val="center"/>
              <w:rPr>
                <w:rFonts w:hint="default" w:cs="宋体"/>
                <w:color w:val="000000"/>
                <w:sz w:val="20"/>
                <w:szCs w:val="20"/>
              </w:rPr>
            </w:pPr>
            <w:r>
              <w:rPr>
                <w:rFonts w:cs="宋体"/>
                <w:b/>
                <w:color w:val="000000"/>
                <w:sz w:val="20"/>
                <w:szCs w:val="20"/>
              </w:rPr>
              <w:t>21001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96ED3">
            <w:pPr>
              <w:textAlignment w:val="center"/>
              <w:rPr>
                <w:rFonts w:hint="default" w:cs="宋体"/>
                <w:color w:val="000000"/>
                <w:sz w:val="20"/>
                <w:szCs w:val="20"/>
              </w:rPr>
            </w:pPr>
            <w:r>
              <w:rPr>
                <w:rFonts w:cs="宋体"/>
                <w:b/>
                <w:color w:val="000000"/>
                <w:sz w:val="20"/>
                <w:szCs w:val="20"/>
              </w:rPr>
              <w:t>卫生健康管理事务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E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F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58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C0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DD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B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E36B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A4E1">
            <w:pPr>
              <w:textAlignment w:val="center"/>
              <w:rPr>
                <w:rFonts w:hint="default" w:cs="宋体"/>
                <w:color w:val="000000"/>
                <w:sz w:val="20"/>
                <w:szCs w:val="20"/>
              </w:rPr>
            </w:pPr>
            <w:r>
              <w:rPr>
                <w:rFonts w:cs="宋体"/>
                <w:color w:val="000000"/>
                <w:sz w:val="20"/>
                <w:szCs w:val="20"/>
              </w:rPr>
              <w:t>2100199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BDFF">
            <w:pPr>
              <w:textAlignment w:val="center"/>
              <w:rPr>
                <w:rFonts w:hint="default" w:cs="宋体"/>
                <w:color w:val="000000"/>
                <w:sz w:val="20"/>
                <w:szCs w:val="20"/>
              </w:rPr>
            </w:pPr>
            <w:r>
              <w:rPr>
                <w:rFonts w:cs="宋体"/>
                <w:color w:val="000000"/>
                <w:sz w:val="20"/>
                <w:szCs w:val="20"/>
              </w:rPr>
              <w:t>其他卫生健康管理事务支出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34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4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C5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5F7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A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A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E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1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CDC8B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7C08">
            <w:pPr>
              <w:textAlignment w:val="center"/>
              <w:rPr>
                <w:rFonts w:hint="default" w:cs="宋体"/>
                <w:color w:val="000000"/>
                <w:sz w:val="20"/>
                <w:szCs w:val="20"/>
              </w:rPr>
            </w:pPr>
            <w:r>
              <w:rPr>
                <w:rFonts w:cs="宋体"/>
                <w:b/>
                <w:color w:val="000000"/>
                <w:sz w:val="20"/>
                <w:szCs w:val="20"/>
              </w:rPr>
              <w:t>21011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FC3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3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7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E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C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B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5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0BC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85C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E9C2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2BFE">
            <w:pPr>
              <w:textAlignment w:val="center"/>
              <w:rPr>
                <w:rFonts w:hint="default" w:cs="宋体"/>
                <w:color w:val="000000"/>
                <w:sz w:val="20"/>
                <w:szCs w:val="20"/>
              </w:rPr>
            </w:pPr>
            <w:r>
              <w:rPr>
                <w:rFonts w:cs="宋体"/>
                <w:color w:val="000000"/>
                <w:sz w:val="20"/>
                <w:szCs w:val="20"/>
              </w:rPr>
              <w:t>2101101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33299">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0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5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E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56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2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1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2B8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9D4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5B289">
            <w:pPr>
              <w:textAlignment w:val="center"/>
              <w:rPr>
                <w:rFonts w:hint="default" w:cs="宋体"/>
                <w:color w:val="000000"/>
                <w:sz w:val="20"/>
                <w:szCs w:val="20"/>
              </w:rPr>
            </w:pPr>
            <w:r>
              <w:rPr>
                <w:rFonts w:cs="宋体"/>
                <w:color w:val="000000"/>
                <w:sz w:val="20"/>
                <w:szCs w:val="20"/>
              </w:rPr>
              <w:t>2101103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95E2">
            <w:pPr>
              <w:textAlignment w:val="center"/>
              <w:rPr>
                <w:rFonts w:hint="default" w:cs="宋体"/>
                <w:color w:val="000000"/>
                <w:sz w:val="20"/>
                <w:szCs w:val="20"/>
              </w:rPr>
            </w:pPr>
            <w:r>
              <w:rPr>
                <w:rFonts w:cs="宋体"/>
                <w:color w:val="000000"/>
                <w:sz w:val="20"/>
                <w:szCs w:val="20"/>
              </w:rPr>
              <w:t>公务员医疗补助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7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29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3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0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EC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2D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5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C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AF1A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EB7F">
            <w:pPr>
              <w:textAlignment w:val="center"/>
              <w:rPr>
                <w:rFonts w:hint="default" w:cs="宋体"/>
                <w:color w:val="000000"/>
                <w:sz w:val="20"/>
                <w:szCs w:val="20"/>
              </w:rPr>
            </w:pPr>
            <w:r>
              <w:rPr>
                <w:rFonts w:cs="宋体"/>
                <w:color w:val="000000"/>
                <w:sz w:val="20"/>
                <w:szCs w:val="20"/>
              </w:rPr>
              <w:t>2101199</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30E21">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8D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4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2C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86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5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0D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F3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F0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D792D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14AA">
            <w:pPr>
              <w:textAlignment w:val="center"/>
              <w:rPr>
                <w:rFonts w:hint="default" w:cs="宋体"/>
                <w:color w:val="000000"/>
                <w:sz w:val="20"/>
                <w:szCs w:val="20"/>
              </w:rPr>
            </w:pPr>
            <w:r>
              <w:rPr>
                <w:rFonts w:cs="宋体"/>
                <w:b/>
                <w:color w:val="000000"/>
                <w:sz w:val="20"/>
                <w:szCs w:val="20"/>
              </w:rPr>
              <w:t>221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F0A75">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12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E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D0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70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D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9C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5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1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36304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6C8D">
            <w:pPr>
              <w:textAlignment w:val="center"/>
              <w:rPr>
                <w:rFonts w:hint="default" w:cs="宋体"/>
                <w:color w:val="000000"/>
                <w:sz w:val="20"/>
                <w:szCs w:val="20"/>
              </w:rPr>
            </w:pPr>
            <w:r>
              <w:rPr>
                <w:rFonts w:cs="宋体"/>
                <w:b/>
                <w:color w:val="000000"/>
                <w:sz w:val="20"/>
                <w:szCs w:val="20"/>
              </w:rPr>
              <w:t>22102</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525B6">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61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A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4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FA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18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74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8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5A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D83F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C2B6">
            <w:pPr>
              <w:textAlignment w:val="center"/>
              <w:rPr>
                <w:rFonts w:hint="default" w:cs="宋体"/>
                <w:color w:val="000000"/>
                <w:sz w:val="20"/>
                <w:szCs w:val="20"/>
              </w:rPr>
            </w:pPr>
            <w:r>
              <w:rPr>
                <w:rFonts w:cs="宋体"/>
                <w:color w:val="000000"/>
                <w:sz w:val="20"/>
                <w:szCs w:val="20"/>
              </w:rPr>
              <w:t>2210201</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C593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1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F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E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3A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3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7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C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1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06F9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4EF2">
            <w:pPr>
              <w:textAlignment w:val="center"/>
              <w:rPr>
                <w:rFonts w:hint="default" w:cs="宋体"/>
                <w:color w:val="000000"/>
                <w:sz w:val="20"/>
                <w:szCs w:val="20"/>
              </w:rPr>
            </w:pPr>
            <w:r>
              <w:rPr>
                <w:rFonts w:cs="宋体"/>
                <w:color w:val="000000"/>
                <w:sz w:val="20"/>
                <w:szCs w:val="20"/>
              </w:rPr>
              <w:t>2210203</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A69C">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1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7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67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9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6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19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3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6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1C3E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D2C0">
            <w:pPr>
              <w:textAlignment w:val="center"/>
              <w:rPr>
                <w:rFonts w:hint="default" w:cs="宋体"/>
                <w:color w:val="000000"/>
                <w:sz w:val="20"/>
                <w:szCs w:val="20"/>
              </w:rPr>
            </w:pPr>
            <w:r>
              <w:rPr>
                <w:rFonts w:cs="宋体"/>
                <w:b/>
                <w:color w:val="000000"/>
                <w:sz w:val="20"/>
                <w:szCs w:val="20"/>
              </w:rPr>
              <w:t>224</w:t>
            </w:r>
          </w:p>
        </w:tc>
        <w:tc>
          <w:tcPr>
            <w:tcW w:w="9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E6703">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08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C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4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A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2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C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70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E0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B7666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B26A37A">
            <w:pPr>
              <w:textAlignment w:val="center"/>
              <w:rPr>
                <w:rFonts w:hint="default" w:cs="宋体"/>
                <w:color w:val="000000"/>
                <w:sz w:val="20"/>
                <w:szCs w:val="20"/>
              </w:rPr>
            </w:pPr>
            <w:r>
              <w:rPr>
                <w:rFonts w:cs="宋体"/>
                <w:b/>
                <w:color w:val="000000"/>
                <w:sz w:val="20"/>
                <w:szCs w:val="20"/>
              </w:rPr>
              <w:t>22401</w:t>
            </w:r>
          </w:p>
        </w:tc>
        <w:tc>
          <w:tcPr>
            <w:tcW w:w="940"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7FC6C7">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D7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0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1E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9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DF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3B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F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B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D0754F">
        <w:tblPrEx>
          <w:tblCellMar>
            <w:top w:w="0" w:type="dxa"/>
            <w:left w:w="0" w:type="dxa"/>
            <w:bottom w:w="0" w:type="dxa"/>
            <w:right w:w="0" w:type="dxa"/>
          </w:tblCellMar>
        </w:tblPrEx>
        <w:trPr>
          <w:trHeight w:val="348" w:hRule="atLeast"/>
        </w:trPr>
        <w:tc>
          <w:tcPr>
            <w:tcW w:w="46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445D2">
            <w:pPr>
              <w:textAlignment w:val="center"/>
              <w:rPr>
                <w:rFonts w:hint="default" w:cs="宋体"/>
                <w:color w:val="000000"/>
                <w:sz w:val="20"/>
                <w:szCs w:val="20"/>
              </w:rPr>
            </w:pPr>
            <w:r>
              <w:rPr>
                <w:rFonts w:cs="宋体"/>
                <w:color w:val="000000"/>
                <w:sz w:val="20"/>
                <w:szCs w:val="20"/>
              </w:rPr>
              <w:t>2240101</w:t>
            </w:r>
          </w:p>
        </w:tc>
        <w:tc>
          <w:tcPr>
            <w:tcW w:w="9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E5B040">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C625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A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D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E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5E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D0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16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6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440087">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331C4EAF">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74"/>
        <w:gridCol w:w="3555"/>
        <w:gridCol w:w="1814"/>
        <w:gridCol w:w="1742"/>
        <w:gridCol w:w="1603"/>
        <w:gridCol w:w="1535"/>
        <w:gridCol w:w="1670"/>
        <w:gridCol w:w="1920"/>
      </w:tblGrid>
      <w:tr w14:paraId="31602347">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86BA681">
            <w:pPr>
              <w:jc w:val="center"/>
              <w:textAlignment w:val="bottom"/>
              <w:rPr>
                <w:rFonts w:hint="default" w:cs="宋体"/>
                <w:b/>
                <w:color w:val="000000"/>
                <w:sz w:val="32"/>
                <w:szCs w:val="32"/>
              </w:rPr>
            </w:pPr>
            <w:r>
              <w:rPr>
                <w:rFonts w:cs="宋体"/>
                <w:b/>
                <w:color w:val="000000"/>
                <w:sz w:val="32"/>
                <w:szCs w:val="32"/>
              </w:rPr>
              <w:t>支出决算表</w:t>
            </w:r>
          </w:p>
        </w:tc>
      </w:tr>
      <w:tr w14:paraId="3D47C24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A00C78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重庆市九龙坡区应急管理综合行政执法支队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6C4871A">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23302AF">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ED23B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C8C87BB">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A8888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743B979">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2241E71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F8185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A99F6BB">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BA15D7F">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CB506C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2CB51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9CE25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4E591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5DDF">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F1253">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F16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52B32">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899E">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2AAF">
            <w:pPr>
              <w:jc w:val="center"/>
              <w:textAlignment w:val="center"/>
              <w:rPr>
                <w:rFonts w:hint="default" w:cs="宋体"/>
                <w:b/>
                <w:color w:val="000000"/>
                <w:sz w:val="20"/>
                <w:szCs w:val="20"/>
              </w:rPr>
            </w:pPr>
            <w:r>
              <w:rPr>
                <w:rFonts w:cs="宋体"/>
                <w:b/>
                <w:color w:val="000000"/>
                <w:sz w:val="20"/>
                <w:szCs w:val="20"/>
              </w:rPr>
              <w:t>对附属单位补助支出</w:t>
            </w:r>
          </w:p>
        </w:tc>
      </w:tr>
      <w:tr w14:paraId="717BCE53">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EF2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870CC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FEF0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F457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75B7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3E6F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C54E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9A47B">
            <w:pPr>
              <w:jc w:val="center"/>
              <w:rPr>
                <w:rFonts w:hint="default" w:cs="宋体"/>
                <w:b/>
                <w:color w:val="000000"/>
                <w:sz w:val="20"/>
                <w:szCs w:val="20"/>
              </w:rPr>
            </w:pPr>
          </w:p>
        </w:tc>
      </w:tr>
      <w:tr w14:paraId="0A9A9C8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BC6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2B95C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3BF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A39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62FB">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BF65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8D9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8E12F">
            <w:pPr>
              <w:jc w:val="center"/>
              <w:rPr>
                <w:rFonts w:hint="default" w:cs="宋体"/>
                <w:b/>
                <w:color w:val="000000"/>
                <w:sz w:val="20"/>
                <w:szCs w:val="20"/>
              </w:rPr>
            </w:pPr>
          </w:p>
        </w:tc>
      </w:tr>
      <w:tr w14:paraId="082082A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A68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C08FE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EDE9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639F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027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7427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85F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8CC49">
            <w:pPr>
              <w:jc w:val="center"/>
              <w:rPr>
                <w:rFonts w:hint="default" w:cs="宋体"/>
                <w:b/>
                <w:color w:val="000000"/>
                <w:sz w:val="20"/>
                <w:szCs w:val="20"/>
              </w:rPr>
            </w:pPr>
          </w:p>
        </w:tc>
      </w:tr>
      <w:tr w14:paraId="541984D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2D2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6810B76">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B4E4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D32A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438C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7BA8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AA2B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EEE54">
            <w:pPr>
              <w:jc w:val="center"/>
              <w:rPr>
                <w:rFonts w:hint="default" w:cs="宋体"/>
                <w:b/>
                <w:color w:val="000000"/>
                <w:sz w:val="20"/>
                <w:szCs w:val="20"/>
              </w:rPr>
            </w:pPr>
          </w:p>
        </w:tc>
      </w:tr>
      <w:tr w14:paraId="2AEE712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0023">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A514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E6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000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BA43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B5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150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3251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19796">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5ED3C">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F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2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CB4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E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7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A2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11CC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2E9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14FA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D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55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40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F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3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035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62FA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11C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071F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3B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1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6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1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5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5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F21B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D17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9B7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F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9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3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3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1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32C6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7DB">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822F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34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0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F0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6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7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0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D9A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9B0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9522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373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17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11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8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E8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A12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9E73">
            <w:pPr>
              <w:textAlignment w:val="center"/>
              <w:rPr>
                <w:rFonts w:hint="default" w:cs="宋体"/>
                <w:color w:val="000000"/>
                <w:sz w:val="20"/>
                <w:szCs w:val="20"/>
              </w:rPr>
            </w:pPr>
            <w:r>
              <w:rPr>
                <w:rFonts w:cs="宋体"/>
                <w:b/>
                <w:color w:val="000000"/>
                <w:sz w:val="20"/>
                <w:szCs w:val="20"/>
              </w:rPr>
              <w:t>21001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47674">
            <w:pPr>
              <w:textAlignment w:val="center"/>
              <w:rPr>
                <w:rFonts w:hint="default" w:cs="宋体"/>
                <w:color w:val="000000"/>
                <w:sz w:val="20"/>
                <w:szCs w:val="20"/>
              </w:rPr>
            </w:pPr>
            <w:r>
              <w:rPr>
                <w:rFonts w:cs="宋体"/>
                <w:b/>
                <w:color w:val="000000"/>
                <w:sz w:val="20"/>
                <w:szCs w:val="20"/>
              </w:rPr>
              <w:t>卫生健康管理事务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35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B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08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B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D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D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D4C20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1F5D">
            <w:pPr>
              <w:textAlignment w:val="center"/>
              <w:rPr>
                <w:rFonts w:hint="default" w:cs="宋体"/>
                <w:color w:val="000000"/>
                <w:sz w:val="20"/>
                <w:szCs w:val="20"/>
              </w:rPr>
            </w:pPr>
            <w:r>
              <w:rPr>
                <w:rFonts w:cs="宋体"/>
                <w:color w:val="000000"/>
                <w:sz w:val="20"/>
                <w:szCs w:val="20"/>
              </w:rPr>
              <w:t>2100199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9A4B6">
            <w:pPr>
              <w:textAlignment w:val="center"/>
              <w:rPr>
                <w:rFonts w:hint="default" w:cs="宋体"/>
                <w:color w:val="000000"/>
                <w:sz w:val="20"/>
                <w:szCs w:val="20"/>
              </w:rPr>
            </w:pPr>
            <w:r>
              <w:rPr>
                <w:rFonts w:cs="宋体"/>
                <w:color w:val="000000"/>
                <w:sz w:val="20"/>
                <w:szCs w:val="20"/>
              </w:rPr>
              <w:t>其他卫生健康管理事务支出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62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2E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3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C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31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C4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7986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802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64267">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52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1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6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EC0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9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0E1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C3679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6121">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3550">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F6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A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5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1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0B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A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9B8E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8BB9">
            <w:pPr>
              <w:textAlignment w:val="center"/>
              <w:rPr>
                <w:rFonts w:hint="default" w:cs="宋体"/>
                <w:color w:val="000000"/>
                <w:sz w:val="20"/>
                <w:szCs w:val="20"/>
              </w:rPr>
            </w:pPr>
            <w:r>
              <w:rPr>
                <w:rFonts w:cs="宋体"/>
                <w:color w:val="000000"/>
                <w:sz w:val="20"/>
                <w:szCs w:val="20"/>
              </w:rPr>
              <w:t>2101103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3FF6A">
            <w:pPr>
              <w:textAlignment w:val="center"/>
              <w:rPr>
                <w:rFonts w:hint="default" w:cs="宋体"/>
                <w:color w:val="000000"/>
                <w:sz w:val="20"/>
                <w:szCs w:val="20"/>
              </w:rPr>
            </w:pPr>
            <w:r>
              <w:rPr>
                <w:rFonts w:cs="宋体"/>
                <w:color w:val="000000"/>
                <w:sz w:val="20"/>
                <w:szCs w:val="20"/>
              </w:rPr>
              <w:t>公务员医疗补助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2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C5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7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1B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2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C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AD58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3A82">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63C63">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5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53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6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C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B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B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F852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A92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7951B">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B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1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7C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0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3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5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F2850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1D5B">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3EA3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0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FB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4F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F2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B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B1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A6F8C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360D">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F14A">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F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E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B5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4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8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74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718E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11C9">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2FFD1">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C35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F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E1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AA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E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55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C41D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E7DF63E">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55383D3">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F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0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43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30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2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40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B64B37">
        <w:tblPrEx>
          <w:tblCellMar>
            <w:top w:w="0" w:type="dxa"/>
            <w:left w:w="0" w:type="dxa"/>
            <w:bottom w:w="0" w:type="dxa"/>
            <w:right w:w="0" w:type="dxa"/>
          </w:tblCellMar>
        </w:tblPrEx>
        <w:trPr>
          <w:trHeight w:val="382" w:hRule="atLeast"/>
        </w:trPr>
        <w:tc>
          <w:tcPr>
            <w:tcW w:w="42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7D10F">
            <w:pPr>
              <w:textAlignment w:val="center"/>
              <w:rPr>
                <w:rFonts w:hint="default" w:cs="宋体"/>
                <w:color w:val="000000"/>
                <w:sz w:val="20"/>
                <w:szCs w:val="20"/>
              </w:rPr>
            </w:pPr>
            <w:r>
              <w:rPr>
                <w:rFonts w:cs="宋体"/>
                <w:b/>
                <w:color w:val="000000"/>
                <w:sz w:val="20"/>
                <w:szCs w:val="20"/>
              </w:rPr>
              <w:t>22401</w:t>
            </w:r>
          </w:p>
        </w:tc>
        <w:tc>
          <w:tcPr>
            <w:tcW w:w="117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526A3">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274AC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49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B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58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7C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21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F636CE">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3C3D">
            <w:pPr>
              <w:textAlignment w:val="center"/>
              <w:rPr>
                <w:rFonts w:hint="default" w:cs="宋体"/>
                <w:color w:val="000000"/>
                <w:sz w:val="20"/>
                <w:szCs w:val="20"/>
              </w:rPr>
            </w:pPr>
            <w:r>
              <w:rPr>
                <w:rFonts w:cs="宋体"/>
                <w:color w:val="000000"/>
                <w:sz w:val="20"/>
                <w:szCs w:val="20"/>
              </w:rPr>
              <w:t>2240101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A4E3FA">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D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A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504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C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5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2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60D0FC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25704B">
      <w:pPr>
        <w:rPr>
          <w:rFonts w:hint="default" w:cs="宋体"/>
          <w:sz w:val="21"/>
          <w:szCs w:val="21"/>
        </w:rPr>
      </w:pPr>
      <w:r>
        <w:rPr>
          <w:rFonts w:cs="宋体"/>
          <w:sz w:val="21"/>
          <w:szCs w:val="21"/>
        </w:rPr>
        <w:br w:type="page"/>
      </w:r>
    </w:p>
    <w:p w14:paraId="51C78EF3">
      <w:pPr>
        <w:rPr>
          <w:rFonts w:hint="default" w:cs="宋体"/>
          <w:sz w:val="21"/>
          <w:szCs w:val="21"/>
        </w:rPr>
      </w:pPr>
    </w:p>
    <w:tbl>
      <w:tblPr>
        <w:tblStyle w:val="9"/>
        <w:tblW w:w="5000" w:type="pct"/>
        <w:tblInd w:w="0" w:type="dxa"/>
        <w:tblLayout w:type="autofit"/>
        <w:tblCellMar>
          <w:top w:w="0" w:type="dxa"/>
          <w:left w:w="0" w:type="dxa"/>
          <w:bottom w:w="0" w:type="dxa"/>
          <w:right w:w="0" w:type="dxa"/>
        </w:tblCellMar>
      </w:tblPr>
      <w:tblGrid>
        <w:gridCol w:w="3053"/>
        <w:gridCol w:w="1566"/>
        <w:gridCol w:w="3273"/>
        <w:gridCol w:w="1741"/>
        <w:gridCol w:w="1741"/>
        <w:gridCol w:w="1741"/>
        <w:gridCol w:w="1998"/>
      </w:tblGrid>
      <w:tr w14:paraId="30603E0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039AC7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E7832D1">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0EC0C00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重庆市九龙坡区应急管理综合行政执法支队</w:t>
            </w:r>
          </w:p>
        </w:tc>
        <w:tc>
          <w:tcPr>
            <w:tcW w:w="576" w:type="pct"/>
            <w:tcBorders>
              <w:top w:val="nil"/>
              <w:left w:val="nil"/>
              <w:bottom w:val="nil"/>
              <w:right w:val="nil"/>
            </w:tcBorders>
            <w:shd w:val="clear" w:color="auto" w:fill="auto"/>
            <w:noWrap/>
            <w:tcMar>
              <w:top w:w="15" w:type="dxa"/>
              <w:left w:w="15" w:type="dxa"/>
              <w:right w:w="15" w:type="dxa"/>
            </w:tcMar>
            <w:vAlign w:val="bottom"/>
          </w:tcPr>
          <w:p w14:paraId="43D5DE4D">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9484630">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F8BA9B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59850D">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2D94A1F">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3D29869A">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14F1FF26">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25F4A5E0">
            <w:pPr>
              <w:spacing w:line="200" w:lineRule="exact"/>
              <w:rPr>
                <w:rFonts w:hint="default" w:cs="宋体"/>
                <w:color w:val="000000"/>
                <w:sz w:val="18"/>
                <w:szCs w:val="18"/>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34E584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A49A6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7B6311">
        <w:tblPrEx>
          <w:tblCellMar>
            <w:top w:w="0" w:type="dxa"/>
            <w:left w:w="0" w:type="dxa"/>
            <w:bottom w:w="0" w:type="dxa"/>
            <w:right w:w="0" w:type="dxa"/>
          </w:tblCellMar>
        </w:tblPrEx>
        <w:trPr>
          <w:trHeight w:val="90" w:hRule="atLeast"/>
        </w:trPr>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8F0A">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2E2A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B3BE5B1">
        <w:tblPrEx>
          <w:tblCellMar>
            <w:top w:w="0" w:type="dxa"/>
            <w:left w:w="0" w:type="dxa"/>
            <w:bottom w:w="0" w:type="dxa"/>
            <w:right w:w="0" w:type="dxa"/>
          </w:tblCellMar>
        </w:tblPrEx>
        <w:trPr>
          <w:trHeight w:val="90" w:hRule="atLeas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EE62D">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AD51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F92E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CC71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5AFD2BE">
        <w:tblPrEx>
          <w:tblCellMar>
            <w:top w:w="0" w:type="dxa"/>
            <w:left w:w="0" w:type="dxa"/>
            <w:bottom w:w="0" w:type="dxa"/>
            <w:right w:w="0" w:type="dxa"/>
          </w:tblCellMar>
        </w:tblPrEx>
        <w:trPr>
          <w:trHeight w:val="90" w:hRule="atLeas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C5796">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3FDE1">
            <w:pPr>
              <w:spacing w:line="200" w:lineRule="exact"/>
              <w:jc w:val="center"/>
              <w:rPr>
                <w:rFonts w:hint="default" w:cs="宋体"/>
                <w:b/>
                <w:color w:val="000000"/>
                <w:sz w:val="18"/>
                <w:szCs w:val="18"/>
              </w:rPr>
            </w:pPr>
          </w:p>
        </w:tc>
        <w:tc>
          <w:tcPr>
            <w:tcW w:w="10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845295">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0D7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849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050E">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940C6">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D3C562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76B5">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D4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C12C">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A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65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39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2F2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629B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295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55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EB8F">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EB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C6B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39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74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C4453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D1E3">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80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043A">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7AF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09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2D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CD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5A7D8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17F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D4C918">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5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C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D6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C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1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CE6F97">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F23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26689">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391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A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4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F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891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AD108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12631">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F72D9A">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9D4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1A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8E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4A2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A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7B80F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4BD0">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08ACA7">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200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2F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A2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9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3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25A3E5">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A62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2AA23B">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400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2F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C0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88.44</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B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6B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5782D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C4C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D1A73E">
            <w:pPr>
              <w:spacing w:line="200" w:lineRule="exac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097F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7D7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A87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40.18</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9A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50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622CF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3D8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6174">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F535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8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2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6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C7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9E20E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A233">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E097">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4769">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4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9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EF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4E2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B3EC2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D69DF">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610F">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B00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5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DB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1A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703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2F7A7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C64F">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11EE">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CD9A">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D7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E3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4D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E1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C413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30B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A9F9B">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CF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B6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09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3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A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9A628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86D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98CF">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E15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B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1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EE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60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EE612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2DD8">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5A47">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0EA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70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C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3D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97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158D7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32A34">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427E">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3E8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B6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0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B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B8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E0348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B5C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3C18">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EE41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E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1B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1D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49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7C901">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1AC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B28F">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3F5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1D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60.61</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FD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60.61</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1E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85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53804">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7F09">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9B35">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F9D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6C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81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57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8C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209459">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EE5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8450">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4A2E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16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E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CF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99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C8D43">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1B72">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C9CB">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326C">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CD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617.52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17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617.52</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2C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48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6BD9D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D621">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6114">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03E7A">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E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5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8A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87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0CCFC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9CCA8B">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8AEF">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9082">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2B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30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D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5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F471E">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05F73E">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F15C">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44AE">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B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C0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6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6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63D7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D311D">
            <w:pPr>
              <w:spacing w:line="200" w:lineRule="exact"/>
              <w:rPr>
                <w:rFonts w:hint="default" w:cs="宋体"/>
                <w:b/>
                <w:bCs/>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9EBBC">
            <w:pPr>
              <w:spacing w:line="200" w:lineRule="exact"/>
              <w:jc w:val="right"/>
              <w:rPr>
                <w:rFonts w:hint="default" w:ascii="Times New Roman" w:hAnsi="Times New Roman"/>
                <w:color w:val="000000"/>
                <w:sz w:val="18"/>
                <w:szCs w:val="18"/>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1105">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C4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778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83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7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ADF8F">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633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E5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5DD8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BA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9C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64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DF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C80C2C">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01FB">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5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DC6">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4A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8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3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5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816230">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06B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F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906257">
            <w:pPr>
              <w:spacing w:line="200" w:lineRule="exact"/>
              <w:rPr>
                <w:rFonts w:hint="default" w:cs="宋体"/>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7A1ED3">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FA135">
            <w:pPr>
              <w:spacing w:line="200" w:lineRule="exac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FA8BCB">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96138D">
            <w:pPr>
              <w:spacing w:line="200" w:lineRule="exact"/>
              <w:rPr>
                <w:rFonts w:hint="default" w:ascii="Times New Roman" w:hAnsi="Times New Roman"/>
                <w:color w:val="000000"/>
                <w:sz w:val="18"/>
                <w:szCs w:val="18"/>
              </w:rPr>
            </w:pPr>
          </w:p>
        </w:tc>
      </w:tr>
      <w:tr w14:paraId="69E5B066">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1966">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0F0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DE62">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6E84">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2BD4">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F38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155F">
            <w:pPr>
              <w:spacing w:line="200" w:lineRule="exact"/>
              <w:jc w:val="right"/>
              <w:rPr>
                <w:rFonts w:hint="default" w:ascii="Times New Roman" w:hAnsi="Times New Roman"/>
                <w:color w:val="000000"/>
                <w:sz w:val="18"/>
                <w:szCs w:val="18"/>
              </w:rPr>
            </w:pPr>
          </w:p>
        </w:tc>
      </w:tr>
      <w:tr w14:paraId="11FD732D">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ED2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8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2FC5">
            <w:pPr>
              <w:spacing w:line="200" w:lineRule="exact"/>
              <w:jc w:val="center"/>
              <w:rPr>
                <w:rFonts w:hint="default" w:cs="宋体"/>
                <w:b/>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6CC9">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7E52">
            <w:pPr>
              <w:spacing w:line="200" w:lineRule="exact"/>
              <w:jc w:val="right"/>
              <w:rPr>
                <w:rFonts w:hint="default" w:ascii="Times New Roman" w:hAnsi="Times New Roman"/>
                <w:color w:val="000000"/>
                <w:sz w:val="18"/>
                <w:szCs w:val="18"/>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9126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7941">
            <w:pPr>
              <w:spacing w:line="200" w:lineRule="exact"/>
              <w:jc w:val="right"/>
              <w:rPr>
                <w:rFonts w:hint="default" w:ascii="Times New Roman" w:hAnsi="Times New Roman"/>
                <w:color w:val="000000"/>
                <w:sz w:val="18"/>
                <w:szCs w:val="18"/>
              </w:rPr>
            </w:pPr>
          </w:p>
        </w:tc>
      </w:tr>
      <w:tr w14:paraId="5696595B">
        <w:tblPrEx>
          <w:tblCellMar>
            <w:top w:w="0" w:type="dxa"/>
            <w:left w:w="0" w:type="dxa"/>
            <w:bottom w:w="0" w:type="dxa"/>
            <w:right w:w="0" w:type="dxa"/>
          </w:tblCellMar>
        </w:tblPrEx>
        <w:trPr>
          <w:trHeight w:val="90" w:hRule="atLeas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EB8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6D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932B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FF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D18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806.75</w:t>
            </w:r>
            <w:r>
              <w:rPr>
                <w:rFonts w:ascii="Times New Roman" w:hAnsi="Times New Roman"/>
                <w:color w:val="000000"/>
                <w:sz w:val="18"/>
                <w:u w:color="auto"/>
              </w:rPr>
              <w:t xml:space="preserve"> </w:t>
            </w:r>
          </w:p>
        </w:tc>
        <w:tc>
          <w:tcPr>
            <w:tcW w:w="5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0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FD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C29EB8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87"/>
        <w:gridCol w:w="4018"/>
        <w:gridCol w:w="3262"/>
        <w:gridCol w:w="3251"/>
        <w:gridCol w:w="3295"/>
      </w:tblGrid>
      <w:tr w14:paraId="2D77268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F02C7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F049E6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5C118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19D683E">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4629FC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6B5BB9C">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469C3D9">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9C82E58">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9CECE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37D26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88E2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BC62A4">
            <w:pPr>
              <w:jc w:val="center"/>
              <w:textAlignment w:val="center"/>
              <w:rPr>
                <w:rFonts w:hint="default" w:cs="宋体"/>
                <w:b/>
                <w:color w:val="000000"/>
                <w:sz w:val="20"/>
                <w:szCs w:val="20"/>
              </w:rPr>
            </w:pPr>
            <w:r>
              <w:rPr>
                <w:rFonts w:cs="宋体"/>
                <w:b/>
                <w:color w:val="000000"/>
                <w:sz w:val="20"/>
                <w:szCs w:val="20"/>
              </w:rPr>
              <w:t>本年支出</w:t>
            </w:r>
          </w:p>
        </w:tc>
      </w:tr>
      <w:tr w14:paraId="7329C2A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901C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5BE6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D2259D">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B00A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79B6A">
            <w:pPr>
              <w:jc w:val="center"/>
              <w:textAlignment w:val="center"/>
              <w:rPr>
                <w:rFonts w:hint="default" w:cs="宋体"/>
                <w:b/>
                <w:color w:val="000000"/>
                <w:sz w:val="20"/>
                <w:szCs w:val="20"/>
              </w:rPr>
            </w:pPr>
            <w:r>
              <w:rPr>
                <w:rFonts w:cs="宋体"/>
                <w:b/>
                <w:color w:val="000000"/>
                <w:sz w:val="20"/>
                <w:szCs w:val="20"/>
              </w:rPr>
              <w:t>项目支出</w:t>
            </w:r>
          </w:p>
        </w:tc>
      </w:tr>
      <w:tr w14:paraId="4538932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ADC0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0729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6823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52A8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F6C195">
            <w:pPr>
              <w:jc w:val="center"/>
              <w:rPr>
                <w:rFonts w:hint="default" w:cs="宋体"/>
                <w:b/>
                <w:color w:val="000000"/>
                <w:sz w:val="20"/>
                <w:szCs w:val="20"/>
              </w:rPr>
            </w:pPr>
          </w:p>
        </w:tc>
      </w:tr>
      <w:tr w14:paraId="14E9B6B7">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2EEF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F28E96">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AD5226">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DA2824">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7DDB8">
            <w:pPr>
              <w:jc w:val="center"/>
              <w:rPr>
                <w:rFonts w:hint="default" w:cs="宋体"/>
                <w:b/>
                <w:color w:val="000000"/>
                <w:sz w:val="20"/>
                <w:szCs w:val="20"/>
              </w:rPr>
            </w:pPr>
          </w:p>
        </w:tc>
      </w:tr>
      <w:tr w14:paraId="46E1664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E84E">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388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10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901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AD40E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7724">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4289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3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4B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57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DEAF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64E4">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D5F1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B5B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A7C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19F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9E63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B88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9857B">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412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D88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20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B1F0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57060">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7227">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2A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00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37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5673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FDD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89E9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60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991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AB1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BB0D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613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D06C7">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B49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583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18F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F84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C82E">
            <w:pPr>
              <w:textAlignment w:val="center"/>
              <w:rPr>
                <w:rFonts w:hint="default" w:cs="宋体"/>
                <w:color w:val="000000"/>
                <w:sz w:val="20"/>
                <w:szCs w:val="20"/>
              </w:rPr>
            </w:pPr>
            <w:r>
              <w:rPr>
                <w:rFonts w:cs="宋体"/>
                <w:b/>
                <w:color w:val="000000"/>
                <w:sz w:val="20"/>
                <w:szCs w:val="20"/>
              </w:rPr>
              <w:t>21001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E0322">
            <w:pPr>
              <w:textAlignment w:val="center"/>
              <w:rPr>
                <w:rFonts w:hint="default" w:cs="宋体"/>
                <w:color w:val="000000"/>
                <w:sz w:val="20"/>
                <w:szCs w:val="20"/>
              </w:rPr>
            </w:pPr>
            <w:r>
              <w:rPr>
                <w:rFonts w:cs="宋体"/>
                <w:b/>
                <w:color w:val="000000"/>
                <w:sz w:val="20"/>
                <w:szCs w:val="20"/>
              </w:rPr>
              <w:t>卫生健康管理事务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5F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C7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A3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D1F3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E98D">
            <w:pPr>
              <w:textAlignment w:val="center"/>
              <w:rPr>
                <w:rFonts w:hint="default" w:cs="宋体"/>
                <w:color w:val="000000"/>
                <w:sz w:val="20"/>
                <w:szCs w:val="20"/>
              </w:rPr>
            </w:pPr>
            <w:r>
              <w:rPr>
                <w:rFonts w:cs="宋体"/>
                <w:color w:val="000000"/>
                <w:sz w:val="20"/>
                <w:szCs w:val="20"/>
              </w:rPr>
              <w:t>2100199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3EC52">
            <w:pPr>
              <w:textAlignment w:val="center"/>
              <w:rPr>
                <w:rFonts w:hint="default" w:cs="宋体"/>
                <w:color w:val="000000"/>
                <w:sz w:val="20"/>
                <w:szCs w:val="20"/>
              </w:rPr>
            </w:pPr>
            <w:r>
              <w:rPr>
                <w:rFonts w:cs="宋体"/>
                <w:color w:val="000000"/>
                <w:sz w:val="20"/>
                <w:szCs w:val="20"/>
              </w:rPr>
              <w:t>其他卫生健康管理事务支出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86C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E5F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847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362D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7A48">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70B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61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266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5B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EF60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577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03ADA">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BC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566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AC5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FC14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403B">
            <w:pPr>
              <w:textAlignment w:val="center"/>
              <w:rPr>
                <w:rFonts w:hint="default" w:cs="宋体"/>
                <w:color w:val="000000"/>
                <w:sz w:val="20"/>
                <w:szCs w:val="20"/>
              </w:rPr>
            </w:pPr>
            <w:r>
              <w:rPr>
                <w:rFonts w:cs="宋体"/>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7B881">
            <w:pPr>
              <w:textAlignment w:val="center"/>
              <w:rPr>
                <w:rFonts w:hint="default" w:cs="宋体"/>
                <w:color w:val="000000"/>
                <w:sz w:val="20"/>
                <w:szCs w:val="20"/>
              </w:rPr>
            </w:pPr>
            <w:r>
              <w:rPr>
                <w:rFonts w:cs="宋体"/>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05B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555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FEB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02F3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D6B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6C0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535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F97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149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24C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B8BB">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263CD">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828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CAB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CC6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E2F03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D0A1">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24B3">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1EB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902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82A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C054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155A9">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11CE5">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338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BD3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6F1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9DE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0F6D">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14B6C">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DFE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F09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83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4DA73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BAE9">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84037">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76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45C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4D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A2D3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18DD">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14C6">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765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49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617.52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BC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866F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3703">
            <w:pPr>
              <w:textAlignment w:val="center"/>
              <w:rPr>
                <w:rFonts w:hint="default" w:cs="宋体"/>
                <w:color w:val="000000"/>
                <w:sz w:val="20"/>
                <w:szCs w:val="20"/>
              </w:rPr>
            </w:pPr>
            <w:r>
              <w:rPr>
                <w:rFonts w:cs="宋体"/>
                <w:color w:val="000000"/>
                <w:sz w:val="20"/>
                <w:szCs w:val="20"/>
              </w:rPr>
              <w:t>2240101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F4D5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9C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CF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D89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92F9416">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791"/>
        <w:gridCol w:w="2770"/>
        <w:gridCol w:w="1520"/>
        <w:gridCol w:w="862"/>
        <w:gridCol w:w="2002"/>
        <w:gridCol w:w="1398"/>
        <w:gridCol w:w="862"/>
        <w:gridCol w:w="3417"/>
        <w:gridCol w:w="1472"/>
      </w:tblGrid>
      <w:tr w14:paraId="230107E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08BA2FC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208063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8A73D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重庆市九龙坡区应急管理综合行政执法支队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14:paraId="2A39AB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70C33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425F0B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3C88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D494B8B">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60D344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CD6F2C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8B5F3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F4EC41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8BB37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C94792">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8CF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42141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72B31B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2E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B356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94D4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B9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FD27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EFF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E29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6E1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7B94A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BE1D7BE">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8FA6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ECC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A244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25D2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11AF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60D2D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AB42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5810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9A729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A23B5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3D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7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148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47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7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5F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6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5D5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B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r>
      <w:tr w14:paraId="067B8F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0D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4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AE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A8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36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44B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2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FA5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5E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4BC9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4D0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D3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5B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7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6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1E3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5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D5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5D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5.24</w:t>
            </w:r>
            <w:r>
              <w:rPr>
                <w:rFonts w:ascii="Times New Roman" w:hAnsi="Times New Roman"/>
                <w:color w:val="000000"/>
                <w:sz w:val="18"/>
                <w:u w:color="auto"/>
              </w:rPr>
              <w:t xml:space="preserve"> </w:t>
            </w:r>
          </w:p>
        </w:tc>
      </w:tr>
      <w:tr w14:paraId="391FDC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CF5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5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BB5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03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6B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AB6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A1C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2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66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FDE1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49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9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D3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6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6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DF1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E0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76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F9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78B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F9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EC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62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D5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CB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28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B36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4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7F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22EA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D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1F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D0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6C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FCF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A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8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5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42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78D4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D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52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5F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E7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CF8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0D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CF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37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20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3C5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6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4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4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B3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3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F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39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F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74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907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0E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5A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B4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EF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D3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CD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72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63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4B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DF16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61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0DD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BB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21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3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31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80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7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E9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8CB4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5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C5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A4F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9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B4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5B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F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C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D75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824A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04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29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083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5F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0F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3E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7EB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9B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37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F28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E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E3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73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97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4A2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8B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8E1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4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7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6683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3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1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8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16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A8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8B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C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99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0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64A2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C8C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9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44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AD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728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9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5D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D2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24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7E78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2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0E3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8E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E0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93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6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B6B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6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18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7E67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E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7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E1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B7C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AB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1F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BE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E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151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C96A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7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5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4A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E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56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F1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D9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C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8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F6F9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5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B0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75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DA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78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73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C9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49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83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E8AD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9D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7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1D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F3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80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46D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8D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E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DD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702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2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0D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77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3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7E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5C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61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E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7F7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8B8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2EF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3CB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2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4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3D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E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F2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89D0">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69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4BA70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5CF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39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3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2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5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8D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B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41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D1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EF3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73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3A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FBB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7D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1A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E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21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4D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C94C7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45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4E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E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2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0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751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5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EA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111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A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DF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89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21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64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55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9B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9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CB2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C7A8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A3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1B7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4B47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F8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C9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BE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55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7AB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06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5A9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90D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AA0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19A8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C49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6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F3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59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58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1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D1DC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87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8A7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EB318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F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E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67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960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9C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9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3E23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A9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6E7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9DED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DD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43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4E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D70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42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704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1ED51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4E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7E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380D2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4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3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6F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3919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E3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3C6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F7EF2E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BE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23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4795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E95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95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34B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9B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39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E477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65EB9B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56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27203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669.63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1DD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0C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137.12</w:t>
            </w:r>
            <w:r>
              <w:rPr>
                <w:rFonts w:ascii="Times New Roman" w:hAnsi="Times New Roman"/>
                <w:color w:val="000000"/>
                <w:sz w:val="18"/>
                <w:u w:color="auto"/>
              </w:rPr>
              <w:t xml:space="preserve"> </w:t>
            </w:r>
          </w:p>
        </w:tc>
      </w:tr>
    </w:tbl>
    <w:p w14:paraId="70AF540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3"/>
        <w:gridCol w:w="3548"/>
        <w:gridCol w:w="1677"/>
        <w:gridCol w:w="1677"/>
        <w:gridCol w:w="1677"/>
        <w:gridCol w:w="1677"/>
        <w:gridCol w:w="1743"/>
        <w:gridCol w:w="1813"/>
      </w:tblGrid>
      <w:tr w14:paraId="10C23EC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F37D7B">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D3C3C3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EAF180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14:paraId="67415EC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C2863D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56A749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B9274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865F4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3C9C280">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EF6F41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0B961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04D8C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3719243">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1F9C21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E237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809233">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81C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DB6B09">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FB27B">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77C52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A9DFB">
            <w:pPr>
              <w:jc w:val="center"/>
              <w:textAlignment w:val="center"/>
              <w:rPr>
                <w:rFonts w:hint="default" w:cs="宋体"/>
                <w:b/>
                <w:color w:val="000000"/>
                <w:sz w:val="20"/>
                <w:szCs w:val="20"/>
              </w:rPr>
            </w:pPr>
            <w:r>
              <w:rPr>
                <w:rFonts w:cs="宋体"/>
                <w:b/>
                <w:color w:val="000000"/>
                <w:sz w:val="20"/>
                <w:szCs w:val="20"/>
              </w:rPr>
              <w:t>年末结转和结余</w:t>
            </w:r>
          </w:p>
        </w:tc>
      </w:tr>
      <w:tr w14:paraId="0C92950D">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0937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C8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F44CC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2F666">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6FA3B0">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F94E78">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A30914">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97C38">
            <w:pPr>
              <w:jc w:val="center"/>
              <w:rPr>
                <w:rFonts w:hint="default" w:cs="宋体"/>
                <w:b/>
                <w:color w:val="000000"/>
                <w:sz w:val="20"/>
                <w:szCs w:val="20"/>
              </w:rPr>
            </w:pPr>
          </w:p>
        </w:tc>
      </w:tr>
      <w:tr w14:paraId="2A18A2A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81913">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1851">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D1928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87F4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9EADC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57F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0F99A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162A">
            <w:pPr>
              <w:jc w:val="center"/>
              <w:rPr>
                <w:rFonts w:hint="default" w:cs="宋体"/>
                <w:b/>
                <w:color w:val="000000"/>
                <w:sz w:val="20"/>
                <w:szCs w:val="20"/>
              </w:rPr>
            </w:pPr>
          </w:p>
        </w:tc>
      </w:tr>
      <w:tr w14:paraId="71733DE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44D2A">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E7B1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334E8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42F9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B226C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A6415C">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341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BE7EB">
            <w:pPr>
              <w:jc w:val="center"/>
              <w:rPr>
                <w:rFonts w:hint="default" w:cs="宋体"/>
                <w:b/>
                <w:color w:val="000000"/>
                <w:sz w:val="20"/>
                <w:szCs w:val="20"/>
              </w:rPr>
            </w:pPr>
          </w:p>
        </w:tc>
      </w:tr>
      <w:tr w14:paraId="629C7184">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D881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0C1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780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6D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64B2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25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DA0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8EE439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489A">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96797">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B8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EE3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7AA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37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CC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45F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68B7D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0084D966">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78"/>
        <w:gridCol w:w="3567"/>
        <w:gridCol w:w="3229"/>
        <w:gridCol w:w="188"/>
        <w:gridCol w:w="3414"/>
        <w:gridCol w:w="83"/>
        <w:gridCol w:w="3353"/>
      </w:tblGrid>
      <w:tr w14:paraId="3C65CE71">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C482423">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C3C86A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7E1287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重庆市九龙坡区应急管理综合行政执法支队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D84E49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4244B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EFD22D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8F6A77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539697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F508E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A3077C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E4143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D4770">
            <w:pPr>
              <w:jc w:val="center"/>
              <w:textAlignment w:val="bottom"/>
              <w:rPr>
                <w:rFonts w:hint="default" w:cs="宋体"/>
                <w:b/>
                <w:color w:val="000000"/>
                <w:sz w:val="20"/>
                <w:szCs w:val="20"/>
              </w:rPr>
            </w:pPr>
            <w:r>
              <w:rPr>
                <w:rFonts w:cs="宋体"/>
                <w:b/>
                <w:color w:val="000000"/>
                <w:sz w:val="20"/>
                <w:szCs w:val="20"/>
              </w:rPr>
              <w:t>本年支出</w:t>
            </w:r>
          </w:p>
        </w:tc>
      </w:tr>
      <w:tr w14:paraId="6A30496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5E9E5">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F361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6028">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1E7F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9871D">
            <w:pPr>
              <w:jc w:val="center"/>
              <w:textAlignment w:val="center"/>
              <w:rPr>
                <w:rFonts w:hint="default" w:cs="宋体"/>
                <w:b/>
                <w:color w:val="000000"/>
                <w:sz w:val="20"/>
                <w:szCs w:val="20"/>
              </w:rPr>
            </w:pPr>
            <w:r>
              <w:rPr>
                <w:rFonts w:cs="宋体"/>
                <w:b/>
                <w:color w:val="000000"/>
                <w:sz w:val="20"/>
                <w:szCs w:val="20"/>
              </w:rPr>
              <w:t>项目支出</w:t>
            </w:r>
          </w:p>
        </w:tc>
      </w:tr>
      <w:tr w14:paraId="1B65A279">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88AA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CBF3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DBF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24C1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0B86E">
            <w:pPr>
              <w:jc w:val="center"/>
              <w:rPr>
                <w:rFonts w:hint="default" w:cs="宋体"/>
                <w:b/>
                <w:color w:val="000000"/>
                <w:sz w:val="20"/>
                <w:szCs w:val="20"/>
              </w:rPr>
            </w:pPr>
          </w:p>
        </w:tc>
      </w:tr>
      <w:tr w14:paraId="44D0F99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577F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99B4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96B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4F40C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5AF19">
            <w:pPr>
              <w:jc w:val="center"/>
              <w:rPr>
                <w:rFonts w:hint="default" w:cs="宋体"/>
                <w:b/>
                <w:color w:val="000000"/>
                <w:sz w:val="20"/>
                <w:szCs w:val="20"/>
              </w:rPr>
            </w:pPr>
          </w:p>
        </w:tc>
      </w:tr>
      <w:tr w14:paraId="7CDCD1C6">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8D41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F68D9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C2C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4CDB4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2BF7E">
            <w:pPr>
              <w:jc w:val="center"/>
              <w:rPr>
                <w:rFonts w:hint="default" w:cs="宋体"/>
                <w:b/>
                <w:color w:val="000000"/>
                <w:sz w:val="20"/>
                <w:szCs w:val="20"/>
              </w:rPr>
            </w:pPr>
          </w:p>
        </w:tc>
      </w:tr>
      <w:tr w14:paraId="5AF0652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D668">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6BC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016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372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770B6F9">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9AC7">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EA208">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33F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E66B6">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84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508380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1B374FD">
      <w:pPr>
        <w:rPr>
          <w:rFonts w:hint="default" w:cs="宋体"/>
          <w:sz w:val="21"/>
          <w:szCs w:val="21"/>
        </w:rPr>
      </w:pPr>
      <w:r>
        <w:rPr>
          <w:rFonts w:hint="default" w:cs="宋体"/>
          <w:sz w:val="21"/>
          <w:szCs w:val="21"/>
        </w:rPr>
        <w:br w:type="page"/>
      </w:r>
    </w:p>
    <w:tbl>
      <w:tblPr>
        <w:tblStyle w:val="9"/>
        <w:tblW w:w="5000" w:type="pct"/>
        <w:tblInd w:w="0" w:type="dxa"/>
        <w:tblLayout w:type="autofit"/>
        <w:tblCellMar>
          <w:top w:w="0" w:type="dxa"/>
          <w:left w:w="170" w:type="dxa"/>
          <w:bottom w:w="0" w:type="dxa"/>
          <w:right w:w="170" w:type="dxa"/>
        </w:tblCellMar>
      </w:tblPr>
      <w:tblGrid>
        <w:gridCol w:w="3397"/>
        <w:gridCol w:w="2581"/>
        <w:gridCol w:w="2542"/>
        <w:gridCol w:w="3929"/>
        <w:gridCol w:w="2664"/>
      </w:tblGrid>
      <w:tr w14:paraId="43BC822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B6CBDCD">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C64AEE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1487666">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DA4B8C4">
            <w:pPr>
              <w:spacing w:line="280" w:lineRule="exact"/>
              <w:jc w:val="center"/>
              <w:rPr>
                <w:rFonts w:hint="default" w:cs="宋体"/>
                <w:color w:val="000000"/>
                <w:kern w:val="2"/>
                <w:sz w:val="20"/>
                <w:szCs w:val="20"/>
              </w:rPr>
            </w:pPr>
          </w:p>
        </w:tc>
        <w:tc>
          <w:tcPr>
            <w:tcW w:w="841" w:type="pct"/>
            <w:shd w:val="clear" w:color="auto" w:fill="auto"/>
            <w:noWrap/>
            <w:tcMar>
              <w:top w:w="15" w:type="dxa"/>
              <w:left w:w="15" w:type="dxa"/>
              <w:right w:w="15" w:type="dxa"/>
            </w:tcMar>
            <w:vAlign w:val="bottom"/>
          </w:tcPr>
          <w:p w14:paraId="4F2F6378">
            <w:pPr>
              <w:spacing w:line="280" w:lineRule="exact"/>
              <w:jc w:val="right"/>
              <w:rPr>
                <w:rFonts w:hint="default" w:cs="宋体"/>
                <w:color w:val="000000"/>
                <w:kern w:val="2"/>
                <w:sz w:val="20"/>
                <w:szCs w:val="20"/>
              </w:rPr>
            </w:pPr>
          </w:p>
        </w:tc>
        <w:tc>
          <w:tcPr>
            <w:tcW w:w="1300" w:type="pct"/>
            <w:shd w:val="clear" w:color="auto" w:fill="auto"/>
            <w:noWrap/>
            <w:tcMar>
              <w:top w:w="15" w:type="dxa"/>
              <w:left w:w="15" w:type="dxa"/>
              <w:right w:w="15" w:type="dxa"/>
            </w:tcMar>
            <w:vAlign w:val="bottom"/>
          </w:tcPr>
          <w:p w14:paraId="35563D1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2E7453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64A1EFB">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3DEEAA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重庆市九龙坡区应急管理综合行政执法支队</w:t>
            </w:r>
          </w:p>
        </w:tc>
        <w:tc>
          <w:tcPr>
            <w:tcW w:w="841" w:type="pct"/>
            <w:tcBorders>
              <w:top w:val="nil"/>
              <w:left w:val="nil"/>
              <w:bottom w:val="single" w:color="auto" w:sz="4" w:space="0"/>
              <w:right w:val="nil"/>
            </w:tcBorders>
            <w:shd w:val="clear" w:color="auto" w:fill="auto"/>
            <w:noWrap/>
            <w:tcMar>
              <w:top w:w="15" w:type="dxa"/>
              <w:left w:w="15" w:type="dxa"/>
              <w:right w:w="15" w:type="dxa"/>
            </w:tcMar>
            <w:vAlign w:val="bottom"/>
          </w:tcPr>
          <w:p w14:paraId="5691084A">
            <w:pPr>
              <w:spacing w:line="280" w:lineRule="exact"/>
              <w:jc w:val="right"/>
              <w:rPr>
                <w:rFonts w:hint="default" w:cs="宋体"/>
                <w:color w:val="000000"/>
                <w:kern w:val="2"/>
                <w:sz w:val="20"/>
                <w:szCs w:val="20"/>
              </w:rPr>
            </w:pPr>
          </w:p>
        </w:tc>
        <w:tc>
          <w:tcPr>
            <w:tcW w:w="1300" w:type="pct"/>
            <w:tcBorders>
              <w:top w:val="nil"/>
              <w:left w:val="nil"/>
              <w:bottom w:val="single" w:color="auto" w:sz="4" w:space="0"/>
              <w:right w:val="nil"/>
            </w:tcBorders>
            <w:shd w:val="clear" w:color="auto" w:fill="auto"/>
            <w:noWrap/>
            <w:tcMar>
              <w:top w:w="15" w:type="dxa"/>
              <w:left w:w="15" w:type="dxa"/>
              <w:right w:w="15" w:type="dxa"/>
            </w:tcMar>
            <w:vAlign w:val="bottom"/>
          </w:tcPr>
          <w:p w14:paraId="559A030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45E981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84829E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4DBD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668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B3AD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B362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2F0A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7B2A50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3FA3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134B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BB45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0BC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B7FA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137.12</w:t>
            </w:r>
            <w:r>
              <w:rPr>
                <w:rFonts w:ascii="Times New Roman" w:hAnsi="Times New Roman"/>
                <w:color w:val="000000"/>
                <w:sz w:val="18"/>
                <w:u w:color="auto"/>
              </w:rPr>
              <w:t xml:space="preserve"> </w:t>
            </w:r>
          </w:p>
        </w:tc>
      </w:tr>
      <w:tr w14:paraId="0BC6D93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C973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4EE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10.23</w:t>
            </w: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F6BA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10.23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AA2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68B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F87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F33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0B3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D1EC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1EE42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137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137.12</w:t>
            </w:r>
            <w:r>
              <w:rPr>
                <w:rFonts w:ascii="Times New Roman" w:hAnsi="Times New Roman"/>
                <w:color w:val="000000"/>
                <w:sz w:val="18"/>
                <w:u w:color="auto"/>
              </w:rPr>
              <w:t xml:space="preserve"> </w:t>
            </w:r>
          </w:p>
        </w:tc>
      </w:tr>
      <w:tr w14:paraId="47D282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83F5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43B5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10.00</w:t>
            </w: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B6D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10.00</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A021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8F0C8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91B36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078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276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4361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45A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FBE5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5674CD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2737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DDD0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10.00</w:t>
            </w: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FD4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10.00</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4D90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8EA8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DE5B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C86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3824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597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492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4A92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DBD20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60F7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79B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39C0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35B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F16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3D2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865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8C63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EDEC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D2F9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BB2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4B03E4D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3877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EAE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6C92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3D3E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EE5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966B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2EC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9184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0331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30A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951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FA710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26DA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5064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A840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3AD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D06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FA49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8B4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28E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888A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5A0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7DD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187C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345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1C4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A185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5CEE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0B11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D0E89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C11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3EC3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259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A1C8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1C039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11BF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DE92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725A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EC5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138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3A1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u w:color="auto"/>
              </w:rPr>
              <w:t xml:space="preserve"> </w:t>
            </w:r>
          </w:p>
        </w:tc>
      </w:tr>
      <w:tr w14:paraId="4FE432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5C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E75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3A26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050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CC9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u w:color="auto"/>
              </w:rPr>
              <w:t xml:space="preserve"> </w:t>
            </w:r>
          </w:p>
        </w:tc>
      </w:tr>
      <w:tr w14:paraId="043D7D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560DD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4C9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55468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EAEC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9F8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1528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223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6C8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037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3194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D66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4B493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B01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758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3F2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E00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EBE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u w:color="auto"/>
              </w:rPr>
              <w:t xml:space="preserve"> </w:t>
            </w:r>
          </w:p>
        </w:tc>
      </w:tr>
      <w:tr w14:paraId="2081CD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1E06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6F9AA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03E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DEB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8FE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7.41</w:t>
            </w:r>
            <w:r>
              <w:rPr>
                <w:rFonts w:ascii="Times New Roman" w:hAnsi="Times New Roman"/>
                <w:color w:val="000000"/>
                <w:sz w:val="18"/>
                <w:u w:color="auto"/>
              </w:rPr>
              <w:t xml:space="preserve"> </w:t>
            </w:r>
          </w:p>
        </w:tc>
      </w:tr>
      <w:tr w14:paraId="7E5AD41B">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7DB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DC6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2A9F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8030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DE3A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CBC445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82C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2B5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513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0.95</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8A16D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A2B67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7694D6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8B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F00C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E601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30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77AC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C95A9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09EB2FE">
      <w:pPr>
        <w:rPr>
          <w:rFonts w:hint="default" w:ascii="方正仿宋_GBK" w:hAnsi="方正仿宋_GBK" w:eastAsia="方正仿宋_GBK" w:cs="方正仿宋_GBK"/>
          <w:kern w:val="0"/>
          <w:sz w:val="32"/>
          <w:szCs w:val="32"/>
          <w:shd w:val="clear" w:fill="FFFFFF"/>
          <w:lang w:val="en-US" w:eastAsia="zh-CN" w:bidi="ar-SA"/>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850" w:bottom="567" w:left="850"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0C92">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98F6A9C">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98F6A9C">
                    <w:pPr>
                      <w:pStyle w:val="4"/>
                      <w:rPr>
                        <w:rFonts w:hint="default"/>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740A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51EA4E">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151EA4E">
                    <w:pPr>
                      <w:pStyle w:val="4"/>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18135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18135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4C7A5">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C30634"/>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29F1EDF"/>
    <w:rsid w:val="235D55A5"/>
    <w:rsid w:val="24AF1021"/>
    <w:rsid w:val="24B92327"/>
    <w:rsid w:val="24D3717D"/>
    <w:rsid w:val="2533755C"/>
    <w:rsid w:val="26396DF4"/>
    <w:rsid w:val="266B763B"/>
    <w:rsid w:val="27167136"/>
    <w:rsid w:val="27B23302"/>
    <w:rsid w:val="27D424D7"/>
    <w:rsid w:val="285722C3"/>
    <w:rsid w:val="28DC1FF8"/>
    <w:rsid w:val="29310A5F"/>
    <w:rsid w:val="29C37A35"/>
    <w:rsid w:val="29D821C9"/>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21C6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A33B29"/>
    <w:rsid w:val="55EF4EA6"/>
    <w:rsid w:val="56530F5D"/>
    <w:rsid w:val="56EE372E"/>
    <w:rsid w:val="570D735E"/>
    <w:rsid w:val="580A1BF8"/>
    <w:rsid w:val="5842572D"/>
    <w:rsid w:val="598A28E2"/>
    <w:rsid w:val="5A6279C1"/>
    <w:rsid w:val="5AD563E4"/>
    <w:rsid w:val="5C1336B7"/>
    <w:rsid w:val="5C263CE4"/>
    <w:rsid w:val="5C5D2777"/>
    <w:rsid w:val="5C722D7F"/>
    <w:rsid w:val="5D290C69"/>
    <w:rsid w:val="5D54469C"/>
    <w:rsid w:val="5DC17CC6"/>
    <w:rsid w:val="5EFA176D"/>
    <w:rsid w:val="5F0247F9"/>
    <w:rsid w:val="5F152124"/>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C64FA5"/>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5124</Words>
  <Characters>5636</Characters>
  <Lines>161</Lines>
  <Paragraphs>45</Paragraphs>
  <TotalTime>2</TotalTime>
  <ScaleCrop>false</ScaleCrop>
  <LinksUpToDate>false</LinksUpToDate>
  <CharactersWithSpaces>5698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2025-10-24T03:10:37Z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4A423C671F8C4933BABA63624AF60817_13</vt:lpwstr>
  </property>
  <property fmtid="{D5CDD505-2E9C-101B-9397-08002B2CF9AE}" pid="4" name="KSOTemplateDocerSaveRecord">
    <vt:lpwstr>eyJoZGlkIjoiY2Y5MWUyNTM0NjVjNTI2ZWFiZDZkYTk2NWNhNzRhNjciLCJ1c2VySWQiOiI2Njg3Mjg5NzYifQ==</vt:lpwstr>
  </property>
</Properties>
</file>