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重庆市九龙坡区水库管理站</w:t>
      </w:r>
    </w:p>
    <w:p>
      <w:pPr>
        <w:keepNext w:val="0"/>
        <w:keepLines w:val="0"/>
        <w:widowControl w:val="0"/>
        <w:suppressLineNumbers w:val="0"/>
        <w:autoSpaceDE w:val="0"/>
        <w:autoSpaceDN/>
        <w:spacing w:before="0" w:beforeAutospacing="0" w:after="0" w:afterAutospacing="0" w:line="600" w:lineRule="exact"/>
        <w:ind w:right="0"/>
        <w:jc w:val="center"/>
        <w:rPr>
          <w:rFonts w:hint="default" w:ascii="Times New Roman" w:hAnsi="Times New Roman" w:eastAsia="方正小标宋_GBK" w:cs="Times New Roman"/>
          <w:color w:val="000000"/>
          <w:kern w:val="2"/>
          <w:sz w:val="44"/>
          <w:szCs w:val="44"/>
          <w:shd w:val="clear" w:fill="FFFFFF"/>
        </w:rPr>
      </w:pPr>
      <w:r>
        <w:rPr>
          <w:rFonts w:hint="eastAsia" w:ascii="方正小标宋_GBK" w:hAnsi="方正小标宋_GBK" w:eastAsia="方正小标宋_GBK" w:cs="方正小标宋_GBK"/>
          <w:color w:val="000000"/>
          <w:kern w:val="2"/>
          <w:sz w:val="44"/>
          <w:szCs w:val="44"/>
          <w:shd w:val="clear" w:fill="FFFFFF"/>
        </w:rPr>
        <w:t>2024年度单位决算情况说明</w:t>
      </w:r>
    </w:p>
    <w:p>
      <w:pPr>
        <w:pStyle w:val="13"/>
        <w:keepNext w:val="0"/>
        <w:keepLines w:val="0"/>
        <w:widowControl/>
        <w:suppressLineNumbers w:val="0"/>
        <w:spacing w:before="0" w:beforeAutospacing="0" w:after="0" w:afterAutospacing="0" w:line="600" w:lineRule="exact"/>
        <w:ind w:left="0"/>
        <w:jc w:val="left"/>
        <w:rPr>
          <w:rFonts w:hint="default" w:ascii="Times New Roman" w:hAnsi="Times New Roman" w:eastAsia="宋体" w:cs="Times New Roman"/>
          <w:b/>
          <w:kern w:val="0"/>
          <w:sz w:val="24"/>
          <w:szCs w:val="24"/>
          <w:shd w:val="clear" w:fill="FFFFFF"/>
        </w:rPr>
      </w:pPr>
      <w:r>
        <w:rPr>
          <w:rStyle w:val="16"/>
          <w:rFonts w:hint="default" w:ascii="Times New Roman" w:hAnsi="Times New Roman" w:eastAsia="宋体" w:cs="Times New Roman"/>
          <w:b/>
          <w:shd w:val="clear" w:fill="FFFFFF"/>
        </w:rPr>
        <w:t xml:space="preserve"> </w:t>
      </w:r>
    </w:p>
    <w:p>
      <w:pPr>
        <w:pStyle w:val="13"/>
        <w:keepNext w:val="0"/>
        <w:keepLines w:val="0"/>
        <w:pageBreakBefore w:val="0"/>
        <w:widowControl w:val="0"/>
        <w:suppressLineNumbers w:val="0"/>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val="0"/>
          <w:kern w:val="0"/>
          <w:sz w:val="32"/>
          <w:szCs w:val="32"/>
        </w:rPr>
      </w:pPr>
      <w:r>
        <w:rPr>
          <w:rStyle w:val="11"/>
          <w:rFonts w:hint="eastAsia" w:ascii="黑体" w:hAnsi="黑体" w:eastAsia="黑体" w:cs="黑体"/>
          <w:kern w:val="0"/>
          <w:sz w:val="32"/>
          <w:szCs w:val="32"/>
          <w:shd w:val="clear" w:color="auto" w:fill="FFFFFF"/>
          <w:lang w:val="en-US" w:eastAsia="zh-CN" w:bidi="ar-SA"/>
        </w:rPr>
        <w:t>一、部门基本情况</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b w:val="0"/>
          <w:kern w:val="0"/>
          <w:sz w:val="32"/>
          <w:szCs w:val="32"/>
        </w:rPr>
      </w:pPr>
      <w:r>
        <w:rPr>
          <w:rFonts w:hint="eastAsia" w:ascii="方正楷体_GBK" w:hAnsi="方正楷体_GBK" w:eastAsia="方正楷体_GBK" w:cs="方正楷体_GBK"/>
          <w:b/>
          <w:kern w:val="0"/>
          <w:sz w:val="32"/>
          <w:szCs w:val="32"/>
          <w:shd w:val="clear" w:fill="FFFFFF"/>
        </w:rPr>
        <w:t>（一）职能职责。</w:t>
      </w:r>
      <w:r>
        <w:rPr>
          <w:rFonts w:hint="eastAsia" w:ascii="方正仿宋_GBK" w:hAnsi="方正仿宋_GBK" w:eastAsia="方正仿宋_GBK" w:cs="方正仿宋_GBK"/>
          <w:kern w:val="0"/>
          <w:sz w:val="32"/>
          <w:szCs w:val="32"/>
        </w:rPr>
        <w:t>制定水库工程管理规则和操作规程，并组织实施；承担全区水库工程检查、观测和资料的整理编写工作，定期申请对工程进行安全鉴定；维修养护全区水库工程及附属设施、设备，确保工程设施正常运行；掌握气象预报和水文预报，并根据雨情、水情、工程安全状态及上游有关情况，及时做好报讯、调度运用和防汛抗洪工作，确保工程安全；提高水库工程社会化服务水平；开展科学实验和技术革新，充分发挥工程设备潜力</w:t>
      </w:r>
      <w:r>
        <w:rPr>
          <w:rFonts w:hint="eastAsia" w:ascii="方正仿宋_GBK" w:hAnsi="方正仿宋_GBK" w:eastAsia="方正仿宋_GBK" w:cs="方正仿宋_GBK"/>
          <w:b w:val="0"/>
          <w:kern w:val="0"/>
          <w:sz w:val="32"/>
          <w:szCs w:val="32"/>
        </w:rPr>
        <w:t>，逐步实现工程管理现代化；负责有关专业技术人员技能培训工作；负责对辖区内水功能区、小型水库、重要取水口等的水量和水文水质状况进行动态监测和分析评价；完成区委农业农村工委、区农业农村委交办的其他任务。</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b/>
          <w:kern w:val="0"/>
          <w:sz w:val="32"/>
          <w:szCs w:val="32"/>
          <w:shd w:val="clear" w:fill="FFFFFF"/>
        </w:rPr>
        <w:t>（二）机构设置。</w:t>
      </w:r>
      <w:r>
        <w:rPr>
          <w:rFonts w:hint="eastAsia" w:ascii="方正仿宋_GBK" w:hAnsi="方正仿宋_GBK" w:eastAsia="方正仿宋_GBK" w:cs="方正仿宋_GBK"/>
          <w:b w:val="0"/>
          <w:kern w:val="0"/>
          <w:sz w:val="32"/>
          <w:szCs w:val="32"/>
        </w:rPr>
        <w:t>重庆市九龙坡区水库管理站为重庆市九龙坡区农业农村委员会下属事业单位，属二级预算单位。</w:t>
      </w:r>
    </w:p>
    <w:p>
      <w:pPr>
        <w:keepNext w:val="0"/>
        <w:keepLines w:val="0"/>
        <w:pageBreakBefore w:val="0"/>
        <w:widowControl w:val="0"/>
        <w:suppressLineNumbers w:val="0"/>
        <w:kinsoku/>
        <w:wordWrap/>
        <w:overflowPunct/>
        <w:topLinePunct w:val="0"/>
        <w:autoSpaceDE/>
        <w:autoSpaceDN w:val="0"/>
        <w:bidi w:val="0"/>
        <w:adjustRightInd w:val="0"/>
        <w:snapToGrid w:val="0"/>
        <w:spacing w:before="0" w:beforeAutospacing="0" w:after="0" w:afterAutospacing="0" w:line="600" w:lineRule="exact"/>
        <w:ind w:left="0" w:leftChars="0" w:right="0" w:firstLine="643" w:firstLineChars="200"/>
        <w:jc w:val="both"/>
        <w:textAlignment w:val="auto"/>
        <w:rPr>
          <w:rFonts w:hint="eastAsia" w:ascii="方正仿宋_GBK" w:hAnsi="方正仿宋_GBK" w:eastAsia="方正仿宋_GBK" w:cs="方正仿宋_GBK"/>
          <w:b w:val="0"/>
          <w:kern w:val="0"/>
          <w:sz w:val="32"/>
          <w:szCs w:val="32"/>
        </w:rPr>
      </w:pPr>
      <w:r>
        <w:rPr>
          <w:rFonts w:hint="eastAsia" w:ascii="方正楷体_GBK" w:hAnsi="方正楷体_GBK" w:eastAsia="方正楷体_GBK" w:cs="方正楷体_GBK"/>
          <w:b/>
          <w:kern w:val="0"/>
          <w:sz w:val="32"/>
          <w:szCs w:val="32"/>
          <w:shd w:val="clear" w:fill="FFFFFF"/>
        </w:rPr>
        <w:t>（三）单位构成。</w:t>
      </w:r>
      <w:r>
        <w:rPr>
          <w:rFonts w:hint="eastAsia" w:ascii="方正仿宋_GBK" w:hAnsi="方正仿宋_GBK" w:eastAsia="方正仿宋_GBK" w:cs="方正仿宋_GBK"/>
          <w:b w:val="0"/>
          <w:kern w:val="0"/>
          <w:sz w:val="32"/>
          <w:szCs w:val="32"/>
        </w:rPr>
        <w:t>从预算单位构成看，纳入本单位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方正仿宋_GBK" w:hAnsi="方正仿宋_GBK" w:eastAsia="方正仿宋_GBK" w:cs="方正仿宋_GBK"/>
          <w:b w:val="0"/>
          <w:kern w:val="0"/>
          <w:sz w:val="32"/>
          <w:szCs w:val="32"/>
        </w:rPr>
        <w:t>年度决算编制范围的二级预算单位为重庆市九龙坡区水库管理站。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二、部门决算情况说明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Style w:val="11"/>
          <w:rFonts w:hint="eastAsia" w:ascii="方正仿宋_GBK" w:hAnsi="方正仿宋_GBK" w:eastAsia="方正仿宋_GBK" w:cs="方正仿宋_GBK"/>
          <w:kern w:val="0"/>
          <w:sz w:val="32"/>
          <w:szCs w:val="32"/>
          <w:shd w:val="clear" w:color="auto" w:fill="FFFFFF"/>
          <w:lang w:val="en-US" w:eastAsia="zh-CN" w:bidi="ar-SA"/>
        </w:rPr>
        <w:t>1.总体情况。</w:t>
      </w:r>
      <w:r>
        <w:rPr>
          <w:rFonts w:hint="eastAsia" w:ascii="Times New Roman" w:hAnsi="Times New Roman" w:eastAsia="方正仿宋_GBK" w:cs="Times New Roman"/>
          <w:kern w:val="0"/>
          <w:sz w:val="32"/>
          <w:szCs w:val="32"/>
          <w:shd w:val="clear" w:fill="FFFFFF"/>
          <w:lang w:val="en-US" w:eastAsia="zh-CN" w:bidi="ar-SA"/>
        </w:rPr>
        <w:t>2024年</w:t>
      </w:r>
      <w:r>
        <w:rPr>
          <w:rFonts w:hint="default" w:ascii="Times New Roman" w:hAnsi="Times New Roman" w:eastAsia="方正仿宋_GBK" w:cs="Times New Roman"/>
          <w:kern w:val="0"/>
          <w:sz w:val="32"/>
          <w:szCs w:val="32"/>
          <w:shd w:val="clear" w:fill="FFFFFF"/>
          <w:lang w:val="en-US" w:eastAsia="zh-CN" w:bidi="ar-SA"/>
        </w:rPr>
        <w:t>度收入总计123.50万元，支出总计123.50万元。收、支与2023年度相比，增加23.49万元，增长23.5%，</w:t>
      </w:r>
      <w:r>
        <w:rPr>
          <w:rFonts w:hint="eastAsia" w:ascii="Times New Roman" w:hAnsi="Times New Roman" w:eastAsia="方正仿宋_GBK" w:cs="Times New Roman"/>
          <w:kern w:val="0"/>
          <w:sz w:val="32"/>
          <w:szCs w:val="32"/>
          <w:shd w:val="clear" w:fill="FFFFFF"/>
          <w:lang w:val="en-US" w:eastAsia="zh-CN" w:bidi="ar-SA"/>
        </w:rPr>
        <w:t>主要原因是2024年本单位人员经费增加。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fill="FFFFFF"/>
          <w:lang w:val="en-US" w:eastAsia="zh-CN" w:bidi="ar-SA"/>
        </w:rPr>
        <w:t>2024年度收入合计123.50万元，与2023年度相比，增加23.49万元，增长23.5%，主要原因是2024年本单位人员经费增加。其中：财政拨款收入</w:t>
      </w:r>
      <w:r>
        <w:rPr>
          <w:rFonts w:hint="default" w:ascii="Times New Roman" w:hAnsi="Times New Roman" w:eastAsia="方正仿宋_GBK" w:cs="Times New Roman"/>
          <w:kern w:val="0"/>
          <w:sz w:val="32"/>
          <w:szCs w:val="32"/>
          <w:shd w:val="clear" w:fill="FFFFFF"/>
          <w:lang w:val="en-US" w:eastAsia="zh-CN" w:bidi="ar-SA"/>
        </w:rPr>
        <w:t>123.50</w:t>
      </w:r>
      <w:r>
        <w:rPr>
          <w:rFonts w:hint="eastAsia" w:ascii="Times New Roman" w:hAnsi="Times New Roman" w:eastAsia="方正仿宋_GBK" w:cs="Times New Roman"/>
          <w:kern w:val="0"/>
          <w:sz w:val="32"/>
          <w:szCs w:val="32"/>
          <w:shd w:val="clear" w:fill="FFFFFF"/>
          <w:lang w:val="en-US" w:eastAsia="zh-CN" w:bidi="ar-SA"/>
        </w:rPr>
        <w:t>万元，占</w:t>
      </w:r>
      <w:r>
        <w:rPr>
          <w:rFonts w:hint="default" w:ascii="Times New Roman" w:hAnsi="Times New Roman" w:eastAsia="方正仿宋_GBK" w:cs="Times New Roman"/>
          <w:kern w:val="0"/>
          <w:sz w:val="32"/>
          <w:szCs w:val="32"/>
          <w:shd w:val="clear" w:fill="FFFFFF"/>
          <w:lang w:val="en-US" w:eastAsia="zh-CN" w:bidi="ar-SA"/>
        </w:rPr>
        <w:t>100.00%</w:t>
      </w:r>
      <w:r>
        <w:rPr>
          <w:rFonts w:hint="eastAsia" w:ascii="Times New Roman" w:hAnsi="Times New Roman" w:eastAsia="方正仿宋_GBK" w:cs="Times New Roman"/>
          <w:kern w:val="0"/>
          <w:sz w:val="32"/>
          <w:szCs w:val="32"/>
          <w:shd w:val="clear"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fill="FFFFFF"/>
          <w:lang w:val="en-US" w:eastAsia="zh-CN" w:bidi="ar-SA"/>
        </w:rPr>
        <w:t>2024年度支出合计123.50万元，与2023年度相比，增加23.49万元，增长23.5%，主要原因是2024年本单位人员经费增加。其中：基本支出</w:t>
      </w:r>
      <w:r>
        <w:rPr>
          <w:rFonts w:hint="default" w:ascii="Times New Roman" w:hAnsi="Times New Roman" w:eastAsia="方正仿宋_GBK" w:cs="Times New Roman"/>
          <w:kern w:val="0"/>
          <w:sz w:val="32"/>
          <w:szCs w:val="32"/>
          <w:shd w:val="clear" w:fill="FFFFFF"/>
          <w:lang w:val="en-US" w:eastAsia="zh-CN" w:bidi="ar-SA"/>
        </w:rPr>
        <w:t>123.50</w:t>
      </w:r>
      <w:r>
        <w:rPr>
          <w:rFonts w:hint="eastAsia" w:ascii="Times New Roman" w:hAnsi="Times New Roman" w:eastAsia="方正仿宋_GBK" w:cs="Times New Roman"/>
          <w:kern w:val="0"/>
          <w:sz w:val="32"/>
          <w:szCs w:val="32"/>
          <w:shd w:val="clear" w:fill="FFFFFF"/>
          <w:lang w:val="en-US" w:eastAsia="zh-CN" w:bidi="ar-SA"/>
        </w:rPr>
        <w:t>万元，占</w:t>
      </w:r>
      <w:r>
        <w:rPr>
          <w:rFonts w:hint="default" w:ascii="Times New Roman" w:hAnsi="Times New Roman" w:eastAsia="方正仿宋_GBK" w:cs="Times New Roman"/>
          <w:kern w:val="0"/>
          <w:sz w:val="32"/>
          <w:szCs w:val="32"/>
          <w:shd w:val="clear" w:fill="FFFFFF"/>
          <w:lang w:val="en-US" w:eastAsia="zh-CN" w:bidi="ar-SA"/>
        </w:rPr>
        <w:t>100.00%</w:t>
      </w:r>
      <w:r>
        <w:rPr>
          <w:rFonts w:hint="eastAsia" w:ascii="Times New Roman" w:hAnsi="Times New Roman" w:eastAsia="方正仿宋_GBK" w:cs="Times New Roman"/>
          <w:kern w:val="0"/>
          <w:sz w:val="32"/>
          <w:szCs w:val="32"/>
          <w:shd w:val="clear"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fill="FFFFFF"/>
          <w:lang w:val="en-US" w:eastAsia="zh-CN" w:bidi="ar-SA"/>
        </w:rPr>
        <w:t>2024年度年末结转和结余0.00万元，与2023年度相比，无增减</w:t>
      </w:r>
      <w:r>
        <w:rPr>
          <w:rFonts w:hint="eastAsia" w:ascii="方正仿宋_GBK" w:hAnsi="方正仿宋_GBK" w:eastAsia="方正仿宋_GBK" w:cs="方正仿宋_GBK"/>
          <w:kern w:val="0"/>
          <w:sz w:val="32"/>
          <w:szCs w:val="32"/>
          <w:shd w:val="clear" w:fill="FFFFFF"/>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（二）财政拨款收入支出决算总体情况说明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Times New Roman" w:hAnsi="Times New Roman" w:eastAsia="方正仿宋_GBK" w:cs="Times New Roman"/>
          <w:kern w:val="0"/>
          <w:sz w:val="32"/>
          <w:szCs w:val="32"/>
          <w:shd w:val="clear" w:fill="FFFFFF"/>
          <w:lang w:val="en-US" w:eastAsia="zh-CN" w:bidi="ar-SA"/>
        </w:rPr>
        <w:t>2024年度财政拨款收、支总计123.50万元。与2023年相比，财政拨款收、支总计各增加23.49万元，增长23.5%。主要原因是2024</w:t>
      </w:r>
      <w:r>
        <w:rPr>
          <w:rFonts w:hint="eastAsia" w:ascii="方正仿宋_GBK" w:hAnsi="方正仿宋_GBK" w:eastAsia="方正仿宋_GBK" w:cs="方正仿宋_GBK"/>
          <w:color w:val="auto"/>
          <w:kern w:val="0"/>
          <w:sz w:val="32"/>
          <w:szCs w:val="32"/>
          <w:shd w:val="clear" w:fill="FFFFFF"/>
        </w:rPr>
        <w:t>年本单位</w:t>
      </w:r>
      <w:r>
        <w:rPr>
          <w:rFonts w:hint="eastAsia" w:ascii="方正仿宋_GBK" w:hAnsi="方正仿宋_GBK" w:eastAsia="方正仿宋_GBK" w:cs="方正仿宋_GBK"/>
          <w:b w:val="0"/>
          <w:color w:val="auto"/>
          <w:kern w:val="0"/>
          <w:sz w:val="32"/>
          <w:szCs w:val="32"/>
          <w:shd w:val="clear" w:fill="FFFFFF"/>
        </w:rPr>
        <w:t>人员</w:t>
      </w:r>
      <w:r>
        <w:rPr>
          <w:rFonts w:hint="eastAsia" w:ascii="方正仿宋_GBK" w:hAnsi="方正仿宋_GBK" w:eastAsia="方正仿宋_GBK" w:cs="方正仿宋_GBK"/>
          <w:b w:val="0"/>
          <w:color w:val="auto"/>
          <w:kern w:val="0"/>
          <w:sz w:val="32"/>
          <w:szCs w:val="32"/>
          <w:shd w:val="clear" w:fill="FFFFFF"/>
          <w:lang w:val="en-US" w:eastAsia="zh-CN"/>
        </w:rPr>
        <w:t>经费增加</w:t>
      </w:r>
      <w:r>
        <w:rPr>
          <w:rFonts w:hint="eastAsia" w:ascii="方正仿宋_GBK" w:hAnsi="方正仿宋_GBK" w:eastAsia="方正仿宋_GBK" w:cs="方正仿宋_GBK"/>
          <w:b w:val="0"/>
          <w:color w:val="auto"/>
          <w:kern w:val="0"/>
          <w:sz w:val="32"/>
          <w:szCs w:val="32"/>
          <w:shd w:val="clear" w:fill="FFFFFF"/>
        </w:rPr>
        <w:t>造成本年财政拨款收、支增加。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（三）一般公共预算财政拨款收入支出决算情况说明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kern w:val="0"/>
          <w:sz w:val="32"/>
          <w:szCs w:val="32"/>
          <w:shd w:val="clear" w:fill="FFFFFF"/>
        </w:rPr>
        <w:t>1.</w:t>
      </w:r>
      <w:r>
        <w:rPr>
          <w:rStyle w:val="16"/>
          <w:rFonts w:hint="eastAsia" w:ascii="方正仿宋_GBK" w:hAnsi="方正仿宋_GBK" w:eastAsia="方正仿宋_GBK" w:cs="方正仿宋_GBK"/>
          <w:b/>
          <w:kern w:val="0"/>
          <w:sz w:val="32"/>
          <w:szCs w:val="32"/>
          <w:shd w:val="clear" w:fill="FFFFFF"/>
        </w:rPr>
        <w:t>收入情况。</w:t>
      </w:r>
      <w:r>
        <w:rPr>
          <w:rFonts w:hint="eastAsia" w:ascii="Times New Roman" w:hAnsi="Times New Roman" w:eastAsia="方正仿宋_GBK" w:cs="Times New Roman"/>
          <w:kern w:val="0"/>
          <w:sz w:val="32"/>
          <w:szCs w:val="32"/>
          <w:shd w:val="clear" w:fill="FFFFFF"/>
          <w:lang w:val="en-US" w:eastAsia="zh-CN" w:bidi="ar-SA"/>
        </w:rPr>
        <w:t>2024年度一般公共预算财政拨款收入123.50万元，与2023年度相比，增加23.49万元，增长23.5%。主要原因是2024年本单位人员经费增加。较年初预算数增加13.64万元，增长12.4%。主要原因是2024年本单位新进人员。此外，年初财政拨款结转和结余</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kern w:val="0"/>
          <w:sz w:val="32"/>
          <w:szCs w:val="32"/>
          <w:shd w:val="clear" w:fill="FFFFFF"/>
        </w:rPr>
        <w:t>2.</w:t>
      </w:r>
      <w:r>
        <w:rPr>
          <w:rStyle w:val="16"/>
          <w:rFonts w:hint="eastAsia" w:ascii="方正仿宋_GBK" w:hAnsi="方正仿宋_GBK" w:eastAsia="方正仿宋_GBK" w:cs="方正仿宋_GBK"/>
          <w:b/>
          <w:kern w:val="0"/>
          <w:sz w:val="32"/>
          <w:szCs w:val="32"/>
          <w:shd w:val="clear" w:fill="FFFFFF"/>
        </w:rPr>
        <w:t>支出情况。</w:t>
      </w:r>
      <w:r>
        <w:rPr>
          <w:rFonts w:hint="eastAsia" w:ascii="Times New Roman" w:hAnsi="Times New Roman" w:eastAsia="方正仿宋_GBK" w:cs="Times New Roman"/>
          <w:kern w:val="0"/>
          <w:sz w:val="32"/>
          <w:szCs w:val="32"/>
          <w:shd w:val="clear" w:fill="FFFFFF"/>
          <w:lang w:val="en-US" w:eastAsia="zh-CN" w:bidi="ar-SA"/>
        </w:rPr>
        <w:t>2024年度一般公共预算财政拨款支出123.50万元，与2023年度相比，增加23.49万元，增长23.5%。主要原因是2024年本单位人员经费增加。较年初预算数增加13.64万元，增长12.4%。主要原因是2024年本单位新进人员。</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kern w:val="0"/>
          <w:sz w:val="32"/>
          <w:szCs w:val="32"/>
          <w:shd w:val="clear" w:fill="FFFFFF"/>
        </w:rPr>
        <w:t>3.</w:t>
      </w:r>
      <w:r>
        <w:rPr>
          <w:rStyle w:val="16"/>
          <w:rFonts w:hint="eastAsia" w:ascii="方正仿宋_GBK" w:hAnsi="方正仿宋_GBK" w:eastAsia="方正仿宋_GBK" w:cs="方正仿宋_GBK"/>
          <w:b/>
          <w:kern w:val="0"/>
          <w:sz w:val="32"/>
          <w:szCs w:val="32"/>
          <w:shd w:val="clear" w:fill="FFFFFF"/>
        </w:rPr>
        <w:t>结转结余情况。</w:t>
      </w:r>
      <w:r>
        <w:rPr>
          <w:rFonts w:hint="eastAsia" w:ascii="Times New Roman" w:hAnsi="Times New Roman" w:eastAsia="方正仿宋_GBK" w:cs="Times New Roman"/>
          <w:kern w:val="0"/>
          <w:sz w:val="32"/>
          <w:szCs w:val="32"/>
          <w:shd w:val="clear" w:fill="FFFFFF"/>
          <w:lang w:val="en-US" w:eastAsia="zh-CN" w:bidi="ar-SA"/>
        </w:rPr>
        <w:t>2024年度年末一般公共预算财政拨款结转和结余0.00万元，与2023年度相比，无增减。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b w:val="0"/>
          <w:kern w:val="0"/>
          <w:sz w:val="32"/>
          <w:szCs w:val="32"/>
          <w:shd w:val="clear" w:fill="FFFFFF"/>
        </w:rPr>
      </w:pPr>
      <w:r>
        <w:rPr>
          <w:rFonts w:hint="eastAsia" w:ascii="方正仿宋_GBK" w:hAnsi="方正仿宋_GBK" w:eastAsia="方正仿宋_GBK" w:cs="方正仿宋_GBK"/>
          <w:b/>
          <w:kern w:val="0"/>
          <w:sz w:val="32"/>
          <w:szCs w:val="32"/>
          <w:shd w:val="clear" w:fill="FFFFFF"/>
        </w:rPr>
        <w:t>4.</w:t>
      </w:r>
      <w:r>
        <w:rPr>
          <w:rStyle w:val="16"/>
          <w:rFonts w:hint="eastAsia" w:ascii="方正仿宋_GBK" w:hAnsi="方正仿宋_GBK" w:eastAsia="方正仿宋_GBK" w:cs="方正仿宋_GBK"/>
          <w:b/>
          <w:kern w:val="0"/>
          <w:sz w:val="32"/>
          <w:szCs w:val="32"/>
          <w:shd w:val="clear" w:fill="FFFFFF"/>
        </w:rPr>
        <w:t>比较情况。</w:t>
      </w:r>
      <w:r>
        <w:rPr>
          <w:rFonts w:hint="eastAsia" w:ascii="方正仿宋_GBK" w:hAnsi="方正仿宋_GBK" w:eastAsia="方正仿宋_GBK" w:cs="方正仿宋_GBK"/>
          <w:kern w:val="0"/>
          <w:sz w:val="32"/>
          <w:szCs w:val="32"/>
          <w:shd w:val="clear" w:fill="FFFFFF"/>
        </w:rPr>
        <w:t>本单</w:t>
      </w:r>
      <w:r>
        <w:rPr>
          <w:rFonts w:hint="eastAsia" w:ascii="Times New Roman" w:hAnsi="Times New Roman" w:eastAsia="方正仿宋_GBK" w:cs="Times New Roman"/>
          <w:kern w:val="0"/>
          <w:sz w:val="32"/>
          <w:szCs w:val="32"/>
          <w:shd w:val="clear" w:fill="FFFFFF"/>
          <w:lang w:val="en-US" w:eastAsia="zh-CN" w:bidi="ar-SA"/>
        </w:rPr>
        <w:t>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w:t>
      </w:r>
      <w:r>
        <w:rPr>
          <w:rFonts w:hint="eastAsia" w:ascii="方正仿宋_GBK" w:hAnsi="方正仿宋_GBK" w:eastAsia="方正仿宋_GBK" w:cs="方正仿宋_GBK"/>
          <w:b w:val="0"/>
          <w:kern w:val="0"/>
          <w:sz w:val="32"/>
          <w:szCs w:val="32"/>
          <w:shd w:val="clear" w:fill="FFFFFF"/>
        </w:rPr>
        <w:t>一般公共预算财政拨款支出主要用于以下几个方面：</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val="0"/>
          <w:kern w:val="0"/>
          <w:sz w:val="32"/>
          <w:szCs w:val="32"/>
          <w:shd w:val="clear" w:fill="FFFFFF"/>
        </w:rPr>
        <w:t>（1）</w:t>
      </w:r>
      <w:r>
        <w:rPr>
          <w:rFonts w:ascii="方正仿宋_GBK" w:hAnsi="方正仿宋_GBK" w:eastAsia="方正仿宋_GBK" w:cs="方正仿宋_GBK"/>
          <w:sz w:val="32"/>
          <w:szCs w:val="32"/>
          <w:shd w:val="clear" w:color="auto" w:fill="FFFFFF"/>
        </w:rPr>
        <w:t>社会保</w:t>
      </w:r>
      <w:r>
        <w:rPr>
          <w:rFonts w:hint="eastAsia" w:ascii="Times New Roman" w:hAnsi="Times New Roman" w:eastAsia="方正仿宋_GBK" w:cs="Times New Roman"/>
          <w:kern w:val="0"/>
          <w:sz w:val="32"/>
          <w:szCs w:val="32"/>
          <w:shd w:val="clear" w:fill="FFFFFF"/>
          <w:lang w:val="en-US" w:eastAsia="zh-CN" w:bidi="ar-SA"/>
        </w:rPr>
        <w:t>障与就业支出27.70万元，占22.43%，较年初预算数增加10.41万元，增长60.2%，主要原因是追加养老保险和职业年金等经费。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方正仿宋_GBK" w:hAnsi="方正仿宋_GBK" w:eastAsia="方正仿宋_GBK" w:cs="方正仿宋_GBK"/>
          <w:b w:val="0"/>
          <w:kern w:val="0"/>
          <w:sz w:val="32"/>
          <w:szCs w:val="32"/>
          <w:shd w:val="clear" w:fill="FFFFFF"/>
        </w:rPr>
        <w:t>（2）</w:t>
      </w:r>
      <w:r>
        <w:rPr>
          <w:rFonts w:ascii="方正仿宋_GBK" w:hAnsi="方正仿宋_GBK" w:eastAsia="方正仿宋_GBK" w:cs="方正仿宋_GBK"/>
          <w:sz w:val="32"/>
          <w:szCs w:val="32"/>
          <w:shd w:val="clear" w:color="auto" w:fill="FFFFFF"/>
        </w:rPr>
        <w:t>卫生健</w:t>
      </w:r>
      <w:r>
        <w:rPr>
          <w:rFonts w:hint="eastAsia" w:ascii="Times New Roman" w:hAnsi="Times New Roman" w:eastAsia="方正仿宋_GBK" w:cs="Times New Roman"/>
          <w:kern w:val="0"/>
          <w:sz w:val="32"/>
          <w:szCs w:val="32"/>
          <w:shd w:val="clear" w:fill="FFFFFF"/>
          <w:lang w:val="en-US" w:eastAsia="zh-CN" w:bidi="ar-SA"/>
        </w:rPr>
        <w:t>康支出4.59万元，占3.72%，较年初预算数减少0.08万元，下降1.7%，主要原因是减少经费支出。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val="0"/>
          <w:color w:val="auto"/>
          <w:kern w:val="0"/>
          <w:sz w:val="32"/>
          <w:szCs w:val="32"/>
          <w:shd w:val="clear" w:fill="FFFFFF"/>
        </w:rPr>
        <w:t>（3）</w:t>
      </w:r>
      <w:r>
        <w:rPr>
          <w:rFonts w:ascii="方正仿宋_GBK" w:hAnsi="方正仿宋_GBK" w:eastAsia="方正仿宋_GBK" w:cs="方正仿宋_GBK"/>
          <w:color w:val="auto"/>
          <w:sz w:val="32"/>
          <w:szCs w:val="32"/>
          <w:shd w:val="clear" w:color="auto" w:fill="FFFFFF"/>
        </w:rPr>
        <w:t>农林水支</w:t>
      </w:r>
      <w:r>
        <w:rPr>
          <w:rFonts w:hint="eastAsia" w:ascii="Times New Roman" w:hAnsi="Times New Roman" w:eastAsia="方正仿宋_GBK" w:cs="Times New Roman"/>
          <w:kern w:val="0"/>
          <w:sz w:val="32"/>
          <w:szCs w:val="32"/>
          <w:shd w:val="clear" w:fill="FFFFFF"/>
          <w:lang w:val="en-US" w:eastAsia="zh-CN" w:bidi="ar-SA"/>
        </w:rPr>
        <w:t>出83.74万元，占67.80%，较年初预算数增加3.39万元，增长4.2%，</w:t>
      </w:r>
      <w:r>
        <w:rPr>
          <w:rFonts w:hint="eastAsia" w:ascii="方正仿宋_GBK" w:hAnsi="方正仿宋_GBK" w:eastAsia="方正仿宋_GBK" w:cs="方正仿宋_GBK"/>
          <w:color w:val="auto"/>
          <w:kern w:val="0"/>
          <w:sz w:val="32"/>
          <w:szCs w:val="32"/>
          <w:shd w:val="clear" w:fill="FFFFFF"/>
        </w:rPr>
        <w:t>主</w:t>
      </w:r>
      <w:r>
        <w:rPr>
          <w:rFonts w:hint="eastAsia" w:ascii="方正仿宋_GBK" w:hAnsi="方正仿宋_GBK" w:eastAsia="方正仿宋_GBK" w:cs="方正仿宋_GBK"/>
          <w:b w:val="0"/>
          <w:color w:val="auto"/>
          <w:kern w:val="0"/>
          <w:sz w:val="32"/>
          <w:szCs w:val="32"/>
          <w:shd w:val="clear" w:fill="FFFFFF"/>
        </w:rPr>
        <w:t>要原因是追加人员经费。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color w:val="auto"/>
          <w:kern w:val="0"/>
          <w:sz w:val="32"/>
          <w:szCs w:val="32"/>
          <w:shd w:val="clear" w:fill="FFFFFF"/>
        </w:rPr>
      </w:pPr>
      <w:r>
        <w:rPr>
          <w:rFonts w:hint="eastAsia" w:ascii="方正仿宋_GBK" w:hAnsi="方正仿宋_GBK" w:eastAsia="方正仿宋_GBK" w:cs="方正仿宋_GBK"/>
          <w:b w:val="0"/>
          <w:color w:val="auto"/>
          <w:kern w:val="0"/>
          <w:sz w:val="32"/>
          <w:szCs w:val="32"/>
          <w:shd w:val="clear" w:fill="FFFFFF"/>
        </w:rPr>
        <w:t>（4）</w:t>
      </w:r>
      <w:r>
        <w:rPr>
          <w:rFonts w:ascii="方正仿宋_GBK" w:hAnsi="方正仿宋_GBK" w:eastAsia="方正仿宋_GBK" w:cs="方正仿宋_GBK"/>
          <w:color w:val="auto"/>
          <w:sz w:val="32"/>
          <w:szCs w:val="32"/>
        </w:rPr>
        <w:t>住房保障</w:t>
      </w:r>
      <w:r>
        <w:rPr>
          <w:rFonts w:hint="eastAsia" w:ascii="Times New Roman" w:hAnsi="Times New Roman" w:eastAsia="方正仿宋_GBK" w:cs="Times New Roman"/>
          <w:kern w:val="0"/>
          <w:sz w:val="32"/>
          <w:szCs w:val="32"/>
          <w:shd w:val="clear" w:fill="FFFFFF"/>
          <w:lang w:val="en-US" w:eastAsia="zh-CN" w:bidi="ar-SA"/>
        </w:rPr>
        <w:t>支出7.48万元，占6.06%，较年初预算数减少0.07万元，下降0.9%，</w:t>
      </w:r>
      <w:r>
        <w:rPr>
          <w:rFonts w:hint="eastAsia" w:ascii="方正仿宋_GBK" w:hAnsi="方正仿宋_GBK" w:eastAsia="方正仿宋_GBK" w:cs="方正仿宋_GBK"/>
          <w:color w:val="auto"/>
          <w:kern w:val="0"/>
          <w:sz w:val="32"/>
          <w:szCs w:val="32"/>
          <w:shd w:val="clear" w:fill="FFFFFF"/>
        </w:rPr>
        <w:t>主</w:t>
      </w:r>
      <w:r>
        <w:rPr>
          <w:rFonts w:hint="eastAsia" w:ascii="方正仿宋_GBK" w:hAnsi="方正仿宋_GBK" w:eastAsia="方正仿宋_GBK" w:cs="方正仿宋_GBK"/>
          <w:b w:val="0"/>
          <w:color w:val="auto"/>
          <w:kern w:val="0"/>
          <w:sz w:val="32"/>
          <w:szCs w:val="32"/>
          <w:shd w:val="clear" w:fill="FFFFFF"/>
        </w:rPr>
        <w:t>要原因是减少</w:t>
      </w:r>
      <w:r>
        <w:rPr>
          <w:rFonts w:hint="eastAsia" w:ascii="方正仿宋_GBK" w:hAnsi="方正仿宋_GBK" w:eastAsia="方正仿宋_GBK" w:cs="方正仿宋_GBK"/>
          <w:b w:val="0"/>
          <w:color w:val="auto"/>
          <w:kern w:val="0"/>
          <w:sz w:val="32"/>
          <w:szCs w:val="32"/>
          <w:shd w:val="clear" w:fill="FFFFFF"/>
          <w:lang w:val="en-US" w:eastAsia="zh-CN"/>
        </w:rPr>
        <w:t>经费</w:t>
      </w:r>
      <w:r>
        <w:rPr>
          <w:rFonts w:hint="eastAsia" w:ascii="方正仿宋_GBK" w:hAnsi="方正仿宋_GBK" w:eastAsia="方正仿宋_GBK" w:cs="方正仿宋_GBK"/>
          <w:b w:val="0"/>
          <w:color w:val="auto"/>
          <w:kern w:val="0"/>
          <w:sz w:val="32"/>
          <w:szCs w:val="32"/>
          <w:shd w:val="clear" w:fill="FFFFFF"/>
        </w:rPr>
        <w:t>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（四）一般公共预算财政拨款基本支出决算情况说明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eastAsia" w:ascii="Times New Roman" w:hAnsi="Times New Roman" w:eastAsia="方正仿宋_GBK" w:cs="Times New Roman"/>
          <w:kern w:val="0"/>
          <w:sz w:val="32"/>
          <w:szCs w:val="32"/>
          <w:shd w:val="clear" w:fill="FFFFFF"/>
          <w:lang w:val="en-US" w:eastAsia="zh-CN" w:bidi="ar-SA"/>
        </w:rPr>
        <w:t>2</w:t>
      </w:r>
      <w:r>
        <w:rPr>
          <w:rFonts w:hint="default" w:ascii="Times New Roman" w:hAnsi="Times New Roman" w:eastAsia="方正仿宋_GBK" w:cs="Times New Roman"/>
          <w:kern w:val="0"/>
          <w:sz w:val="32"/>
          <w:szCs w:val="32"/>
          <w:shd w:val="clear" w:fill="FFFFFF"/>
          <w:lang w:val="en-US" w:eastAsia="zh-CN" w:bidi="ar-SA"/>
        </w:rPr>
        <w:t>024</w:t>
      </w:r>
      <w:r>
        <w:rPr>
          <w:rFonts w:hint="eastAsia" w:ascii="Times New Roman" w:hAnsi="Times New Roman" w:eastAsia="方正仿宋_GBK" w:cs="Times New Roman"/>
          <w:kern w:val="0"/>
          <w:sz w:val="32"/>
          <w:szCs w:val="32"/>
          <w:shd w:val="clear" w:fill="FFFFFF"/>
          <w:lang w:val="en-US" w:eastAsia="zh-CN" w:bidi="ar-SA"/>
        </w:rPr>
        <w:t>年度一般公共预算财政拨款基本支出</w:t>
      </w:r>
      <w:r>
        <w:rPr>
          <w:rFonts w:hint="default" w:ascii="Times New Roman" w:hAnsi="Times New Roman" w:eastAsia="方正仿宋_GBK" w:cs="Times New Roman"/>
          <w:kern w:val="0"/>
          <w:sz w:val="32"/>
          <w:szCs w:val="32"/>
          <w:shd w:val="clear" w:fill="FFFFFF"/>
          <w:lang w:val="en-US" w:eastAsia="zh-CN" w:bidi="ar-SA"/>
        </w:rPr>
        <w:t>123.50</w:t>
      </w:r>
      <w:r>
        <w:rPr>
          <w:rFonts w:hint="eastAsia" w:ascii="Times New Roman" w:hAnsi="Times New Roman" w:eastAsia="方正仿宋_GBK" w:cs="Times New Roman"/>
          <w:kern w:val="0"/>
          <w:sz w:val="32"/>
          <w:szCs w:val="32"/>
          <w:shd w:val="clear" w:fill="FFFFFF"/>
          <w:lang w:val="en-US" w:eastAsia="zh-CN" w:bidi="ar-SA"/>
        </w:rPr>
        <w:t>万元。其中：人员经费101.37万元，与2023年度相比，增加16.86万元，增长20.0%，主要原因是追加养老保险和职业年金等经费。人员经费用途主要包括基本工资、津贴补贴、绩效工资、社会保障缴费等。公用经费22.14万元，与2023年度相比，增加6.64万元，增长42.8%，主要原因是为保障本单位正常运转，完成日常工作任务统筹使用全委公用经费。公用经费用途主要包括办公费、邮电费、差旅费、福利费、办公用房物业管理费、其他商品和服务支出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（五）政府性基金预算收支决算情况说明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kern w:val="0"/>
          <w:sz w:val="32"/>
          <w:szCs w:val="32"/>
          <w:shd w:val="clear" w:fill="FFFFFF"/>
        </w:rPr>
      </w:pPr>
      <w:r>
        <w:rPr>
          <w:rFonts w:hint="eastAsia" w:ascii="方正仿宋_GBK" w:hAnsi="方正仿宋_GBK" w:eastAsia="方正仿宋_GBK" w:cs="方正仿宋_GBK"/>
          <w:b w:val="0"/>
          <w:kern w:val="0"/>
          <w:sz w:val="32"/>
          <w:szCs w:val="32"/>
          <w:shd w:val="clear" w:fill="FFFFFF"/>
        </w:rPr>
        <w:t>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w:t>
      </w:r>
      <w:r>
        <w:rPr>
          <w:rFonts w:hint="eastAsia" w:ascii="方正仿宋_GBK" w:hAnsi="方正仿宋_GBK" w:eastAsia="方正仿宋_GBK" w:cs="方正仿宋_GBK"/>
          <w:b w:val="0"/>
          <w:kern w:val="0"/>
          <w:sz w:val="32"/>
          <w:szCs w:val="32"/>
          <w:shd w:val="clear" w:fill="FFFFFF"/>
        </w:rPr>
        <w:t>度无政府性基金预算财政拨款收支。</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（六）国有资本经营预算财政拨款支出决算情况说明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right="0" w:rightChars="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kern w:val="0"/>
          <w:sz w:val="32"/>
          <w:szCs w:val="32"/>
          <w:shd w:val="clear" w:fill="FFFFFF"/>
        </w:rPr>
        <w:t xml:space="preserve">    </w:t>
      </w:r>
      <w:r>
        <w:rPr>
          <w:rFonts w:hint="eastAsia" w:ascii="方正仿宋_GBK" w:hAnsi="方正仿宋_GBK" w:eastAsia="方正仿宋_GBK" w:cs="方正仿宋_GBK"/>
          <w:b w:val="0"/>
          <w:kern w:val="0"/>
          <w:sz w:val="32"/>
          <w:szCs w:val="32"/>
          <w:shd w:val="clear" w:fill="FFFFFF"/>
        </w:rPr>
        <w:t>本单</w:t>
      </w:r>
      <w:r>
        <w:rPr>
          <w:rFonts w:hint="eastAsia" w:ascii="Times New Roman" w:hAnsi="Times New Roman" w:eastAsia="方正仿宋_GBK" w:cs="Times New Roman"/>
          <w:kern w:val="0"/>
          <w:sz w:val="32"/>
          <w:szCs w:val="32"/>
          <w:shd w:val="clear" w:fill="FFFFFF"/>
          <w:lang w:val="en-US" w:eastAsia="zh-CN" w:bidi="ar-SA"/>
        </w:rPr>
        <w:t>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年度无</w:t>
      </w:r>
      <w:r>
        <w:rPr>
          <w:rFonts w:hint="eastAsia" w:ascii="方正仿宋_GBK" w:hAnsi="方正仿宋_GBK" w:eastAsia="方正仿宋_GBK" w:cs="方正仿宋_GBK"/>
          <w:b w:val="0"/>
          <w:kern w:val="0"/>
          <w:sz w:val="32"/>
          <w:szCs w:val="32"/>
          <w:shd w:val="clear" w:fill="FFFFFF"/>
        </w:rPr>
        <w:t>国有资本经营预算财政拨款支出。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三、</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三公</w:t>
      </w:r>
      <w:r>
        <w:rPr>
          <w:rStyle w:val="11"/>
          <w:rFonts w:hint="default" w:ascii="黑体" w:hAnsi="黑体" w:eastAsia="黑体" w:cs="黑体"/>
          <w:kern w:val="0"/>
          <w:sz w:val="32"/>
          <w:szCs w:val="32"/>
          <w:shd w:val="clear" w:color="auto" w:fill="FFFFFF"/>
          <w:lang w:val="en-US" w:eastAsia="zh-CN" w:bidi="ar-SA"/>
        </w:rPr>
        <w:t>”</w:t>
      </w:r>
      <w:r>
        <w:rPr>
          <w:rStyle w:val="11"/>
          <w:rFonts w:hint="eastAsia" w:ascii="黑体" w:hAnsi="黑体" w:eastAsia="黑体" w:cs="黑体"/>
          <w:kern w:val="0"/>
          <w:sz w:val="32"/>
          <w:szCs w:val="32"/>
          <w:shd w:val="clear" w:color="auto" w:fill="FFFFFF"/>
          <w:lang w:val="en-US" w:eastAsia="zh-CN" w:bidi="ar-SA"/>
        </w:rPr>
        <w:t>经费情况说明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（一）</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经费支出总体情况说明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年度“三公”经费支出共计</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万元，较年初预算数减少</w:t>
      </w:r>
      <w:r>
        <w:rPr>
          <w:rFonts w:hint="default" w:ascii="Times New Roman" w:hAnsi="Times New Roman" w:eastAsia="方正仿宋_GBK" w:cs="Times New Roman"/>
          <w:kern w:val="0"/>
          <w:sz w:val="32"/>
          <w:szCs w:val="32"/>
          <w:shd w:val="clear" w:fill="FFFFFF"/>
          <w:lang w:val="en-US" w:eastAsia="zh-CN" w:bidi="ar-SA"/>
        </w:rPr>
        <w:t>0.55</w:t>
      </w:r>
      <w:r>
        <w:rPr>
          <w:rFonts w:hint="eastAsia" w:ascii="Times New Roman" w:hAnsi="Times New Roman" w:eastAsia="方正仿宋_GBK" w:cs="Times New Roman"/>
          <w:kern w:val="0"/>
          <w:sz w:val="32"/>
          <w:szCs w:val="32"/>
          <w:shd w:val="clear" w:fill="FFFFFF"/>
          <w:lang w:val="en-US" w:eastAsia="zh-CN" w:bidi="ar-SA"/>
        </w:rPr>
        <w:t>万元，下降</w:t>
      </w:r>
      <w:r>
        <w:rPr>
          <w:rFonts w:hint="default" w:ascii="Times New Roman" w:hAnsi="Times New Roman" w:eastAsia="方正仿宋_GBK" w:cs="Times New Roman"/>
          <w:kern w:val="0"/>
          <w:sz w:val="32"/>
          <w:szCs w:val="32"/>
          <w:shd w:val="clear" w:fill="FFFFFF"/>
          <w:lang w:val="en-US" w:eastAsia="zh-CN" w:bidi="ar-SA"/>
        </w:rPr>
        <w:t>100.00%</w:t>
      </w:r>
      <w:r>
        <w:rPr>
          <w:rFonts w:hint="eastAsia" w:ascii="Times New Roman" w:hAnsi="Times New Roman" w:eastAsia="方正仿宋_GBK" w:cs="Times New Roman"/>
          <w:kern w:val="0"/>
          <w:sz w:val="32"/>
          <w:szCs w:val="32"/>
          <w:shd w:val="clear" w:fill="FFFFFF"/>
          <w:lang w:val="en-US" w:eastAsia="zh-CN" w:bidi="ar-SA"/>
        </w:rPr>
        <w:t>，主要原因是严格按照各项规定执行，厉行节约控制各项经费支出。较上年支出数无增减，主要原因是</w:t>
      </w:r>
      <w:r>
        <w:rPr>
          <w:rFonts w:hint="default" w:ascii="Times New Roman" w:hAnsi="Times New Roman" w:eastAsia="方正仿宋_GBK" w:cs="Times New Roman"/>
          <w:kern w:val="0"/>
          <w:sz w:val="32"/>
          <w:szCs w:val="32"/>
          <w:shd w:val="clear" w:fill="FFFFFF"/>
          <w:lang w:val="en-US" w:eastAsia="zh-CN" w:bidi="ar-SA"/>
        </w:rPr>
        <w:t>2023</w:t>
      </w:r>
      <w:r>
        <w:rPr>
          <w:rFonts w:hint="eastAsia" w:ascii="Times New Roman" w:hAnsi="Times New Roman" w:eastAsia="方正仿宋_GBK" w:cs="Times New Roman"/>
          <w:kern w:val="0"/>
          <w:sz w:val="32"/>
          <w:szCs w:val="32"/>
          <w:shd w:val="clear" w:fill="FFFFFF"/>
          <w:lang w:val="en-US" w:eastAsia="zh-CN" w:bidi="ar-SA"/>
        </w:rPr>
        <w:t>年和</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年都未发生“三公”经费支出。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经费分项支出情况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年度本单位因公出国（境）费用</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万元，主要是本单位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年无因公出国（境）</w:t>
      </w:r>
      <w:r>
        <w:rPr>
          <w:rFonts w:hint="eastAsia" w:ascii="Times New Roman" w:hAnsi="Times New Roman" w:eastAsia="方正仿宋_GBK" w:cs="Times New Roman"/>
          <w:kern w:val="0"/>
          <w:sz w:val="32"/>
          <w:szCs w:val="32"/>
          <w:shd w:val="clear" w:fill="FFFFFF"/>
          <w:lang w:val="en-US" w:eastAsia="zh-CN" w:bidi="ar-SA"/>
        </w:rPr>
        <w:t>的安排，未发生支出。费用支出较年初预算数和上年支出数无增减。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Times New Roman" w:hAnsi="Times New Roman" w:eastAsia="方正仿宋_GBK" w:cs="Times New Roman"/>
          <w:kern w:val="0"/>
          <w:sz w:val="32"/>
          <w:szCs w:val="32"/>
          <w:shd w:val="clear" w:fill="FFFFFF"/>
          <w:lang w:val="en-US" w:eastAsia="zh-CN" w:bidi="ar-SA"/>
        </w:rPr>
        <w:t>公务车购置</w:t>
      </w:r>
      <w:r>
        <w:rPr>
          <w:rFonts w:hint="eastAsia" w:ascii="Times New Roman" w:hAnsi="Times New Roman" w:eastAsia="方正仿宋_GBK" w:cs="Times New Roman"/>
          <w:kern w:val="0"/>
          <w:sz w:val="32"/>
          <w:szCs w:val="32"/>
          <w:shd w:val="clear" w:fill="FFFFFF"/>
          <w:lang w:val="en-US" w:eastAsia="zh-CN" w:bidi="ar-SA"/>
        </w:rPr>
        <w:t>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万元，主要是本单位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年度未发生公务车购置费。费用支出较年初预算数和上年支出数无增减。</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Times New Roman" w:hAnsi="Times New Roman" w:eastAsia="方正仿宋_GBK" w:cs="Times New Roman"/>
          <w:kern w:val="0"/>
          <w:sz w:val="32"/>
          <w:szCs w:val="32"/>
          <w:shd w:val="clear" w:fill="FFFFFF"/>
          <w:lang w:val="en-US" w:eastAsia="zh-CN" w:bidi="ar-SA"/>
        </w:rPr>
        <w:t>公务车运行维护</w:t>
      </w:r>
      <w:r>
        <w:rPr>
          <w:rFonts w:hint="eastAsia" w:ascii="Times New Roman" w:hAnsi="Times New Roman" w:eastAsia="方正仿宋_GBK" w:cs="Times New Roman"/>
          <w:kern w:val="0"/>
          <w:sz w:val="32"/>
          <w:szCs w:val="32"/>
          <w:shd w:val="clear" w:fill="FFFFFF"/>
          <w:lang w:val="en-US" w:eastAsia="zh-CN" w:bidi="ar-SA"/>
        </w:rPr>
        <w:t>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万元，主要是本单位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年度未发生公务车运行维护费。费用支出较年初预算数和上年支出数无增减</w:t>
      </w:r>
      <w:bookmarkStart w:id="0" w:name="_GoBack"/>
      <w:bookmarkEnd w:id="0"/>
      <w:r>
        <w:rPr>
          <w:rFonts w:hint="eastAsia" w:ascii="Times New Roman" w:hAnsi="Times New Roman" w:eastAsia="方正仿宋_GBK" w:cs="Times New Roman"/>
          <w:kern w:val="0"/>
          <w:sz w:val="32"/>
          <w:szCs w:val="32"/>
          <w:shd w:val="clear" w:fill="FFFFFF"/>
          <w:lang w:val="en-US" w:eastAsia="zh-CN" w:bidi="ar-SA"/>
        </w:rPr>
        <w:t>。</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Times New Roman" w:hAnsi="Times New Roman" w:eastAsia="方正仿宋_GBK" w:cs="Times New Roman"/>
          <w:kern w:val="0"/>
          <w:sz w:val="32"/>
          <w:szCs w:val="32"/>
          <w:shd w:val="clear" w:fill="FFFFFF"/>
          <w:lang w:val="en-US" w:eastAsia="zh-CN" w:bidi="ar-SA"/>
        </w:rPr>
      </w:pPr>
      <w:r>
        <w:rPr>
          <w:rFonts w:hint="eastAsia" w:ascii="Times New Roman" w:hAnsi="Times New Roman" w:eastAsia="方正仿宋_GBK" w:cs="Times New Roman"/>
          <w:kern w:val="0"/>
          <w:sz w:val="32"/>
          <w:szCs w:val="32"/>
          <w:shd w:val="clear" w:fill="FFFFFF"/>
          <w:lang w:val="en-US" w:eastAsia="zh-CN" w:bidi="ar-SA"/>
        </w:rPr>
        <w:t>公务接待费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万元，主要是本单位</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年度未发生公务接待费。费用支出较年初预算数减少</w:t>
      </w:r>
      <w:r>
        <w:rPr>
          <w:rFonts w:hint="default" w:ascii="Times New Roman" w:hAnsi="Times New Roman" w:eastAsia="方正仿宋_GBK" w:cs="Times New Roman"/>
          <w:kern w:val="0"/>
          <w:sz w:val="32"/>
          <w:szCs w:val="32"/>
          <w:shd w:val="clear" w:fill="FFFFFF"/>
          <w:lang w:val="en-US" w:eastAsia="zh-CN" w:bidi="ar-SA"/>
        </w:rPr>
        <w:t>0.55</w:t>
      </w:r>
      <w:r>
        <w:rPr>
          <w:rFonts w:hint="eastAsia" w:ascii="Times New Roman" w:hAnsi="Times New Roman" w:eastAsia="方正仿宋_GBK" w:cs="Times New Roman"/>
          <w:kern w:val="0"/>
          <w:sz w:val="32"/>
          <w:szCs w:val="32"/>
          <w:shd w:val="clear" w:fill="FFFFFF"/>
          <w:lang w:val="en-US" w:eastAsia="zh-CN" w:bidi="ar-SA"/>
        </w:rPr>
        <w:t>万元，下降</w:t>
      </w:r>
      <w:r>
        <w:rPr>
          <w:rFonts w:hint="default" w:ascii="Times New Roman" w:hAnsi="Times New Roman" w:eastAsia="方正仿宋_GBK" w:cs="Times New Roman"/>
          <w:kern w:val="0"/>
          <w:sz w:val="32"/>
          <w:szCs w:val="32"/>
          <w:shd w:val="clear" w:fill="FFFFFF"/>
          <w:lang w:val="en-US" w:eastAsia="zh-CN" w:bidi="ar-SA"/>
        </w:rPr>
        <w:t>1</w:t>
      </w:r>
      <w:r>
        <w:rPr>
          <w:rFonts w:hint="default" w:ascii="Times New Roman" w:hAnsi="Times New Roman" w:eastAsia="方正仿宋_GBK" w:cs="Times New Roman"/>
          <w:kern w:val="0"/>
          <w:sz w:val="32"/>
          <w:szCs w:val="32"/>
          <w:shd w:val="clear" w:fill="FFFFFF"/>
          <w:lang w:val="en-US" w:eastAsia="zh-CN" w:bidi="ar-SA"/>
        </w:rPr>
        <w:t>00.00%</w:t>
      </w:r>
      <w:r>
        <w:rPr>
          <w:rFonts w:hint="eastAsia" w:ascii="Times New Roman" w:hAnsi="Times New Roman" w:eastAsia="方正仿宋_GBK" w:cs="Times New Roman"/>
          <w:kern w:val="0"/>
          <w:sz w:val="32"/>
          <w:szCs w:val="32"/>
          <w:shd w:val="clear" w:fill="FFFFFF"/>
          <w:lang w:val="en-US" w:eastAsia="zh-CN" w:bidi="ar-SA"/>
        </w:rPr>
        <w:t>，主要原因是严格遵守公务接待开支范围和开支标准，降低费用支出。较上年支出数无增减，主要原因是</w:t>
      </w:r>
      <w:r>
        <w:rPr>
          <w:rFonts w:hint="default" w:ascii="Times New Roman" w:hAnsi="Times New Roman" w:eastAsia="方正仿宋_GBK" w:cs="Times New Roman"/>
          <w:kern w:val="0"/>
          <w:sz w:val="32"/>
          <w:szCs w:val="32"/>
          <w:shd w:val="clear" w:fill="FFFFFF"/>
          <w:lang w:val="en-US" w:eastAsia="zh-CN" w:bidi="ar-SA"/>
        </w:rPr>
        <w:t>2023</w:t>
      </w:r>
      <w:r>
        <w:rPr>
          <w:rFonts w:hint="eastAsia" w:ascii="Times New Roman" w:hAnsi="Times New Roman" w:eastAsia="方正仿宋_GBK" w:cs="Times New Roman"/>
          <w:kern w:val="0"/>
          <w:sz w:val="32"/>
          <w:szCs w:val="32"/>
          <w:shd w:val="clear" w:fill="FFFFFF"/>
          <w:lang w:val="en-US" w:eastAsia="zh-CN" w:bidi="ar-SA"/>
        </w:rPr>
        <w:t>年</w:t>
      </w:r>
      <w:r>
        <w:rPr>
          <w:rFonts w:hint="eastAsia" w:ascii="Times New Roman" w:hAnsi="Times New Roman" w:eastAsia="方正仿宋_GBK" w:cs="Times New Roman"/>
          <w:kern w:val="0"/>
          <w:sz w:val="32"/>
          <w:szCs w:val="32"/>
          <w:shd w:val="clear" w:fill="FFFFFF"/>
          <w:lang w:val="en-US" w:eastAsia="zh-CN" w:bidi="ar-SA"/>
        </w:rPr>
        <w:t>和</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年度都未发生公务接待费。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经费实物量情况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年度本单位因公出国（境）共计</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个团组，</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人；公务用车购置</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辆，公务车保有量为</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辆；国内公务接待</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批次</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人，其中：国内外事接待</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批次，</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人；国（境）外公务接待</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批次，</w:t>
      </w:r>
      <w:r>
        <w:rPr>
          <w:rFonts w:hint="default" w:ascii="Times New Roman" w:hAnsi="Times New Roman" w:eastAsia="方正仿宋_GBK" w:cs="Times New Roman"/>
          <w:kern w:val="0"/>
          <w:sz w:val="32"/>
          <w:szCs w:val="32"/>
          <w:shd w:val="clear" w:fill="FFFFFF"/>
          <w:lang w:val="en-US" w:eastAsia="zh-CN" w:bidi="ar-SA"/>
        </w:rPr>
        <w:t>0</w:t>
      </w:r>
      <w:r>
        <w:rPr>
          <w:rFonts w:hint="eastAsia" w:ascii="Times New Roman" w:hAnsi="Times New Roman" w:eastAsia="方正仿宋_GBK" w:cs="Times New Roman"/>
          <w:kern w:val="0"/>
          <w:sz w:val="32"/>
          <w:szCs w:val="32"/>
          <w:shd w:val="clear" w:fill="FFFFFF"/>
          <w:lang w:val="en-US" w:eastAsia="zh-CN" w:bidi="ar-SA"/>
        </w:rPr>
        <w:t>人。</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年本单位人均接待费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元，车均购置费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万元，车均维护费</w:t>
      </w:r>
      <w:r>
        <w:rPr>
          <w:rFonts w:hint="default" w:ascii="Times New Roman" w:hAnsi="Times New Roman" w:eastAsia="方正仿宋_GBK" w:cs="Times New Roman"/>
          <w:kern w:val="0"/>
          <w:sz w:val="32"/>
          <w:szCs w:val="32"/>
          <w:shd w:val="clear" w:fill="FFFFFF"/>
          <w:lang w:val="en-US" w:eastAsia="zh-CN" w:bidi="ar-SA"/>
        </w:rPr>
        <w:t>0.00</w:t>
      </w:r>
      <w:r>
        <w:rPr>
          <w:rFonts w:hint="eastAsia" w:ascii="Times New Roman" w:hAnsi="Times New Roman" w:eastAsia="方正仿宋_GBK" w:cs="Times New Roman"/>
          <w:kern w:val="0"/>
          <w:sz w:val="32"/>
          <w:szCs w:val="32"/>
          <w:shd w:val="clear" w:fill="FFFFFF"/>
          <w:lang w:val="en-US" w:eastAsia="zh-CN" w:bidi="ar-SA"/>
        </w:rPr>
        <w:t>万元。</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四、其他需要说明的事项</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（一）财政拨款会议费和培训费情况说明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right="0" w:rightChars="0" w:firstLine="640" w:firstLineChars="200"/>
        <w:jc w:val="both"/>
        <w:textAlignment w:val="auto"/>
        <w:rPr>
          <w:rFonts w:hint="eastAsia" w:ascii="Times New Roman" w:hAnsi="Times New Roman" w:eastAsia="方正仿宋_GBK" w:cs="Times New Roman"/>
          <w:kern w:val="0"/>
          <w:sz w:val="32"/>
          <w:szCs w:val="32"/>
          <w:shd w:val="clear" w:fill="FFFFFF"/>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kern w:val="0"/>
          <w:sz w:val="32"/>
          <w:szCs w:val="32"/>
          <w:shd w:val="clear" w:fill="FFFFFF"/>
          <w:lang w:val="en-US" w:eastAsia="zh-CN" w:bidi="ar-SA"/>
        </w:rPr>
        <w:t>出0.00万元，与2023年度相比，无增减，</w:t>
      </w:r>
      <w:r>
        <w:rPr>
          <w:rFonts w:hint="eastAsia" w:ascii="Times New Roman" w:hAnsi="Times New Roman" w:eastAsia="方正仿宋_GBK" w:cs="Times New Roman"/>
          <w:kern w:val="0"/>
          <w:sz w:val="32"/>
          <w:szCs w:val="32"/>
          <w:shd w:val="clear" w:fill="FFFFFF"/>
          <w:lang w:val="en-US" w:eastAsia="zh-CN" w:bidi="ar-SA"/>
        </w:rPr>
        <w:t>主要原因是</w:t>
      </w:r>
      <w:r>
        <w:rPr>
          <w:rFonts w:hint="default" w:ascii="Times New Roman" w:hAnsi="Times New Roman" w:eastAsia="方正仿宋_GBK" w:cs="Times New Roman"/>
          <w:kern w:val="0"/>
          <w:sz w:val="32"/>
          <w:szCs w:val="32"/>
          <w:shd w:val="clear" w:fill="FFFFFF"/>
          <w:lang w:val="en-US" w:eastAsia="zh-CN" w:bidi="ar-SA"/>
        </w:rPr>
        <w:t>2023</w:t>
      </w:r>
      <w:r>
        <w:rPr>
          <w:rFonts w:hint="eastAsia" w:ascii="Times New Roman" w:hAnsi="Times New Roman" w:eastAsia="方正仿宋_GBK" w:cs="Times New Roman"/>
          <w:kern w:val="0"/>
          <w:sz w:val="32"/>
          <w:szCs w:val="32"/>
          <w:shd w:val="clear" w:fill="FFFFFF"/>
          <w:lang w:val="en-US" w:eastAsia="zh-CN" w:bidi="ar-SA"/>
        </w:rPr>
        <w:t>年</w:t>
      </w:r>
      <w:r>
        <w:rPr>
          <w:rFonts w:hint="default" w:ascii="Times New Roman" w:hAnsi="Times New Roman" w:eastAsia="方正仿宋_GBK" w:cs="Times New Roman"/>
          <w:kern w:val="0"/>
          <w:sz w:val="32"/>
          <w:szCs w:val="32"/>
          <w:shd w:val="clear" w:fill="FFFFFF"/>
          <w:lang w:val="en-US" w:eastAsia="zh-CN" w:bidi="ar-SA"/>
        </w:rPr>
        <w:t>2024</w:t>
      </w:r>
      <w:r>
        <w:rPr>
          <w:rFonts w:hint="eastAsia" w:ascii="Times New Roman" w:hAnsi="Times New Roman" w:eastAsia="方正仿宋_GBK" w:cs="Times New Roman"/>
          <w:kern w:val="0"/>
          <w:sz w:val="32"/>
          <w:szCs w:val="32"/>
          <w:shd w:val="clear" w:fill="FFFFFF"/>
          <w:lang w:val="en-US" w:eastAsia="zh-CN" w:bidi="ar-SA"/>
        </w:rPr>
        <w:t>年都未发生会议费支出。本年度培训费支出</w:t>
      </w:r>
      <w:r>
        <w:rPr>
          <w:rFonts w:hint="default" w:ascii="Times New Roman" w:hAnsi="Times New Roman" w:eastAsia="方正仿宋_GBK" w:cs="Times New Roman"/>
          <w:kern w:val="0"/>
          <w:sz w:val="32"/>
          <w:szCs w:val="32"/>
          <w:shd w:val="clear" w:fill="FFFFFF"/>
          <w:lang w:val="en-US" w:eastAsia="zh-CN" w:bidi="ar-SA"/>
        </w:rPr>
        <w:t>0.04</w:t>
      </w:r>
      <w:r>
        <w:rPr>
          <w:rFonts w:hint="eastAsia" w:ascii="Times New Roman" w:hAnsi="Times New Roman" w:eastAsia="方正仿宋_GBK" w:cs="Times New Roman"/>
          <w:kern w:val="0"/>
          <w:sz w:val="32"/>
          <w:szCs w:val="32"/>
          <w:shd w:val="clear" w:fill="FFFFFF"/>
          <w:lang w:val="en-US" w:eastAsia="zh-CN" w:bidi="ar-SA"/>
        </w:rPr>
        <w:t>万元，</w:t>
      </w:r>
      <w:r>
        <w:rPr>
          <w:rFonts w:hint="default" w:ascii="Times New Roman" w:hAnsi="Times New Roman" w:eastAsia="方正仿宋_GBK" w:cs="Times New Roman"/>
          <w:kern w:val="0"/>
          <w:sz w:val="32"/>
          <w:szCs w:val="32"/>
          <w:shd w:val="clear" w:fill="FFFFFF"/>
          <w:lang w:val="en-US" w:eastAsia="zh-CN" w:bidi="ar-SA"/>
        </w:rPr>
        <w:t>与2023年度相比，减少0.40万元，下降90.9%，</w:t>
      </w:r>
      <w:r>
        <w:rPr>
          <w:rFonts w:hint="eastAsia" w:ascii="Times New Roman" w:hAnsi="Times New Roman" w:eastAsia="方正仿宋_GBK" w:cs="Times New Roman"/>
          <w:kern w:val="0"/>
          <w:sz w:val="32"/>
          <w:szCs w:val="32"/>
          <w:shd w:val="clear" w:fill="FFFFFF"/>
          <w:lang w:val="en-US" w:eastAsia="zh-CN" w:bidi="ar-SA"/>
        </w:rPr>
        <w:t>主要原因是本单</w:t>
      </w:r>
      <w:r>
        <w:rPr>
          <w:rFonts w:hint="eastAsia" w:ascii="方正仿宋_GBK" w:hAnsi="方正仿宋_GBK" w:eastAsia="方正仿宋_GBK" w:cs="方正仿宋_GBK"/>
          <w:kern w:val="0"/>
          <w:sz w:val="32"/>
          <w:szCs w:val="32"/>
          <w:shd w:val="clear" w:fill="FFFFFF"/>
        </w:rPr>
        <w:t>位厉行节约，严格控制培训费支出。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（二）机关运行经费支出情况说明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color w:val="FF0000"/>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default" w:ascii="楷体" w:hAnsi="楷体" w:eastAsia="楷体" w:cs="楷体"/>
          <w:kern w:val="0"/>
          <w:sz w:val="32"/>
          <w:szCs w:val="32"/>
          <w:shd w:val="clear" w:color="auto" w:fill="FFFFFF"/>
          <w:lang w:val="en-US" w:eastAsia="zh-CN" w:bidi="ar-SA"/>
        </w:rPr>
      </w:pPr>
      <w:r>
        <w:rPr>
          <w:rStyle w:val="11"/>
          <w:rFonts w:hint="eastAsia" w:ascii="楷体" w:hAnsi="楷体" w:eastAsia="楷体" w:cs="楷体"/>
          <w:kern w:val="0"/>
          <w:sz w:val="32"/>
          <w:szCs w:val="32"/>
          <w:shd w:val="clear" w:color="auto" w:fill="FFFFFF"/>
          <w:lang w:val="en-US" w:eastAsia="zh-CN" w:bidi="ar-SA"/>
        </w:rPr>
        <w:t>（三）国有资产占用情况说明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本单位是重庆市九龙坡区农业农村委员会下属事业单位，国有资产占有使用情况在重庆市九龙坡区农业农村委员会（本级）统一反映。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楷体_GBK" w:cs="Times New Roman"/>
          <w:b/>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（四）政府采购支出说明</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2024年度我单位未发生政府采购事项，无相关经费支出。</w:t>
      </w:r>
      <w:r>
        <w:rPr>
          <w:rFonts w:hint="eastAsia" w:ascii="方正仿宋_GBK" w:hAnsi="方正仿宋_GBK" w:eastAsia="方正仿宋_GBK" w:cs="方正仿宋_GBK"/>
          <w:kern w:val="0"/>
          <w:sz w:val="32"/>
          <w:szCs w:val="32"/>
          <w:shd w:val="clear" w:fill="FFFFFF"/>
        </w:rPr>
        <w:t>本单位是重庆市九龙坡区农业农村委员会下属事业单位，政府采购预算由重庆市九龙坡区农业农村委员会（本级）统一编制。</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Style w:val="11"/>
          <w:rFonts w:hint="eastAsia" w:ascii="黑体" w:hAnsi="黑体" w:eastAsia="黑体" w:cs="黑体"/>
          <w:kern w:val="0"/>
          <w:sz w:val="32"/>
          <w:szCs w:val="32"/>
          <w:shd w:val="clear" w:color="auto" w:fill="FFFFFF"/>
          <w:lang w:val="en-US" w:eastAsia="zh-CN" w:bidi="ar-SA"/>
        </w:rPr>
      </w:pPr>
      <w:r>
        <w:rPr>
          <w:rStyle w:val="11"/>
          <w:rFonts w:hint="eastAsia" w:ascii="黑体" w:hAnsi="黑体" w:eastAsia="黑体" w:cs="黑体"/>
          <w:kern w:val="0"/>
          <w:sz w:val="32"/>
          <w:szCs w:val="32"/>
          <w:shd w:val="clear" w:color="auto" w:fill="FFFFFF"/>
          <w:lang w:val="en-US" w:eastAsia="zh-CN" w:bidi="ar-SA"/>
        </w:rPr>
        <w:t>五、预算绩效管理情况说明</w:t>
      </w:r>
    </w:p>
    <w:p>
      <w:pPr>
        <w:keepNext w:val="0"/>
        <w:keepLines w:val="0"/>
        <w:pageBreakBefore w:val="0"/>
        <w:widowControl w:val="0"/>
        <w:suppressLineNumbers w:val="0"/>
        <w:shd w:val="clear" w:fill="FFFFFF"/>
        <w:kinsoku/>
        <w:wordWrap/>
        <w:overflowPunct/>
        <w:topLinePunct w:val="0"/>
        <w:autoSpaceDE/>
        <w:autoSpaceDN w:val="0"/>
        <w:bidi w:val="0"/>
        <w:spacing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本单位是重庆市九龙坡区农业农村委员会下属事业单位，项目支出预算由九龙坡区农业农村委员会统一编制，故本单位无绩效目标设置情况。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六、专业名词解释</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color w:val="FF0000"/>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宋体" w:cs="Times New Roman"/>
          <w:kern w:val="0"/>
          <w:sz w:val="24"/>
          <w:szCs w:val="24"/>
          <w:shd w:val="clear" w:fill="FFFFFF"/>
        </w:rPr>
      </w:pPr>
      <w:r>
        <w:rPr>
          <w:rStyle w:val="11"/>
          <w:rFonts w:hint="eastAsia" w:ascii="楷体" w:hAnsi="楷体" w:eastAsia="楷体" w:cs="楷体"/>
          <w:kern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财政拨款收入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事业收入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经营收入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财政拨款收入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事业收入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经营收入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其他收入</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工资福利支出</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和</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对个人和家庭的补助</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工资福利支出</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和</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对个人和家庭的补助</w:t>
      </w:r>
      <w:r>
        <w:rPr>
          <w:rFonts w:hint="default" w:ascii="Times New Roman" w:hAnsi="Times New Roman" w:eastAsia="方正仿宋_GBK" w:cs="Times New Roman"/>
          <w:kern w:val="0"/>
          <w:sz w:val="32"/>
          <w:szCs w:val="32"/>
          <w:shd w:val="clear" w:fill="FFFFFF"/>
        </w:rPr>
        <w:t>”</w:t>
      </w:r>
      <w:r>
        <w:rPr>
          <w:rFonts w:hint="eastAsia" w:ascii="方正仿宋_GBK" w:hAnsi="方正仿宋_GBK" w:eastAsia="方正仿宋_GBK" w:cs="方正仿宋_GBK"/>
          <w:kern w:val="0"/>
          <w:sz w:val="32"/>
          <w:szCs w:val="32"/>
          <w:shd w:val="clear" w:fill="FFFFFF"/>
        </w:rPr>
        <w:t>外的其他支出。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（十二）</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三公</w:t>
      </w:r>
      <w:r>
        <w:rPr>
          <w:rStyle w:val="11"/>
          <w:rFonts w:hint="default" w:ascii="楷体" w:hAnsi="楷体" w:eastAsia="楷体" w:cs="楷体"/>
          <w:kern w:val="0"/>
          <w:sz w:val="32"/>
          <w:szCs w:val="32"/>
          <w:shd w:val="clear" w:color="auto" w:fill="FFFFFF"/>
          <w:lang w:val="en-US" w:eastAsia="zh-CN" w:bidi="ar-SA"/>
        </w:rPr>
        <w:t>”</w:t>
      </w:r>
      <w:r>
        <w:rPr>
          <w:rStyle w:val="11"/>
          <w:rFonts w:hint="eastAsia" w:ascii="楷体" w:hAnsi="楷体" w:eastAsia="楷体" w:cs="楷体"/>
          <w:kern w:val="0"/>
          <w:sz w:val="32"/>
          <w:szCs w:val="32"/>
          <w:shd w:val="clear" w:color="auto" w:fill="FFFFFF"/>
          <w:lang w:val="en-US" w:eastAsia="zh-CN" w:bidi="ar-SA"/>
        </w:rPr>
        <w:t>经费：</w:t>
      </w:r>
      <w:r>
        <w:rPr>
          <w:rFonts w:hint="eastAsia" w:ascii="方正仿宋_GBK" w:hAnsi="方正仿宋_GBK" w:eastAsia="方正仿宋_GBK" w:cs="方正仿宋_GBK"/>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keepNext w:val="0"/>
        <w:keepLines w:val="0"/>
        <w:pageBreakBefore w:val="0"/>
        <w:widowControl w:val="0"/>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仿宋_GBK" w:cs="Times New Roman"/>
          <w:kern w:val="0"/>
          <w:sz w:val="32"/>
          <w:szCs w:val="32"/>
          <w:shd w:val="clear" w:fill="FFFFFF"/>
        </w:rPr>
      </w:pPr>
      <w:r>
        <w:rPr>
          <w:rStyle w:val="11"/>
          <w:rFonts w:hint="eastAsia" w:ascii="楷体" w:hAnsi="楷体" w:eastAsia="楷体" w:cs="楷体"/>
          <w:kern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suppressLineNumbers w:val="0"/>
        <w:shd w:val="clear" w:fill="FFFFFF"/>
        <w:kinsoku/>
        <w:wordWrap/>
        <w:overflowPunct/>
        <w:topLinePunct w:val="0"/>
        <w:autoSpaceDE/>
        <w:autoSpaceDN w:val="0"/>
        <w:bidi w:val="0"/>
        <w:spacing w:before="0" w:beforeAutospacing="0" w:after="0" w:afterAutospacing="0" w:line="600" w:lineRule="exact"/>
        <w:ind w:left="0" w:leftChars="0" w:right="0" w:rightChars="0" w:firstLine="643" w:firstLineChars="200"/>
        <w:jc w:val="both"/>
        <w:textAlignment w:val="auto"/>
        <w:rPr>
          <w:rFonts w:hint="default" w:ascii="Times New Roman" w:hAnsi="Times New Roman" w:eastAsia="方正黑体_GBK" w:cs="Times New Roman"/>
          <w:b/>
          <w:kern w:val="0"/>
          <w:sz w:val="32"/>
          <w:szCs w:val="32"/>
          <w:shd w:val="clear" w:fill="FFFFFF"/>
        </w:rPr>
      </w:pPr>
      <w:r>
        <w:rPr>
          <w:rStyle w:val="11"/>
          <w:rFonts w:hint="eastAsia" w:ascii="黑体" w:hAnsi="黑体" w:eastAsia="黑体" w:cs="黑体"/>
          <w:kern w:val="0"/>
          <w:sz w:val="32"/>
          <w:szCs w:val="32"/>
          <w:shd w:val="clear" w:color="auto" w:fill="FFFFFF"/>
          <w:lang w:val="en-US" w:eastAsia="zh-CN" w:bidi="ar-SA"/>
        </w:rPr>
        <w:t>七、决算公开联系方式及信息反馈渠道</w:t>
      </w:r>
    </w:p>
    <w:p>
      <w:pPr>
        <w:pStyle w:val="13"/>
        <w:keepNext w:val="0"/>
        <w:keepLines w:val="0"/>
        <w:pageBreakBefore w:val="0"/>
        <w:widowControl/>
        <w:suppressLineNumbers w:val="0"/>
        <w:kinsoku/>
        <w:wordWrap/>
        <w:overflowPunct/>
        <w:topLinePunct w:val="0"/>
        <w:autoSpaceDE/>
        <w:autoSpaceDN w:val="0"/>
        <w:bidi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Times New Roman" w:hAnsi="Times New Roman" w:eastAsia="方正仿宋_GBK" w:cs="Times New Roman"/>
          <w:kern w:val="0"/>
          <w:sz w:val="32"/>
          <w:szCs w:val="32"/>
          <w:shd w:val="clear" w:fill="FFFFFF"/>
          <w:lang w:val="en-US" w:eastAsia="zh-CN" w:bidi="ar-SA"/>
        </w:rPr>
        <w:t>023-68827534</w:t>
      </w:r>
      <w:r>
        <w:rPr>
          <w:rFonts w:hint="eastAsia" w:ascii="方正仿宋_GBK" w:hAnsi="方正仿宋_GBK" w:eastAsia="方正仿宋_GBK" w:cs="方正仿宋_GBK"/>
          <w:kern w:val="0"/>
          <w:sz w:val="32"/>
          <w:szCs w:val="32"/>
          <w:shd w:val="clear" w:fill="FFFFFF"/>
        </w:rPr>
        <w:t xml:space="preserve"> </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附件：1.收入支出决算总表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2.收入决算表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3.支出决算表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4.财政拨款收入支出决算总表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6.一般公共预算财政拨款基本支出决算表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7.政府性基金预算财政拨款收入支出决算表</w:t>
      </w:r>
    </w:p>
    <w:p>
      <w:pPr>
        <w:keepNext w:val="0"/>
        <w:keepLines w:val="0"/>
        <w:widowControl w:val="0"/>
        <w:suppressLineNumbers w:val="0"/>
        <w:shd w:val="clear" w:fill="FFFFFF"/>
        <w:autoSpaceDE/>
        <w:autoSpaceDN w:val="0"/>
        <w:spacing w:line="600" w:lineRule="exact"/>
        <w:ind w:left="0" w:leftChars="0" w:right="0" w:rightChars="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 xml:space="preserve">      8.国有资本经营预算财政拨款支出决算表</w:t>
      </w:r>
    </w:p>
    <w:p>
      <w:pPr>
        <w:pStyle w:val="13"/>
        <w:keepNext w:val="0"/>
        <w:keepLines w:val="0"/>
        <w:widowControl/>
        <w:suppressLineNumbers w:val="0"/>
        <w:autoSpaceDE/>
        <w:autoSpaceDN w:val="0"/>
        <w:spacing w:before="0" w:beforeAutospacing="0" w:after="0" w:afterAutospacing="0" w:line="600" w:lineRule="exact"/>
        <w:ind w:left="0" w:firstLine="640" w:firstLineChars="20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 xml:space="preserve">      9.机构运行信息表</w:t>
      </w:r>
      <w:r>
        <w:rPr>
          <w:rFonts w:hint="eastAsia" w:ascii="Times New Roman" w:hAnsi="Times New Roman" w:eastAsia="方正仿宋_GBK" w:cs="方正仿宋_GBK"/>
          <w:kern w:val="0"/>
          <w:sz w:val="32"/>
          <w:szCs w:val="32"/>
          <w:shd w:val="clear" w:fill="FFFFFF"/>
        </w:rPr>
        <w:t xml:space="preserve"> </w:t>
      </w:r>
    </w:p>
    <w:p>
      <w:pPr>
        <w:rPr>
          <w:rFonts w:hint="default" w:cs="宋体"/>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重庆市九龙坡区水库管理站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123.50</w:t>
            </w:r>
            <w:r>
              <w:rPr>
                <w:rFonts w:ascii="Times New Roman" w:hAnsi="Times New Roman"/>
                <w:color w:val="000000"/>
                <w:sz w:val="20"/>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tbl>
      <w:tblPr>
        <w:tblStyle w:val="9"/>
        <w:tblpPr w:leftFromText="180" w:rightFromText="180" w:vertAnchor="text" w:horzAnchor="page" w:tblpX="915" w:tblpY="0"/>
        <w:tblOverlap w:val="never"/>
        <w:tblW w:w="1543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252"/>
      </w:tblGrid>
      <w:tr>
        <w:tblPrEx>
          <w:tblCellMar>
            <w:top w:w="0" w:type="dxa"/>
            <w:left w:w="0" w:type="dxa"/>
            <w:bottom w:w="0" w:type="dxa"/>
            <w:right w:w="0" w:type="dxa"/>
          </w:tblCellMar>
        </w:tblPrEx>
        <w:trPr>
          <w:trHeight w:val="641" w:hRule="atLeast"/>
        </w:trPr>
        <w:tc>
          <w:tcPr>
            <w:tcW w:w="1543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重庆市九龙坡区水库管理站</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1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18"/>
                <w:szCs w:val="18"/>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1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1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8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1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8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eastAsia" w:eastAsia="宋体" w:cs="宋体"/>
          <w:sz w:val="20"/>
          <w:szCs w:val="20"/>
          <w:lang w:eastAsia="zh-CN"/>
        </w:rPr>
      </w:pPr>
      <w:r>
        <w:rPr>
          <w:rFonts w:cs="宋体"/>
          <w:sz w:val="20"/>
          <w:szCs w:val="20"/>
        </w:rPr>
        <w:t>备注：1.本表反映单位本年度取得的各项收入情况。</w:t>
      </w:r>
    </w:p>
    <w:p>
      <w:pPr>
        <w:ind w:left="600" w:hanging="600" w:hangingChars="300"/>
        <w:rPr>
          <w:rFonts w:hint="eastAsia" w:eastAsia="宋体" w:cs="宋体"/>
          <w:sz w:val="20"/>
          <w:szCs w:val="20"/>
          <w:lang w:eastAsia="zh-CN"/>
        </w:rPr>
      </w:pPr>
      <w:r>
        <w:rPr>
          <w:rFonts w:cs="宋体"/>
          <w:sz w:val="20"/>
          <w:szCs w:val="20"/>
        </w:rPr>
        <w:t>2.本套报表金额单位转换时可能存在尾数误差。</w:t>
      </w:r>
    </w:p>
    <w:p>
      <w:pPr>
        <w:ind w:left="600" w:hanging="600" w:hangingChars="300"/>
        <w:rPr>
          <w:rFonts w:hint="eastAsia" w:eastAsia="宋体" w:cs="宋体"/>
          <w:sz w:val="20"/>
          <w:szCs w:val="20"/>
          <w:lang w:eastAsia="zh-CN"/>
        </w:rPr>
      </w:pPr>
    </w:p>
    <w:p>
      <w:pPr>
        <w:ind w:left="600" w:hanging="600" w:hangingChars="300"/>
        <w:rPr>
          <w:rFonts w:hint="eastAsia" w:eastAsia="宋体" w:cs="宋体"/>
          <w:sz w:val="20"/>
          <w:szCs w:val="20"/>
          <w:lang w:eastAsia="zh-CN"/>
        </w:rPr>
      </w:pPr>
    </w:p>
    <w:tbl>
      <w:tblPr>
        <w:tblStyle w:val="9"/>
        <w:tblpPr w:leftFromText="180" w:rightFromText="180" w:vertAnchor="text" w:horzAnchor="page" w:tblpX="975" w:tblpY="-276"/>
        <w:tblOverlap w:val="never"/>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tblPrEx>
          <w:tblCellMar>
            <w:top w:w="0" w:type="dxa"/>
            <w:left w:w="0" w:type="dxa"/>
            <w:bottom w:w="0" w:type="dxa"/>
            <w:right w:w="0" w:type="dxa"/>
          </w:tblCellMar>
        </w:tblPrEx>
        <w:trPr>
          <w:trHeight w:val="459"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27"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重庆市九龙坡区水库管理站 </w:t>
            </w:r>
          </w:p>
        </w:tc>
        <w:tc>
          <w:tcPr>
            <w:tcW w:w="17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297"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rPr>
                <w:rFonts w:hint="default" w:cs="宋体"/>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E/>
              <w:autoSpaceDN/>
              <w:bidi w:val="0"/>
              <w:adjustRightInd/>
              <w:snapToGrid/>
              <w:spacing w:line="240" w:lineRule="exact"/>
              <w:jc w:val="center"/>
              <w:textAlignment w:val="bottom"/>
              <w:rPr>
                <w:rFonts w:hint="default" w:cs="宋体"/>
                <w:b/>
                <w:color w:val="000000"/>
                <w:sz w:val="20"/>
                <w:szCs w:val="20"/>
              </w:rPr>
            </w:pPr>
            <w:r>
              <w:rPr>
                <w:rFonts w:cs="宋体"/>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267"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cs="宋体"/>
                <w:b/>
                <w:color w:val="000000"/>
                <w:sz w:val="20"/>
                <w:szCs w:val="20"/>
              </w:rPr>
            </w:pPr>
            <w:r>
              <w:rPr>
                <w:rFonts w:cs="宋体"/>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7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3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5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农林水支出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5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农业农村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事业运行</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水利</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其他水利支出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2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29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37"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7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240" w:lineRule="exact"/>
              <w:textAlignment w:val="center"/>
              <w:rPr>
                <w:rFonts w:hint="default" w:cs="宋体"/>
                <w:color w:val="000000"/>
                <w:sz w:val="20"/>
                <w:szCs w:val="20"/>
              </w:rPr>
            </w:pPr>
            <w:r>
              <w:rPr>
                <w:rFonts w:cs="宋体"/>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r>
        <w:rPr>
          <w:rFonts w:cs="宋体"/>
          <w:sz w:val="20"/>
          <w:szCs w:val="20"/>
        </w:rPr>
        <w:t>备注：1.本表反映单位本年度各项支出情况。</w:t>
      </w: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p>
    <w:p>
      <w:pPr>
        <w:keepNext w:val="0"/>
        <w:keepLines w:val="0"/>
        <w:pageBreakBefore w:val="0"/>
        <w:widowControl/>
        <w:kinsoku/>
        <w:overflowPunct/>
        <w:topLinePunct w:val="0"/>
        <w:autoSpaceDE/>
        <w:autoSpaceDN/>
        <w:bidi w:val="0"/>
        <w:adjustRightInd/>
        <w:snapToGrid/>
        <w:spacing w:line="240" w:lineRule="exact"/>
        <w:rPr>
          <w:rFonts w:hint="eastAsia" w:eastAsia="宋体" w:cs="宋体"/>
          <w:sz w:val="20"/>
          <w:szCs w:val="20"/>
          <w:lang w:eastAsia="zh-CN"/>
        </w:rPr>
      </w:pPr>
    </w:p>
    <w:tbl>
      <w:tblPr>
        <w:tblStyle w:val="9"/>
        <w:tblW w:w="15240" w:type="dxa"/>
        <w:tblInd w:w="0" w:type="dxa"/>
        <w:tblLayout w:type="fixed"/>
        <w:tblCellMar>
          <w:top w:w="0" w:type="dxa"/>
          <w:left w:w="0" w:type="dxa"/>
          <w:bottom w:w="0" w:type="dxa"/>
          <w:right w:w="0" w:type="dxa"/>
        </w:tblCellMar>
      </w:tblPr>
      <w:tblGrid>
        <w:gridCol w:w="2967"/>
        <w:gridCol w:w="1521"/>
        <w:gridCol w:w="3179"/>
        <w:gridCol w:w="1694"/>
        <w:gridCol w:w="1929"/>
        <w:gridCol w:w="1950"/>
        <w:gridCol w:w="2000"/>
      </w:tblGrid>
      <w:tr>
        <w:tblPrEx>
          <w:tblCellMar>
            <w:top w:w="0" w:type="dxa"/>
            <w:left w:w="0" w:type="dxa"/>
            <w:bottom w:w="0" w:type="dxa"/>
            <w:right w:w="0" w:type="dxa"/>
          </w:tblCellMar>
        </w:tblPrEx>
        <w:trPr>
          <w:trHeight w:val="90" w:hRule="atLeast"/>
        </w:trPr>
        <w:tc>
          <w:tcPr>
            <w:tcW w:w="15240" w:type="dxa"/>
            <w:gridSpan w:val="7"/>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b/>
                <w:color w:val="000000"/>
                <w:sz w:val="32"/>
                <w:szCs w:val="32"/>
              </w:rPr>
            </w:pPr>
            <w:r>
              <w:rPr>
                <w:rFonts w:cs="宋体"/>
                <w:sz w:val="21"/>
                <w:szCs w:val="21"/>
              </w:rPr>
              <w:br w:type="page"/>
            </w: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重庆市九龙坡区水库管理站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75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57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w:t>
            </w:r>
            <w:r>
              <w:rPr>
                <w:rFonts w:hint="eastAsia" w:cs="宋体"/>
                <w:b/>
                <w:color w:val="000000"/>
                <w:sz w:val="18"/>
                <w:szCs w:val="18"/>
                <w:lang w:val="en-US" w:eastAsia="zh-CN"/>
              </w:rPr>
              <w:t xml:space="preserve">      </w:t>
            </w:r>
            <w:r>
              <w:rPr>
                <w:rFonts w:cs="宋体"/>
                <w:b/>
                <w:color w:val="000000"/>
                <w:sz w:val="18"/>
                <w:szCs w:val="18"/>
              </w:rPr>
              <w:t>财政拨款</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w:t>
            </w:r>
            <w:r>
              <w:rPr>
                <w:rFonts w:hint="eastAsia" w:cs="宋体"/>
                <w:b/>
                <w:color w:val="000000"/>
                <w:sz w:val="18"/>
                <w:szCs w:val="18"/>
                <w:lang w:val="en-US" w:eastAsia="zh-CN"/>
              </w:rPr>
              <w:t xml:space="preserve">    </w:t>
            </w:r>
            <w:r>
              <w:rPr>
                <w:rFonts w:cs="宋体"/>
                <w:b/>
                <w:color w:val="000000"/>
                <w:sz w:val="18"/>
                <w:szCs w:val="18"/>
              </w:rPr>
              <w:t>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27.70</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83.74</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83.74</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123.50</w:t>
            </w:r>
            <w:r>
              <w:rPr>
                <w:rFonts w:ascii="Times New Roman" w:hAnsi="Times New Roman"/>
                <w:color w:val="000000"/>
                <w:sz w:val="18"/>
                <w:u w:color="auto"/>
              </w:rPr>
              <w:t xml:space="preserve"> </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eastAsia" w:eastAsia="宋体" w:cs="宋体"/>
          <w:sz w:val="20"/>
          <w:szCs w:val="20"/>
          <w:lang w:eastAsia="zh-CN"/>
        </w:rPr>
      </w:pPr>
      <w:r>
        <w:rPr>
          <w:rFonts w:cs="宋体"/>
          <w:sz w:val="20"/>
          <w:szCs w:val="20"/>
        </w:rPr>
        <w:t>备注：1.本表反映单位本年度一般公共预算财政拨款、政府性基金预算财政拨款及国有资本经营预算财政拨款的总收支和年末结转结余情况。</w:t>
      </w:r>
    </w:p>
    <w:p>
      <w:pPr>
        <w:spacing w:line="240" w:lineRule="exact"/>
        <w:rPr>
          <w:rFonts w:hint="eastAsia" w:eastAsia="宋体" w:cs="宋体"/>
          <w:sz w:val="20"/>
          <w:szCs w:val="20"/>
          <w:lang w:eastAsia="zh-CN"/>
        </w:rPr>
      </w:pPr>
      <w:r>
        <w:rPr>
          <w:rFonts w:cs="宋体"/>
          <w:sz w:val="20"/>
          <w:szCs w:val="20"/>
        </w:rPr>
        <w:t xml:space="preserve">      2.本套报表金额单位转换时可能存在尾数误差。</w:t>
      </w:r>
    </w:p>
    <w:p>
      <w:pPr>
        <w:spacing w:line="240" w:lineRule="exact"/>
        <w:rPr>
          <w:rFonts w:hint="eastAsia" w:eastAsia="宋体" w:cs="宋体"/>
          <w:sz w:val="20"/>
          <w:szCs w:val="20"/>
          <w:lang w:eastAsia="zh-CN"/>
        </w:rPr>
      </w:pPr>
    </w:p>
    <w:p>
      <w:pPr>
        <w:spacing w:line="240" w:lineRule="exact"/>
        <w:rPr>
          <w:rFonts w:hint="default" w:cs="宋体"/>
          <w:sz w:val="20"/>
          <w:szCs w:val="20"/>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7"/>
        <w:gridCol w:w="3296"/>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重庆市九龙坡区水库管理站</w:t>
            </w: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83.74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83.14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购房补贴</w:t>
            </w:r>
          </w:p>
        </w:tc>
        <w:tc>
          <w:tcPr>
            <w:tcW w:w="3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备注：1.本表反映单位本年度一般公共预算财政拨款支出情况。</w:t>
      </w:r>
    </w:p>
    <w:p>
      <w:pPr>
        <w:rPr>
          <w:rFonts w:hint="eastAsia" w:eastAsia="宋体" w:cs="宋体"/>
          <w:sz w:val="20"/>
          <w:szCs w:val="20"/>
          <w:lang w:eastAsia="zh-CN"/>
        </w:rPr>
      </w:pPr>
      <w:r>
        <w:rPr>
          <w:rFonts w:cs="宋体"/>
          <w:sz w:val="20"/>
          <w:szCs w:val="20"/>
        </w:rPr>
        <w:t xml:space="preserve">      2.本套报表金额单位转换时可能存在尾数误差。</w:t>
      </w:r>
    </w:p>
    <w:p>
      <w:pPr>
        <w:rPr>
          <w:rFonts w:hint="eastAsia" w:eastAsia="宋体" w:cs="宋体"/>
          <w:sz w:val="20"/>
          <w:szCs w:val="20"/>
          <w:lang w:eastAsia="zh-CN"/>
        </w:rPr>
      </w:pPr>
    </w:p>
    <w:p>
      <w:pPr>
        <w:rPr>
          <w:rFonts w:hint="eastAsia" w:eastAsia="宋体" w:cs="宋体"/>
          <w:sz w:val="20"/>
          <w:szCs w:val="20"/>
          <w:lang w:eastAsia="zh-CN"/>
        </w:rPr>
      </w:pPr>
    </w:p>
    <w:p>
      <w:pPr>
        <w:ind w:firstLine="630" w:firstLineChars="300"/>
        <w:rPr>
          <w:rFonts w:hint="default" w:cs="宋体"/>
          <w:sz w:val="21"/>
          <w:szCs w:val="21"/>
        </w:rPr>
      </w:pPr>
      <w:r>
        <w:rPr>
          <w:rFonts w:cs="宋体"/>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重庆市九龙坡区水库管理站</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101.37</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备注：1.本表反映单位本年度一般公共预算财政拨款基本支出明细情况。</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r>
        <w:rPr>
          <w:rFonts w:cs="宋体"/>
          <w:sz w:val="20"/>
          <w:szCs w:val="20"/>
        </w:rPr>
        <w:t xml:space="preserve">      2.本套报表金额单位转换时可能存在尾数误差。</w:t>
      </w:r>
    </w:p>
    <w:p>
      <w:pPr>
        <w:keepNext w:val="0"/>
        <w:keepLines w:val="0"/>
        <w:pageBreakBefore w:val="0"/>
        <w:widowControl/>
        <w:kinsoku/>
        <w:wordWrap/>
        <w:overflowPunct/>
        <w:topLinePunct w:val="0"/>
        <w:autoSpaceDE/>
        <w:autoSpaceDN/>
        <w:bidi w:val="0"/>
        <w:adjustRightInd/>
        <w:snapToGrid/>
        <w:spacing w:line="280" w:lineRule="exact"/>
        <w:rPr>
          <w:rFonts w:hint="eastAsia" w:eastAsia="宋体" w:cs="宋体"/>
          <w:sz w:val="20"/>
          <w:szCs w:val="20"/>
          <w:lang w:eastAsia="zh-CN"/>
        </w:rPr>
      </w:pPr>
    </w:p>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重庆市九龙坡区水库管理站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eastAsia="宋体" w:cs="宋体"/>
          <w:sz w:val="20"/>
          <w:szCs w:val="20"/>
          <w:lang w:eastAsia="zh-CN"/>
        </w:rPr>
      </w:pPr>
      <w:r>
        <w:rPr>
          <w:rFonts w:cs="宋体"/>
          <w:sz w:val="20"/>
          <w:szCs w:val="20"/>
        </w:rPr>
        <w:t>备注：本表反映单位本年度政府性基金预算财政拨款收入支出及结转和结余情况。本单位无政府性基金收支，故本表无数据。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重庆市九龙坡区水库管理站</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eastAsia" w:eastAsia="宋体" w:cs="宋体"/>
          <w:sz w:val="20"/>
          <w:szCs w:val="20"/>
          <w:lang w:eastAsia="zh-CN"/>
        </w:rPr>
      </w:pPr>
      <w:r>
        <w:rPr>
          <w:rFonts w:cs="宋体"/>
          <w:sz w:val="20"/>
          <w:szCs w:val="20"/>
        </w:rPr>
        <w:t>备注：本表反映单位本年度国有资本经营预算财政拨款支出情况。本单位无国有资本经营收支，故本表无数据。</w:t>
      </w:r>
    </w:p>
    <w:p>
      <w:pPr>
        <w:rPr>
          <w:rFonts w:hint="eastAsia" w:eastAsia="宋体" w:cs="宋体"/>
          <w:sz w:val="20"/>
          <w:szCs w:val="20"/>
          <w:lang w:eastAsia="zh-CN"/>
        </w:rPr>
      </w:pPr>
    </w:p>
    <w:p>
      <w:pPr>
        <w:rPr>
          <w:rFonts w:hint="eastAsia" w:eastAsia="宋体" w:cs="宋体"/>
          <w:sz w:val="20"/>
          <w:szCs w:val="20"/>
          <w:lang w:eastAsia="zh-CN"/>
        </w:rPr>
      </w:pPr>
    </w:p>
    <w:p>
      <w:pPr>
        <w:rPr>
          <w:rFonts w:hint="default" w:cs="宋体"/>
          <w:sz w:val="21"/>
          <w:szCs w:val="21"/>
        </w:rPr>
      </w:pPr>
      <w:r>
        <w:rPr>
          <w:rFonts w:hint="default" w:cs="宋体"/>
          <w:sz w:val="21"/>
          <w:szCs w:val="21"/>
        </w:rPr>
        <w:br w:type="page"/>
      </w:r>
    </w:p>
    <w:tbl>
      <w:tblPr>
        <w:tblStyle w:val="9"/>
        <w:tblW w:w="15300" w:type="dxa"/>
        <w:tblInd w:w="0" w:type="dxa"/>
        <w:tblLayout w:type="fixed"/>
        <w:tblCellMar>
          <w:top w:w="0" w:type="dxa"/>
          <w:left w:w="170" w:type="dxa"/>
          <w:bottom w:w="0" w:type="dxa"/>
          <w:right w:w="170" w:type="dxa"/>
        </w:tblCellMar>
      </w:tblPr>
      <w:tblGrid>
        <w:gridCol w:w="3179"/>
        <w:gridCol w:w="2415"/>
        <w:gridCol w:w="2376"/>
        <w:gridCol w:w="3674"/>
        <w:gridCol w:w="3656"/>
      </w:tblGrid>
      <w:tr>
        <w:tblPrEx>
          <w:tblCellMar>
            <w:top w:w="0" w:type="dxa"/>
            <w:left w:w="170" w:type="dxa"/>
            <w:bottom w:w="0" w:type="dxa"/>
            <w:right w:w="170" w:type="dxa"/>
          </w:tblCellMar>
        </w:tblPrEx>
        <w:trPr>
          <w:trHeight w:val="343" w:hRule="atLeast"/>
        </w:trPr>
        <w:tc>
          <w:tcPr>
            <w:tcW w:w="1530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6"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5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重庆市九龙坡区水库管理站</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65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5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eastAsia="宋体" w:cs="宋体"/>
          <w:sz w:val="18"/>
          <w:szCs w:val="18"/>
          <w:lang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pPr>
        <w:rPr>
          <w:rFonts w:hint="eastAsia" w:eastAsia="宋体" w:cs="宋体"/>
          <w:sz w:val="18"/>
          <w:szCs w:val="18"/>
          <w:lang w:eastAsia="zh-CN"/>
        </w:rPr>
      </w:pPr>
      <w:r>
        <w:rPr>
          <w:rFonts w:cs="宋体"/>
          <w:sz w:val="18"/>
          <w:szCs w:val="18"/>
        </w:rPr>
        <w:t xml:space="preserve">      2.本套报表金额单位转换时可能存在尾数误差。</w:t>
      </w:r>
    </w:p>
    <w:p>
      <w:pPr>
        <w:rPr>
          <w:rFonts w:hint="eastAsia" w:eastAsia="宋体" w:cs="宋体"/>
          <w:sz w:val="18"/>
          <w:szCs w:val="18"/>
          <w:lang w:eastAsia="zh-CN"/>
        </w:rPr>
      </w:pPr>
    </w:p>
    <w:p>
      <w:pPr>
        <w:rPr>
          <w:rFonts w:hint="eastAsia" w:eastAsia="宋体" w:cs="宋体"/>
          <w:sz w:val="18"/>
          <w:szCs w:val="18"/>
          <w:lang w:val="en-US" w:eastAsia="zh-CN"/>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UAAAACACHTuJAvXQbdjcCAABvBAAADgAAAAAA&#10;AAABACAAAAA1AQAAZHJzL2Uyb0RvYy54bWxQSwECFAAUAAAACACHTuJAs0lY7tAAAAAFAQAADwAA&#10;AAAAAAABACAAAAA4AAAAZHJzL2Rvd25yZXYueG1sUEsBAhQACgAAAAAAh07iQAAAAAAAAAAAAAAA&#10;AAQAAAAAAAAAAAAQAAAAFgAAAGRycy9QSwUGAAAAAAYABgBZAQAA3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CjmKK6MwIAAGc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BQAAAAIAIdO4kACxRCNNwIAAGYE&#10;AAAOAAAAAAAAAAEAIAAAAD0BAABkcnMvZTJvRG9jLnhtbFBLAQIUABQAAAAIAIdO4kB4DVRU2AAA&#10;AAoBAAAPAAAAAAAAAAEAIAAAADgAAABkcnMvZG93bnJldi54bWxQSwECFAAKAAAAAACHTuJAAAAA&#10;AAAAAAAAAAAABAAAAAAAAAAAABAAAAAWAAAAZHJzL1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NDhiMmJlZjk3NWJlNjY2Njk4NDFiNDk3OGE4NmEifQ=="/>
  </w:docVars>
  <w:rsids>
    <w:rsidRoot w:val="00B03CCD"/>
    <w:rsid w:val="000D7BCC"/>
    <w:rsid w:val="00550ABE"/>
    <w:rsid w:val="007B419D"/>
    <w:rsid w:val="009B67B8"/>
    <w:rsid w:val="00B03CCD"/>
    <w:rsid w:val="01474EBF"/>
    <w:rsid w:val="019020B1"/>
    <w:rsid w:val="01F3521E"/>
    <w:rsid w:val="02056D00"/>
    <w:rsid w:val="029E4005"/>
    <w:rsid w:val="03A52548"/>
    <w:rsid w:val="03E3214F"/>
    <w:rsid w:val="04446191"/>
    <w:rsid w:val="044C50BA"/>
    <w:rsid w:val="0536621F"/>
    <w:rsid w:val="05866154"/>
    <w:rsid w:val="05E71467"/>
    <w:rsid w:val="06247E33"/>
    <w:rsid w:val="06A2550B"/>
    <w:rsid w:val="06F80EE2"/>
    <w:rsid w:val="07001CCA"/>
    <w:rsid w:val="075321D2"/>
    <w:rsid w:val="075678DB"/>
    <w:rsid w:val="07932335"/>
    <w:rsid w:val="08051BCA"/>
    <w:rsid w:val="080A21BB"/>
    <w:rsid w:val="08BA052C"/>
    <w:rsid w:val="08DB07BA"/>
    <w:rsid w:val="08FE0360"/>
    <w:rsid w:val="092211F1"/>
    <w:rsid w:val="098305D0"/>
    <w:rsid w:val="09B72B6E"/>
    <w:rsid w:val="0A0C7F04"/>
    <w:rsid w:val="0A227275"/>
    <w:rsid w:val="0A5C4B69"/>
    <w:rsid w:val="0B9335CE"/>
    <w:rsid w:val="0BA10C97"/>
    <w:rsid w:val="0C554661"/>
    <w:rsid w:val="0C7927C4"/>
    <w:rsid w:val="0C9B098C"/>
    <w:rsid w:val="0CE80A8F"/>
    <w:rsid w:val="0D472B48"/>
    <w:rsid w:val="0D673E11"/>
    <w:rsid w:val="0D804E15"/>
    <w:rsid w:val="0DB50EFE"/>
    <w:rsid w:val="0DD25DDB"/>
    <w:rsid w:val="0DDA54E4"/>
    <w:rsid w:val="0E3A5F83"/>
    <w:rsid w:val="0E9478E1"/>
    <w:rsid w:val="0F836721"/>
    <w:rsid w:val="103645A3"/>
    <w:rsid w:val="107B59E5"/>
    <w:rsid w:val="10AA219D"/>
    <w:rsid w:val="11003CB0"/>
    <w:rsid w:val="11124E18"/>
    <w:rsid w:val="111445C7"/>
    <w:rsid w:val="111F2937"/>
    <w:rsid w:val="1158083A"/>
    <w:rsid w:val="11F03528"/>
    <w:rsid w:val="12771554"/>
    <w:rsid w:val="129973FF"/>
    <w:rsid w:val="12C921C4"/>
    <w:rsid w:val="12DA353E"/>
    <w:rsid w:val="13136C24"/>
    <w:rsid w:val="13850DCB"/>
    <w:rsid w:val="13871C70"/>
    <w:rsid w:val="13A71CB4"/>
    <w:rsid w:val="13AF1D43"/>
    <w:rsid w:val="13CE1647"/>
    <w:rsid w:val="140E5EE8"/>
    <w:rsid w:val="14200702"/>
    <w:rsid w:val="144F3F11"/>
    <w:rsid w:val="1580711B"/>
    <w:rsid w:val="16D80EBF"/>
    <w:rsid w:val="17322546"/>
    <w:rsid w:val="175D2A39"/>
    <w:rsid w:val="183950BA"/>
    <w:rsid w:val="189B0D0B"/>
    <w:rsid w:val="18E03A42"/>
    <w:rsid w:val="18E63C9E"/>
    <w:rsid w:val="19313430"/>
    <w:rsid w:val="194A1770"/>
    <w:rsid w:val="19B906A4"/>
    <w:rsid w:val="19BC4734"/>
    <w:rsid w:val="1A1F744B"/>
    <w:rsid w:val="1A6A0642"/>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DE91B95"/>
    <w:rsid w:val="1EF67CA4"/>
    <w:rsid w:val="1F213FD9"/>
    <w:rsid w:val="1FCD26AF"/>
    <w:rsid w:val="20642787"/>
    <w:rsid w:val="20C83310"/>
    <w:rsid w:val="20EC77A3"/>
    <w:rsid w:val="21556F04"/>
    <w:rsid w:val="216838F8"/>
    <w:rsid w:val="22403BD3"/>
    <w:rsid w:val="236E5890"/>
    <w:rsid w:val="237B1C80"/>
    <w:rsid w:val="24AF1021"/>
    <w:rsid w:val="24B92327"/>
    <w:rsid w:val="24D3717D"/>
    <w:rsid w:val="2533755C"/>
    <w:rsid w:val="25962F5A"/>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BDF2088"/>
    <w:rsid w:val="2C6762A3"/>
    <w:rsid w:val="2D5F4C37"/>
    <w:rsid w:val="2D8D7A26"/>
    <w:rsid w:val="2DB8387A"/>
    <w:rsid w:val="2F990BC1"/>
    <w:rsid w:val="2FE029D7"/>
    <w:rsid w:val="2FF06E00"/>
    <w:rsid w:val="315F0B22"/>
    <w:rsid w:val="31BE24D6"/>
    <w:rsid w:val="31D84415"/>
    <w:rsid w:val="32285F6F"/>
    <w:rsid w:val="32770556"/>
    <w:rsid w:val="329C0913"/>
    <w:rsid w:val="32F50FC3"/>
    <w:rsid w:val="33073565"/>
    <w:rsid w:val="3337290D"/>
    <w:rsid w:val="334B0167"/>
    <w:rsid w:val="35076329"/>
    <w:rsid w:val="352930DB"/>
    <w:rsid w:val="35573069"/>
    <w:rsid w:val="358C217E"/>
    <w:rsid w:val="359E7284"/>
    <w:rsid w:val="359F188C"/>
    <w:rsid w:val="36C9128A"/>
    <w:rsid w:val="37841E99"/>
    <w:rsid w:val="379C594F"/>
    <w:rsid w:val="37BF1123"/>
    <w:rsid w:val="37C85E36"/>
    <w:rsid w:val="38041ADB"/>
    <w:rsid w:val="38BC1135"/>
    <w:rsid w:val="38BE4696"/>
    <w:rsid w:val="39B82A39"/>
    <w:rsid w:val="39F33306"/>
    <w:rsid w:val="3ADC3D9A"/>
    <w:rsid w:val="3B1705E5"/>
    <w:rsid w:val="3B18334B"/>
    <w:rsid w:val="3B36794F"/>
    <w:rsid w:val="3B544954"/>
    <w:rsid w:val="3B793FF0"/>
    <w:rsid w:val="3B97076E"/>
    <w:rsid w:val="3B9F72A2"/>
    <w:rsid w:val="3C5A5928"/>
    <w:rsid w:val="3C6A5B02"/>
    <w:rsid w:val="3CF068FF"/>
    <w:rsid w:val="3D2757A1"/>
    <w:rsid w:val="3D3D4FC4"/>
    <w:rsid w:val="3DDF3AB1"/>
    <w:rsid w:val="3DE60B7E"/>
    <w:rsid w:val="3E12519E"/>
    <w:rsid w:val="3E1D0952"/>
    <w:rsid w:val="3E42660A"/>
    <w:rsid w:val="3E7555B1"/>
    <w:rsid w:val="3EA72472"/>
    <w:rsid w:val="3EDE1208"/>
    <w:rsid w:val="3F0527E5"/>
    <w:rsid w:val="3F16459E"/>
    <w:rsid w:val="3F4A6687"/>
    <w:rsid w:val="4004000C"/>
    <w:rsid w:val="400614D8"/>
    <w:rsid w:val="411B6CE5"/>
    <w:rsid w:val="412070D7"/>
    <w:rsid w:val="41314E40"/>
    <w:rsid w:val="415C674B"/>
    <w:rsid w:val="426C1EA8"/>
    <w:rsid w:val="42E86A87"/>
    <w:rsid w:val="43136432"/>
    <w:rsid w:val="443A3B12"/>
    <w:rsid w:val="44487B36"/>
    <w:rsid w:val="444C7ED6"/>
    <w:rsid w:val="44C3465A"/>
    <w:rsid w:val="44EF6BE8"/>
    <w:rsid w:val="451505D5"/>
    <w:rsid w:val="452711F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EAC3A62"/>
    <w:rsid w:val="4F186D58"/>
    <w:rsid w:val="4F224836"/>
    <w:rsid w:val="4F231B40"/>
    <w:rsid w:val="4F3D7344"/>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6A79DE"/>
    <w:rsid w:val="598A28E2"/>
    <w:rsid w:val="5A6279C1"/>
    <w:rsid w:val="5AD563E4"/>
    <w:rsid w:val="5C1336B7"/>
    <w:rsid w:val="5C263CE4"/>
    <w:rsid w:val="5C5D2777"/>
    <w:rsid w:val="5C622E48"/>
    <w:rsid w:val="5C722D7F"/>
    <w:rsid w:val="5D290C69"/>
    <w:rsid w:val="5DC17CC6"/>
    <w:rsid w:val="5EFA176D"/>
    <w:rsid w:val="5F0247F9"/>
    <w:rsid w:val="5F2D4A41"/>
    <w:rsid w:val="5F425C3C"/>
    <w:rsid w:val="601C34ED"/>
    <w:rsid w:val="60A511FB"/>
    <w:rsid w:val="61025A59"/>
    <w:rsid w:val="6134613C"/>
    <w:rsid w:val="613D5BBC"/>
    <w:rsid w:val="61536C39"/>
    <w:rsid w:val="616D60F9"/>
    <w:rsid w:val="62944DD7"/>
    <w:rsid w:val="629F08EF"/>
    <w:rsid w:val="62B86012"/>
    <w:rsid w:val="634265E1"/>
    <w:rsid w:val="63497036"/>
    <w:rsid w:val="63C1619B"/>
    <w:rsid w:val="63C25DC5"/>
    <w:rsid w:val="63C62057"/>
    <w:rsid w:val="63C73832"/>
    <w:rsid w:val="64192A39"/>
    <w:rsid w:val="64754794"/>
    <w:rsid w:val="64FB113D"/>
    <w:rsid w:val="6544377C"/>
    <w:rsid w:val="65482D25"/>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CD73120"/>
    <w:rsid w:val="6D903FF5"/>
    <w:rsid w:val="6DA955B8"/>
    <w:rsid w:val="6DE346AB"/>
    <w:rsid w:val="6FFB2E76"/>
    <w:rsid w:val="70AB70D6"/>
    <w:rsid w:val="70DE5507"/>
    <w:rsid w:val="71C34D91"/>
    <w:rsid w:val="71ED38AA"/>
    <w:rsid w:val="723F3B65"/>
    <w:rsid w:val="72DB435C"/>
    <w:rsid w:val="73066AA4"/>
    <w:rsid w:val="738549F4"/>
    <w:rsid w:val="7402266A"/>
    <w:rsid w:val="74ED1B1B"/>
    <w:rsid w:val="74F10B96"/>
    <w:rsid w:val="750837F0"/>
    <w:rsid w:val="762A73EF"/>
    <w:rsid w:val="7631412E"/>
    <w:rsid w:val="764F62AB"/>
    <w:rsid w:val="765C45EC"/>
    <w:rsid w:val="768A7619"/>
    <w:rsid w:val="7714640F"/>
    <w:rsid w:val="77EA362A"/>
    <w:rsid w:val="77F35CA4"/>
    <w:rsid w:val="780E2ADE"/>
    <w:rsid w:val="78116CEB"/>
    <w:rsid w:val="7875383E"/>
    <w:rsid w:val="796D60A4"/>
    <w:rsid w:val="79A031D5"/>
    <w:rsid w:val="79A52681"/>
    <w:rsid w:val="7A1525F7"/>
    <w:rsid w:val="7A3E6CB6"/>
    <w:rsid w:val="7A99799F"/>
    <w:rsid w:val="7AAB4252"/>
    <w:rsid w:val="7B420052"/>
    <w:rsid w:val="7B7D43A1"/>
    <w:rsid w:val="7BD06A28"/>
    <w:rsid w:val="7BFA3A44"/>
    <w:rsid w:val="7C0C5586"/>
    <w:rsid w:val="7C1E4CD7"/>
    <w:rsid w:val="7C3A7C0B"/>
    <w:rsid w:val="7C5248E4"/>
    <w:rsid w:val="7C566698"/>
    <w:rsid w:val="7C9D50E1"/>
    <w:rsid w:val="7C9F0367"/>
    <w:rsid w:val="7CCE7EB1"/>
    <w:rsid w:val="7CE56AF6"/>
    <w:rsid w:val="7CF02E5B"/>
    <w:rsid w:val="7D213FB2"/>
    <w:rsid w:val="7D3950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37"/>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8188</Words>
  <Characters>10512</Characters>
  <Lines>161</Lines>
  <Paragraphs>45</Paragraphs>
  <TotalTime>0</TotalTime>
  <ScaleCrop>false</ScaleCrop>
  <LinksUpToDate>false</LinksUpToDate>
  <CharactersWithSpaces>11618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cp:lastPrinted>2025-10-27T11:26:00Z</cp:lastPrinted>
  <dcterms:modified xsi:type="dcterms:W3CDTF">2025-10-29T15:16:47Z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BB46EABDBB2749749395447164B066B3_12</vt:lpwstr>
  </property>
</Properties>
</file>