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重庆市九龙坡区动物疫病预防控制中心</w:t>
      </w:r>
    </w:p>
    <w:p>
      <w:pPr>
        <w:pStyle w:val="8"/>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13"/>
        <w:keepNext w:val="0"/>
        <w:keepLines w:val="0"/>
        <w:widowControl/>
        <w:suppressLineNumbers w:val="0"/>
        <w:spacing w:before="0" w:beforeAutospacing="0" w:after="0" w:afterAutospacing="0" w:line="600" w:lineRule="exact"/>
        <w:ind w:left="0"/>
        <w:jc w:val="left"/>
        <w:rPr>
          <w:rFonts w:hint="default" w:ascii="Times New Roman" w:hAnsi="Times New Roman" w:eastAsia="宋体" w:cs="Times New Roman"/>
          <w:b/>
          <w:bCs/>
          <w:kern w:val="0"/>
          <w:sz w:val="24"/>
          <w:szCs w:val="24"/>
          <w:shd w:val="clear" w:color="auto" w:fill="FFFFFF"/>
        </w:rPr>
      </w:pPr>
      <w:r>
        <w:rPr>
          <w:rStyle w:val="16"/>
          <w:rFonts w:hint="default" w:ascii="Times New Roman" w:hAnsi="Times New Roman" w:eastAsia="宋体" w:cs="Times New Roman"/>
          <w:b/>
          <w:bCs/>
          <w:shd w:val="clear" w:color="auto" w:fill="FFFFFF"/>
        </w:rPr>
        <w:t xml:space="preserve"> </w:t>
      </w:r>
    </w:p>
    <w:p>
      <w:pPr>
        <w:pStyle w:val="13"/>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黑体_GBK" w:cs="方正黑体_GBK"/>
          <w:b w:val="0"/>
          <w:bCs w:val="0"/>
          <w:kern w:val="0"/>
          <w:sz w:val="32"/>
          <w:szCs w:val="32"/>
        </w:rPr>
      </w:pPr>
      <w:r>
        <w:rPr>
          <w:rStyle w:val="11"/>
          <w:rFonts w:hint="eastAsia" w:ascii="黑体" w:hAnsi="黑体" w:eastAsia="黑体" w:cs="黑体"/>
          <w:kern w:val="0"/>
          <w:sz w:val="32"/>
          <w:szCs w:val="32"/>
          <w:shd w:val="clear" w:color="auto" w:fill="FFFFFF"/>
          <w:lang w:val="en-US" w:eastAsia="zh-CN" w:bidi="ar-SA"/>
        </w:rPr>
        <w:t>一、部门基本情况</w:t>
      </w:r>
    </w:p>
    <w:p>
      <w:pPr>
        <w:pStyle w:val="13"/>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仿宋_GBK" w:cs="方正仿宋_GBK"/>
          <w:kern w:val="0"/>
          <w:sz w:val="32"/>
          <w:szCs w:val="32"/>
        </w:rPr>
      </w:pPr>
      <w:r>
        <w:rPr>
          <w:rFonts w:hint="eastAsia" w:ascii="楷体" w:hAnsi="楷体" w:eastAsia="楷体" w:cs="楷体"/>
          <w:b/>
          <w:bCs/>
          <w:kern w:val="0"/>
          <w:sz w:val="32"/>
          <w:szCs w:val="32"/>
          <w:shd w:val="clear" w:color="auto" w:fill="FFFFFF"/>
          <w:lang w:val="en-US" w:eastAsia="zh-CN" w:bidi="ar-SA"/>
        </w:rPr>
        <w:t>（一）职能职责。</w:t>
      </w:r>
      <w:r>
        <w:rPr>
          <w:rFonts w:hint="eastAsia" w:ascii="方正仿宋_GBK" w:hAnsi="方正仿宋_GBK" w:eastAsia="方正仿宋_GBK" w:cs="方正仿宋_GBK"/>
          <w:kern w:val="0"/>
          <w:sz w:val="32"/>
          <w:szCs w:val="32"/>
          <w:lang w:val="en-US" w:eastAsia="zh-CN"/>
        </w:rPr>
        <w:t>负</w:t>
      </w:r>
      <w:r>
        <w:rPr>
          <w:rFonts w:hint="eastAsia" w:ascii="方正仿宋_GBK" w:hAnsi="方正仿宋_GBK" w:eastAsia="方正仿宋_GBK" w:cs="方正仿宋_GBK"/>
          <w:kern w:val="0"/>
          <w:sz w:val="32"/>
          <w:szCs w:val="32"/>
        </w:rPr>
        <w:t>责畜牧行业的管理；具体承担动物检疫工作；负责贯彻落实动物监督的法律法规、方针政策、发展规划和质量标准；负责畜牧业、饲料工业、兽医医政及兽药药政等行业安全监督管理、信访稳定；负责执业兽医和畜禽屠宰行业管理；负责对动物饲养及屠宰环节的防疫监管；负责对染疫动物及其产品的无害化处理进行监督和指导；</w:t>
      </w:r>
      <w:r>
        <w:rPr>
          <w:rFonts w:hint="eastAsia" w:ascii="方正仿宋_GBK" w:hAnsi="方正仿宋_GBK" w:eastAsia="方正仿宋_GBK" w:cs="方正仿宋_GBK"/>
          <w:b w:val="0"/>
          <w:bCs w:val="0"/>
          <w:kern w:val="0"/>
          <w:sz w:val="32"/>
          <w:szCs w:val="32"/>
        </w:rPr>
        <w:t>负责动物、动物产品、水产品疫情监测、预防、控制、扑灭和处置等工作；负责</w:t>
      </w:r>
      <w:r>
        <w:rPr>
          <w:rFonts w:hint="eastAsia" w:ascii="方正仿宋_GBK" w:hAnsi="方正仿宋_GBK" w:eastAsia="方正仿宋_GBK" w:cs="方正仿宋_GBK"/>
          <w:kern w:val="0"/>
          <w:sz w:val="32"/>
          <w:szCs w:val="32"/>
        </w:rPr>
        <w:t>重大动物疫病防控技术方案拟订、技术指导、技术培训、科普宣传工作；承担动物产品屠宰环节安全和兽药饲料的检测检验工作；负责畜禽标识和养殖档案的监督管理等工作；负责有关检疫证明、检疫标识发放和管理；负责畜禽屠宰监管；负责对民间执业兽医队伍及动物诊疗活动的监督管理；承担区防治动物重大疫病指挥部日常工作；完成区委农业农村工委、区农业农村委交办的其他任务。</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Times New Roman" w:hAnsi="Times New Roman" w:eastAsia="方正仿宋_GBK" w:cs="方正仿宋_GBK"/>
          <w:kern w:val="0"/>
          <w:sz w:val="32"/>
          <w:szCs w:val="32"/>
        </w:rPr>
      </w:pPr>
      <w:r>
        <w:rPr>
          <w:rFonts w:hint="eastAsia" w:ascii="楷体" w:hAnsi="楷体" w:eastAsia="楷体" w:cs="楷体"/>
          <w:b/>
          <w:bCs/>
          <w:kern w:val="0"/>
          <w:sz w:val="32"/>
          <w:szCs w:val="32"/>
          <w:shd w:val="clear" w:color="auto" w:fill="FFFFFF"/>
          <w:lang w:val="en-US" w:eastAsia="zh-CN" w:bidi="ar-SA"/>
        </w:rPr>
        <w:t xml:space="preserve">    （二）机构设置。</w:t>
      </w:r>
      <w:r>
        <w:rPr>
          <w:rFonts w:hint="eastAsia" w:ascii="方正仿宋_GBK" w:hAnsi="方正仿宋_GBK" w:eastAsia="方正仿宋_GBK" w:cs="方正仿宋_GBK"/>
          <w:kern w:val="0"/>
          <w:sz w:val="32"/>
          <w:szCs w:val="32"/>
          <w:shd w:val="clear" w:color="auto" w:fill="FFFFFF"/>
          <w:lang w:val="en-US" w:eastAsia="zh-CN"/>
        </w:rPr>
        <w:t>重庆</w:t>
      </w:r>
      <w:r>
        <w:rPr>
          <w:rFonts w:hint="eastAsia" w:ascii="方正仿宋_GBK" w:hAnsi="方正仿宋_GBK" w:eastAsia="方正仿宋_GBK" w:cs="方正仿宋_GBK"/>
          <w:kern w:val="0"/>
          <w:sz w:val="32"/>
          <w:szCs w:val="32"/>
          <w:lang w:val="en-US" w:eastAsia="zh-CN" w:bidi="ar-SA"/>
        </w:rPr>
        <w:t>市九龙坡区动物疫病预防控制中心</w:t>
      </w:r>
      <w:r>
        <w:rPr>
          <w:rFonts w:hint="eastAsia" w:ascii="方正仿宋_GBK" w:hAnsi="方正仿宋_GBK" w:eastAsia="方正仿宋_GBK" w:cs="方正仿宋_GBK"/>
          <w:kern w:val="0"/>
          <w:sz w:val="32"/>
          <w:szCs w:val="32"/>
          <w:shd w:val="clear" w:color="auto" w:fill="FFFFFF"/>
        </w:rPr>
        <w:t>为重庆市九龙坡区农业农村委员会下属事业单位，属二</w:t>
      </w:r>
      <w:r>
        <w:rPr>
          <w:rFonts w:hint="eastAsia" w:ascii="方正仿宋_GBK" w:hAnsi="方正仿宋_GBK" w:eastAsia="方正仿宋_GBK" w:cs="方正仿宋_GBK"/>
          <w:kern w:val="0"/>
          <w:sz w:val="32"/>
          <w:szCs w:val="32"/>
        </w:rPr>
        <w:t>级预</w:t>
      </w:r>
      <w:r>
        <w:rPr>
          <w:rFonts w:hint="eastAsia" w:ascii="方正仿宋_GBK" w:hAnsi="方正仿宋_GBK" w:eastAsia="方正仿宋_GBK" w:cs="方正仿宋_GBK"/>
          <w:kern w:val="0"/>
          <w:sz w:val="32"/>
          <w:szCs w:val="32"/>
          <w:lang w:val="en-US" w:eastAsia="zh-CN"/>
        </w:rPr>
        <w:t>算单位</w:t>
      </w:r>
      <w:r>
        <w:rPr>
          <w:rFonts w:hint="eastAsia" w:ascii="方正仿宋_GBK" w:hAnsi="方正仿宋_GBK" w:eastAsia="方正仿宋_GBK" w:cs="方正仿宋_GBK"/>
          <w:kern w:val="0"/>
          <w:sz w:val="32"/>
          <w:szCs w:val="32"/>
        </w:rPr>
        <w:t>。</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eastAsia" w:ascii="楷体" w:hAnsi="楷体" w:eastAsia="楷体" w:cs="楷体"/>
          <w:b/>
          <w:bCs/>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shd w:val="clear" w:color="auto" w:fill="FFFFFF"/>
        </w:rPr>
        <w:t>从预算单位构成看，纳入本单位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w:t>
      </w:r>
      <w:r>
        <w:rPr>
          <w:rFonts w:hint="eastAsia" w:ascii="方正仿宋_GBK" w:hAnsi="方正仿宋_GBK" w:eastAsia="方正仿宋_GBK" w:cs="方正仿宋_GBK"/>
          <w:kern w:val="0"/>
          <w:sz w:val="32"/>
          <w:szCs w:val="32"/>
          <w:shd w:val="clear" w:color="auto" w:fill="FFFFFF"/>
        </w:rPr>
        <w:t>度决算编制范围的二级预算单位为</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w:t>
      </w:r>
      <w:r>
        <w:rPr>
          <w:rFonts w:hint="eastAsia" w:ascii="方正仿宋_GBK" w:hAnsi="方正仿宋_GBK" w:eastAsia="方正仿宋_GBK" w:cs="方正仿宋_GBK"/>
          <w:kern w:val="0"/>
          <w:sz w:val="32"/>
          <w:szCs w:val="32"/>
          <w:lang w:val="en-US" w:eastAsia="zh-CN" w:bidi="ar-SA"/>
        </w:rPr>
        <w:t>动物疫病预防控制中心</w:t>
      </w:r>
      <w:r>
        <w:rPr>
          <w:rFonts w:hint="eastAsia" w:ascii="方正仿宋_GBK" w:hAnsi="方正仿宋_GBK" w:eastAsia="方正仿宋_GBK" w:cs="方正仿宋_GBK"/>
          <w:kern w:val="0"/>
          <w:sz w:val="32"/>
          <w:szCs w:val="32"/>
          <w:shd w:val="clear" w:color="auto" w:fill="FFFFFF"/>
        </w:rPr>
        <w:t>。</w:t>
      </w:r>
    </w:p>
    <w:p>
      <w:pPr>
        <w:pStyle w:val="13"/>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right="0" w:rightChars="0" w:firstLine="480" w:firstLineChars="200"/>
        <w:jc w:val="both"/>
        <w:textAlignment w:val="auto"/>
        <w:rPr>
          <w:rFonts w:hint="eastAsia" w:ascii="Times New Roman" w:hAnsi="Times New Roman" w:eastAsia="方正黑体_GBK" w:cs="方正黑体_GBK"/>
          <w:b w:val="0"/>
          <w:bCs w:val="0"/>
          <w:kern w:val="0"/>
          <w:sz w:val="32"/>
          <w:szCs w:val="32"/>
        </w:rPr>
      </w:pPr>
      <w:r>
        <w:rPr>
          <w:rFonts w:hint="eastAsia" w:ascii="Times New Roman" w:hAnsi="Times New Roman" w:eastAsia="宋体" w:cs="宋体"/>
          <w:kern w:val="0"/>
          <w:sz w:val="24"/>
          <w:szCs w:val="24"/>
        </w:rPr>
        <w:t xml:space="preserve">  </w:t>
      </w:r>
      <w:r>
        <w:rPr>
          <w:rStyle w:val="16"/>
          <w:rFonts w:hint="eastAsia" w:ascii="Times New Roman" w:hAnsi="Times New Roman" w:eastAsia="方正黑体_GBK" w:cs="方正黑体_GBK"/>
          <w:b w:val="0"/>
          <w:bCs w:val="0"/>
          <w:sz w:val="32"/>
          <w:szCs w:val="32"/>
        </w:rPr>
        <w:t xml:space="preserve">   </w:t>
      </w:r>
      <w:r>
        <w:rPr>
          <w:rStyle w:val="11"/>
          <w:rFonts w:hint="eastAsia" w:ascii="黑体" w:hAnsi="黑体" w:eastAsia="黑体" w:cs="黑体"/>
          <w:kern w:val="0"/>
          <w:sz w:val="32"/>
          <w:szCs w:val="32"/>
          <w:shd w:val="clear" w:color="auto" w:fill="FFFFFF"/>
          <w:lang w:val="en-US" w:eastAsia="zh-CN" w:bidi="ar-SA"/>
        </w:rPr>
        <w:t>二、部门决算情况说明</w:t>
      </w:r>
    </w:p>
    <w:p>
      <w:pPr>
        <w:pStyle w:val="13"/>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_GBK" w:cs="方正楷体_GBK"/>
          <w:b/>
          <w:bCs/>
          <w:kern w:val="0"/>
          <w:sz w:val="32"/>
          <w:szCs w:val="32"/>
          <w:shd w:val="clear" w:color="auto" w:fill="FFFFFF"/>
        </w:rPr>
      </w:pPr>
      <w:r>
        <w:rPr>
          <w:rFonts w:hint="eastAsia" w:ascii="楷体" w:hAnsi="楷体" w:eastAsia="楷体" w:cs="楷体"/>
          <w:b/>
          <w:bCs/>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bCs/>
          <w:kern w:val="0"/>
          <w:sz w:val="32"/>
          <w:szCs w:val="32"/>
          <w:shd w:val="clear" w:color="auto" w:fill="FFFFFF"/>
        </w:rPr>
        <w:t>1.</w:t>
      </w:r>
      <w:r>
        <w:rPr>
          <w:rStyle w:val="16"/>
          <w:rFonts w:hint="eastAsia" w:ascii="方正仿宋_GBK" w:hAnsi="方正仿宋_GBK" w:eastAsia="方正仿宋_GBK" w:cs="方正仿宋_GBK"/>
          <w:b/>
          <w:bCs/>
          <w:kern w:val="0"/>
          <w:sz w:val="32"/>
          <w:szCs w:val="32"/>
          <w:shd w:val="clear" w:color="auto" w:fill="FFFFFF"/>
        </w:rPr>
        <w:t>总体情况。</w:t>
      </w:r>
      <w:r>
        <w:rPr>
          <w:rFonts w:hint="eastAsia" w:ascii="Times New Roman" w:hAnsi="Times New Roman" w:eastAsia="方正仿宋_GBK" w:cs="Times New Roman"/>
          <w:kern w:val="0"/>
          <w:sz w:val="32"/>
          <w:szCs w:val="32"/>
          <w:shd w:val="clear" w:color="auto" w:fill="FFFFFF"/>
          <w:lang w:val="en-US" w:eastAsia="zh-CN"/>
        </w:rPr>
        <w:t>2024年</w:t>
      </w:r>
      <w:r>
        <w:rPr>
          <w:rFonts w:hint="default" w:ascii="Times New Roman" w:hAnsi="Times New Roman" w:eastAsia="方正仿宋_GBK" w:cs="Times New Roman"/>
          <w:kern w:val="0"/>
          <w:sz w:val="32"/>
          <w:szCs w:val="32"/>
          <w:shd w:val="clear" w:color="auto" w:fill="FFFFFF"/>
          <w:lang w:val="en-US" w:eastAsia="zh-CN"/>
        </w:rPr>
        <w:t>度收入总计173.58万元，支出总计173.58万元。收、支与2023年度相比，增加15.48万元，增长9.8%，</w:t>
      </w:r>
      <w:r>
        <w:rPr>
          <w:rFonts w:hint="eastAsia" w:ascii="Times New Roman" w:hAnsi="Times New Roman" w:eastAsia="方正仿宋_GBK" w:cs="Times New Roman"/>
          <w:kern w:val="0"/>
          <w:sz w:val="32"/>
          <w:szCs w:val="32"/>
          <w:shd w:val="clear" w:color="auto" w:fill="FFFFFF"/>
          <w:lang w:val="en-US" w:eastAsia="zh-CN"/>
        </w:rPr>
        <w:t>主要原因是2024年本单位</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经费增加</w:t>
      </w:r>
      <w:r>
        <w:rPr>
          <w:rFonts w:hint="eastAsia" w:ascii="方正仿宋_GBK" w:hAnsi="方正仿宋_GBK" w:eastAsia="方正仿宋_GBK" w:cs="方正仿宋_GBK"/>
          <w:sz w:val="32"/>
          <w:szCs w:val="32"/>
          <w:shd w:val="clear" w:color="auto" w:fill="FFFFFF"/>
        </w:rPr>
        <w:t>。</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default" w:ascii="方正仿宋_GBK" w:hAnsi="方正仿宋_GBK" w:eastAsia="方正仿宋_GBK" w:cs="方正仿宋_GBK"/>
          <w:b/>
          <w:bCs/>
          <w:kern w:val="0"/>
          <w:sz w:val="32"/>
          <w:szCs w:val="32"/>
          <w:shd w:val="clear" w:color="auto" w:fill="FFFFFF"/>
        </w:rPr>
        <w:t>2.</w:t>
      </w:r>
      <w:r>
        <w:rPr>
          <w:rFonts w:hint="eastAsia" w:ascii="方正楷体_GBK" w:hAnsi="方正楷体_GBK" w:eastAsia="方正楷体_GBK" w:cs="方正楷体_GBK"/>
          <w:b/>
          <w:bCs/>
          <w:kern w:val="0"/>
          <w:sz w:val="32"/>
          <w:szCs w:val="32"/>
          <w:shd w:val="clear" w:color="auto" w:fill="FFFFFF"/>
        </w:rPr>
        <w:t>收入</w:t>
      </w:r>
      <w:r>
        <w:rPr>
          <w:rStyle w:val="16"/>
          <w:rFonts w:hint="eastAsia" w:ascii="方正仿宋_GBK" w:hAnsi="方正仿宋_GBK" w:eastAsia="方正仿宋_GBK" w:cs="方正仿宋_GBK"/>
          <w:b/>
          <w:bCs/>
          <w:kern w:val="0"/>
          <w:sz w:val="32"/>
          <w:szCs w:val="32"/>
          <w:shd w:val="clear" w:color="auto" w:fill="FFFFFF"/>
        </w:rPr>
        <w:t>情况。</w:t>
      </w:r>
      <w:r>
        <w:rPr>
          <w:rFonts w:hint="eastAsia" w:ascii="Times New Roman" w:hAnsi="Times New Roman" w:eastAsia="方正仿宋_GBK" w:cs="Times New Roman"/>
          <w:kern w:val="0"/>
          <w:sz w:val="32"/>
          <w:szCs w:val="32"/>
          <w:shd w:val="clear" w:color="auto" w:fill="FFFFFF"/>
          <w:lang w:val="en-US" w:eastAsia="zh-CN"/>
        </w:rPr>
        <w:t>2024年度收入合计173.58万元，与2023年度相比，增加15.48万元，增长9.8%，主要原因是2024年本单位人员经费增加。其中：财政拨款收入173.58万元，占100.00%。</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default" w:ascii="方正仿宋_GBK" w:hAnsi="方正仿宋_GBK" w:eastAsia="方正仿宋_GBK" w:cs="方正仿宋_GBK"/>
          <w:b/>
          <w:bCs/>
          <w:kern w:val="0"/>
          <w:sz w:val="32"/>
          <w:szCs w:val="32"/>
          <w:shd w:val="clear" w:color="auto" w:fill="FFFFFF"/>
        </w:rPr>
        <w:t>3.</w:t>
      </w:r>
      <w:r>
        <w:rPr>
          <w:rFonts w:hint="eastAsia" w:ascii="方正楷体_GBK" w:hAnsi="方正楷体_GBK" w:eastAsia="方正楷体_GBK" w:cs="方正楷体_GBK"/>
          <w:b/>
          <w:bCs/>
          <w:kern w:val="0"/>
          <w:sz w:val="32"/>
          <w:szCs w:val="32"/>
          <w:shd w:val="clear" w:color="auto" w:fill="FFFFFF"/>
        </w:rPr>
        <w:t>支出情况。</w:t>
      </w:r>
      <w:r>
        <w:rPr>
          <w:rFonts w:hint="eastAsia" w:ascii="Times New Roman" w:hAnsi="Times New Roman" w:eastAsia="方正仿宋_GBK" w:cs="Times New Roman"/>
          <w:kern w:val="0"/>
          <w:sz w:val="32"/>
          <w:szCs w:val="32"/>
          <w:shd w:val="clear" w:color="auto" w:fill="FFFFFF"/>
          <w:lang w:val="en-US" w:eastAsia="zh-CN"/>
        </w:rPr>
        <w:t>2024年度支出合计173.58万元，与2023年度相比，增加15.48万元，增长9.8%，主要原因是2024年本单位人员经费增加。其中：基本支出173.58万元，占100.00%。</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default" w:ascii="方正仿宋_GBK" w:hAnsi="方正仿宋_GBK" w:eastAsia="方正仿宋_GBK" w:cs="方正仿宋_GBK"/>
          <w:b/>
          <w:bCs/>
          <w:kern w:val="0"/>
          <w:sz w:val="32"/>
          <w:szCs w:val="32"/>
          <w:shd w:val="clear" w:color="auto" w:fill="FFFFFF"/>
        </w:rPr>
        <w:t>4.</w:t>
      </w:r>
      <w:r>
        <w:rPr>
          <w:rFonts w:hint="eastAsia" w:ascii="方正楷体_GBK" w:hAnsi="方正楷体_GBK" w:eastAsia="方正楷体_GBK" w:cs="方正楷体_GBK"/>
          <w:b/>
          <w:bCs/>
          <w:kern w:val="0"/>
          <w:sz w:val="32"/>
          <w:szCs w:val="32"/>
          <w:shd w:val="clear" w:color="auto" w:fill="FFFFFF"/>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kern w:val="0"/>
          <w:sz w:val="32"/>
          <w:szCs w:val="32"/>
          <w:shd w:val="clear" w:color="auto" w:fill="FFFFFF"/>
        </w:rPr>
        <w:t>。</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bCs/>
          <w:kern w:val="0"/>
          <w:sz w:val="32"/>
          <w:szCs w:val="32"/>
          <w:shd w:val="clear" w:color="auto" w:fill="FFFFFF"/>
        </w:rPr>
      </w:pPr>
      <w:r>
        <w:rPr>
          <w:rFonts w:hint="eastAsia" w:ascii="楷体" w:hAnsi="楷体" w:eastAsia="楷体" w:cs="楷体"/>
          <w:b/>
          <w:bCs/>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2024年度财政拨款收、支总计173.58万元。与2023年相比，财政拨款收、支总计各增加15.48万元，增长9.8%。主要原因是2024</w:t>
      </w:r>
      <w:r>
        <w:rPr>
          <w:rFonts w:hint="eastAsia" w:ascii="方正仿宋_GBK" w:hAnsi="方正仿宋_GBK" w:eastAsia="方正仿宋_GBK" w:cs="方正仿宋_GBK"/>
          <w:sz w:val="32"/>
          <w:szCs w:val="32"/>
          <w:shd w:val="clear" w:color="auto" w:fill="FFFFFF"/>
          <w:lang w:val="en-US" w:eastAsia="zh-CN"/>
        </w:rPr>
        <w:t>年本单位人员经费增加造成本年财政拨款收、支增加。</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default" w:ascii="方正仿宋_GBK" w:hAnsi="方正仿宋_GBK" w:eastAsia="方正仿宋_GBK" w:cs="方正仿宋_GBK"/>
          <w:b/>
          <w:bCs/>
          <w:kern w:val="0"/>
          <w:sz w:val="32"/>
          <w:szCs w:val="32"/>
          <w:shd w:val="clear" w:color="auto" w:fill="FFFFFF"/>
        </w:rPr>
        <w:t>1.</w:t>
      </w:r>
      <w:r>
        <w:rPr>
          <w:rFonts w:hint="eastAsia" w:ascii="方正楷体_GBK" w:hAnsi="方正楷体_GBK" w:eastAsia="方正楷体_GBK" w:cs="方正楷体_GBK"/>
          <w:b/>
          <w:bCs/>
          <w:kern w:val="0"/>
          <w:sz w:val="32"/>
          <w:szCs w:val="32"/>
          <w:shd w:val="clear" w:color="auto" w:fill="FFFFFF"/>
        </w:rPr>
        <w:t>收入情况。</w:t>
      </w:r>
      <w:r>
        <w:rPr>
          <w:rFonts w:hint="eastAsia" w:ascii="Times New Roman" w:hAnsi="Times New Roman" w:eastAsia="方正仿宋_GBK" w:cs="Times New Roman"/>
          <w:kern w:val="0"/>
          <w:sz w:val="32"/>
          <w:szCs w:val="32"/>
          <w:shd w:val="clear" w:color="auto" w:fill="FFFFFF"/>
          <w:lang w:val="en-US" w:eastAsia="zh-CN"/>
        </w:rPr>
        <w:t>2024年度一般公共预算财政拨款收入173.58万元，与2023年度相比，增加15.48万元，增长9.8%。主要原因是2024年本单位人员经费增加。较年初预算数增加16.68万元，增长10.6%。主要原因是追加本单位人员经费。此外，年初财政拨款结转和结余</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w:t>
      </w:r>
      <w:r>
        <w:rPr>
          <w:rFonts w:hint="eastAsia" w:ascii="方正仿宋_GBK" w:hAnsi="方正仿宋_GBK" w:eastAsia="方正仿宋_GBK" w:cs="方正仿宋_GBK"/>
          <w:kern w:val="0"/>
          <w:sz w:val="32"/>
          <w:szCs w:val="32"/>
          <w:shd w:val="clear" w:color="auto" w:fill="FFFFFF"/>
        </w:rPr>
        <w:t>元。</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b/>
          <w:bCs/>
          <w:kern w:val="0"/>
          <w:sz w:val="32"/>
          <w:szCs w:val="32"/>
          <w:shd w:val="clear" w:color="auto" w:fill="FFFFFF"/>
        </w:rPr>
        <w:t>2.</w:t>
      </w:r>
      <w:r>
        <w:rPr>
          <w:rFonts w:hint="eastAsia" w:ascii="方正楷体_GBK" w:hAnsi="方正楷体_GBK" w:eastAsia="方正楷体_GBK" w:cs="方正楷体_GBK"/>
          <w:b/>
          <w:bCs/>
          <w:kern w:val="0"/>
          <w:sz w:val="32"/>
          <w:szCs w:val="32"/>
          <w:shd w:val="clear" w:color="auto" w:fill="FFFFFF"/>
        </w:rPr>
        <w:t>支出情况。</w:t>
      </w:r>
      <w:r>
        <w:rPr>
          <w:rFonts w:hint="eastAsia" w:ascii="Times New Roman" w:hAnsi="Times New Roman" w:eastAsia="方正仿宋_GBK" w:cs="Times New Roman"/>
          <w:kern w:val="0"/>
          <w:sz w:val="32"/>
          <w:szCs w:val="32"/>
          <w:shd w:val="clear" w:color="auto" w:fill="FFFFFF"/>
          <w:lang w:val="en-US" w:eastAsia="zh-CN"/>
        </w:rPr>
        <w:t>2024年度一般公共预算财政拨款支出173.58万元，与2023年度相比，增加15.48万元，增长9.8%。主要原因是2024年本单位人员经费增加。较年初预算数增加16.68万元，增长10.6%。主</w:t>
      </w:r>
      <w:r>
        <w:rPr>
          <w:rFonts w:hint="eastAsia" w:ascii="方正仿宋_GBK" w:hAnsi="方正仿宋_GBK" w:eastAsia="方正仿宋_GBK" w:cs="方正仿宋_GBK"/>
          <w:sz w:val="32"/>
          <w:szCs w:val="32"/>
          <w:shd w:val="clear" w:color="auto" w:fill="FFFFFF"/>
          <w:lang w:val="en-US" w:eastAsia="zh-CN"/>
        </w:rPr>
        <w:t>要原因是追加本单位人员经费。</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default" w:ascii="方正仿宋_GBK" w:hAnsi="方正仿宋_GBK" w:eastAsia="方正仿宋_GBK" w:cs="方正仿宋_GBK"/>
          <w:b/>
          <w:bCs/>
          <w:kern w:val="0"/>
          <w:sz w:val="32"/>
          <w:szCs w:val="32"/>
          <w:shd w:val="clear" w:color="auto" w:fill="FFFFFF"/>
        </w:rPr>
        <w:t>3.</w:t>
      </w:r>
      <w:r>
        <w:rPr>
          <w:rFonts w:hint="eastAsia" w:ascii="方正楷体_GBK" w:hAnsi="方正楷体_GBK" w:eastAsia="方正楷体_GBK" w:cs="方正楷体_GBK"/>
          <w:b/>
          <w:bCs/>
          <w:kern w:val="0"/>
          <w:sz w:val="32"/>
          <w:szCs w:val="32"/>
          <w:shd w:val="clear" w:color="auto" w:fill="FFFFFF"/>
        </w:rPr>
        <w:t>结转结余情况</w:t>
      </w:r>
      <w:r>
        <w:rPr>
          <w:rFonts w:hint="eastAsia" w:ascii="Times New Roman" w:hAnsi="Times New Roman" w:eastAsia="方正仿宋_GBK" w:cs="Times New Roman"/>
          <w:kern w:val="0"/>
          <w:sz w:val="32"/>
          <w:szCs w:val="32"/>
          <w:shd w:val="clear" w:color="auto" w:fill="FFFFFF"/>
          <w:lang w:val="en-US" w:eastAsia="zh-CN"/>
        </w:rPr>
        <w:t>。2024年度年末一般公共预算财政拨款结转和结余0.00万元，与2023年</w:t>
      </w:r>
      <w:r>
        <w:rPr>
          <w:rFonts w:ascii="方正仿宋_GBK" w:hAnsi="方正仿宋_GBK" w:eastAsia="方正仿宋_GBK" w:cs="方正仿宋_GBK"/>
          <w:sz w:val="32"/>
          <w:szCs w:val="32"/>
          <w:shd w:val="clear" w:color="auto" w:fill="FFFFFF"/>
        </w:rPr>
        <w:t>度相比，无增减</w:t>
      </w:r>
      <w:r>
        <w:rPr>
          <w:rFonts w:hint="eastAsia" w:ascii="方正仿宋_GBK" w:hAnsi="方正仿宋_GBK" w:eastAsia="方正仿宋_GBK" w:cs="方正仿宋_GBK"/>
          <w:kern w:val="0"/>
          <w:sz w:val="32"/>
          <w:szCs w:val="32"/>
          <w:shd w:val="clear" w:color="auto" w:fill="FFFFFF"/>
        </w:rPr>
        <w:t>。</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default" w:ascii="方正仿宋_GBK" w:hAnsi="方正仿宋_GBK" w:eastAsia="方正仿宋_GBK" w:cs="方正仿宋_GBK"/>
          <w:b/>
          <w:bCs/>
          <w:kern w:val="0"/>
          <w:sz w:val="32"/>
          <w:szCs w:val="32"/>
          <w:shd w:val="clear" w:color="auto" w:fill="FFFFFF"/>
        </w:rPr>
        <w:t>4.</w:t>
      </w:r>
      <w:r>
        <w:rPr>
          <w:rFonts w:hint="eastAsia" w:ascii="方正楷体_GBK" w:hAnsi="方正楷体_GBK" w:eastAsia="方正楷体_GBK" w:cs="方正楷体_GBK"/>
          <w:b/>
          <w:bCs/>
          <w:kern w:val="0"/>
          <w:sz w:val="32"/>
          <w:szCs w:val="32"/>
          <w:shd w:val="clear" w:color="auto" w:fill="FFFFFF"/>
        </w:rPr>
        <w:t>比较情况。</w:t>
      </w:r>
      <w:r>
        <w:rPr>
          <w:rFonts w:hint="eastAsia" w:ascii="方正仿宋_GBK" w:hAnsi="方正仿宋_GBK" w:eastAsia="方正仿宋_GBK" w:cs="方正仿宋_GBK"/>
          <w:kern w:val="0"/>
          <w:sz w:val="32"/>
          <w:szCs w:val="32"/>
          <w:shd w:val="clear" w:color="auto" w:fill="FFFFFF"/>
        </w:rPr>
        <w:t>本单</w:t>
      </w:r>
      <w:r>
        <w:rPr>
          <w:rFonts w:hint="eastAsia" w:ascii="Times New Roman" w:hAnsi="Times New Roman" w:eastAsia="方正仿宋_GBK" w:cs="Times New Roman"/>
          <w:kern w:val="0"/>
          <w:sz w:val="32"/>
          <w:szCs w:val="32"/>
          <w:shd w:val="clear" w:color="auto" w:fill="FFFFFF"/>
          <w:lang w:val="en-US" w:eastAsia="zh-CN"/>
        </w:rPr>
        <w:t>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w:t>
      </w:r>
      <w:r>
        <w:rPr>
          <w:rFonts w:hint="eastAsia" w:ascii="方正仿宋_GBK" w:hAnsi="方正仿宋_GBK" w:eastAsia="方正仿宋_GBK" w:cs="方正仿宋_GBK"/>
          <w:kern w:val="0"/>
          <w:sz w:val="32"/>
          <w:szCs w:val="32"/>
          <w:shd w:val="clear" w:color="auto" w:fill="FFFFFF"/>
        </w:rPr>
        <w:t>一般公共预算财政拨款支出主要用于以下几个方面：</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1</w:t>
      </w:r>
      <w:r>
        <w:rPr>
          <w:rFonts w:hint="eastAsia" w:ascii="方正仿宋_GBK" w:hAnsi="方正仿宋_GBK" w:eastAsia="方正仿宋_GBK" w:cs="方正仿宋_GBK"/>
          <w:kern w:val="0"/>
          <w:sz w:val="32"/>
          <w:szCs w:val="32"/>
          <w:shd w:val="clear" w:color="auto" w:fill="FFFFFF"/>
        </w:rPr>
        <w:t>）</w:t>
      </w:r>
      <w:r>
        <w:rPr>
          <w:rFonts w:ascii="方正仿宋_GBK" w:hAnsi="方正仿宋_GBK" w:eastAsia="方正仿宋_GBK" w:cs="方正仿宋_GBK"/>
          <w:sz w:val="32"/>
          <w:szCs w:val="32"/>
          <w:shd w:val="clear" w:color="auto" w:fill="FFFFFF"/>
        </w:rPr>
        <w:t>社会</w:t>
      </w:r>
      <w:r>
        <w:rPr>
          <w:rFonts w:hint="default" w:ascii="Times New Roman" w:hAnsi="Times New Roman" w:eastAsia="方正仿宋_GBK" w:cs="Times New Roman"/>
          <w:kern w:val="0"/>
          <w:sz w:val="32"/>
          <w:szCs w:val="32"/>
          <w:shd w:val="clear" w:color="auto" w:fill="FFFFFF"/>
          <w:lang w:val="en-US" w:eastAsia="zh-CN"/>
        </w:rPr>
        <w:t>保障与就业支出28.97万元，占16.69%，较年初预算数增加16.82万元，增长138.4%，</w:t>
      </w:r>
      <w:r>
        <w:rPr>
          <w:rFonts w:hint="eastAsia" w:ascii="方正仿宋_GBK" w:hAnsi="方正仿宋_GBK" w:eastAsia="方正仿宋_GBK" w:cs="方正仿宋_GBK"/>
          <w:color w:val="auto"/>
          <w:kern w:val="0"/>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是追加养老保险和职业年金等经费。</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rPr>
        <w:t>）</w:t>
      </w:r>
      <w:r>
        <w:rPr>
          <w:rFonts w:ascii="方正仿宋_GBK" w:hAnsi="方正仿宋_GBK" w:eastAsia="方正仿宋_GBK" w:cs="方正仿宋_GBK"/>
          <w:sz w:val="32"/>
          <w:szCs w:val="32"/>
          <w:shd w:val="clear" w:color="auto" w:fill="FFFFFF"/>
        </w:rPr>
        <w:t>卫生健康支</w:t>
      </w:r>
      <w:r>
        <w:rPr>
          <w:rFonts w:hint="default" w:ascii="Times New Roman" w:hAnsi="Times New Roman" w:eastAsia="方正仿宋_GBK" w:cs="Times New Roman"/>
          <w:kern w:val="0"/>
          <w:sz w:val="32"/>
          <w:szCs w:val="32"/>
          <w:shd w:val="clear" w:color="auto" w:fill="FFFFFF"/>
          <w:lang w:val="en-US" w:eastAsia="zh-CN"/>
        </w:rPr>
        <w:t>出6.09万元，占3.51%，较年初预算数减少0.09万元，下降1.5%，</w:t>
      </w:r>
      <w:r>
        <w:rPr>
          <w:rFonts w:hint="eastAsia" w:ascii="Times New Roman" w:hAnsi="Times New Roman" w:eastAsia="方正仿宋_GBK" w:cs="Times New Roman"/>
          <w:kern w:val="0"/>
          <w:sz w:val="32"/>
          <w:szCs w:val="32"/>
          <w:shd w:val="clear" w:color="auto" w:fill="FFFFFF"/>
          <w:lang w:val="en-US" w:eastAsia="zh-CN"/>
        </w:rPr>
        <w:t>主</w:t>
      </w:r>
      <w:r>
        <w:rPr>
          <w:rFonts w:hint="eastAsia" w:ascii="方正仿宋_GBK" w:hAnsi="方正仿宋_GBK" w:eastAsia="方正仿宋_GBK" w:cs="方正仿宋_GBK"/>
          <w:color w:val="auto"/>
          <w:kern w:val="0"/>
          <w:sz w:val="32"/>
          <w:szCs w:val="32"/>
          <w:shd w:val="clear" w:color="auto" w:fill="FFFFFF"/>
        </w:rPr>
        <w:t>要原因</w:t>
      </w:r>
      <w:r>
        <w:rPr>
          <w:rFonts w:hint="eastAsia" w:ascii="方正仿宋_GBK" w:hAnsi="方正仿宋_GBK" w:eastAsia="方正仿宋_GBK" w:cs="方正仿宋_GBK"/>
          <w:sz w:val="32"/>
          <w:szCs w:val="32"/>
          <w:shd w:val="clear" w:color="auto" w:fill="FFFFFF"/>
          <w:lang w:val="en-US" w:eastAsia="zh-CN"/>
        </w:rPr>
        <w:t>是减少经费支出。</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3</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cs="Times New Roman"/>
          <w:kern w:val="0"/>
          <w:sz w:val="32"/>
          <w:szCs w:val="32"/>
          <w:shd w:val="clear" w:color="auto" w:fill="FFFFFF"/>
          <w:lang w:val="en-US" w:eastAsia="zh-CN"/>
        </w:rPr>
        <w:t>124.49万元，占71.72%，较年初预算数减少1.33万元，下降1.1%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0"/>
          <w:sz w:val="32"/>
          <w:szCs w:val="32"/>
          <w:shd w:val="clear" w:color="auto" w:fill="FFFFFF"/>
          <w:lang w:val="en-US" w:eastAsia="zh-CN"/>
        </w:rPr>
        <w:t>主</w:t>
      </w:r>
      <w:r>
        <w:rPr>
          <w:rFonts w:hint="eastAsia" w:ascii="方正仿宋_GBK" w:hAnsi="方正仿宋_GBK" w:eastAsia="方正仿宋_GBK" w:cs="方正仿宋_GBK"/>
          <w:color w:val="auto"/>
          <w:kern w:val="0"/>
          <w:sz w:val="32"/>
          <w:szCs w:val="32"/>
          <w:u w:val="none" w:color="auto"/>
          <w:shd w:val="clear" w:color="auto" w:fill="FFFFFF"/>
        </w:rPr>
        <w:t>要原因</w:t>
      </w:r>
      <w:r>
        <w:rPr>
          <w:rFonts w:hint="eastAsia" w:ascii="方正仿宋_GBK" w:hAnsi="方正仿宋_GBK" w:eastAsia="方正仿宋_GBK" w:cs="方正仿宋_GBK"/>
          <w:sz w:val="32"/>
          <w:szCs w:val="32"/>
          <w:shd w:val="clear" w:color="auto" w:fill="FFFFFF"/>
          <w:lang w:val="en-US" w:eastAsia="zh-CN"/>
        </w:rPr>
        <w:t>是减少经费支出。</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4</w:t>
      </w:r>
      <w:r>
        <w:rPr>
          <w:rFonts w:hint="eastAsia" w:ascii="方正仿宋_GBK" w:hAnsi="方正仿宋_GBK" w:eastAsia="方正仿宋_GBK" w:cs="方正仿宋_GBK"/>
          <w:kern w:val="0"/>
          <w:sz w:val="32"/>
          <w:szCs w:val="32"/>
          <w:shd w:val="clear" w:color="auto" w:fill="FFFFFF"/>
        </w:rPr>
        <w:t>）</w:t>
      </w:r>
      <w:r>
        <w:rPr>
          <w:rFonts w:ascii="方正仿宋_GBK" w:hAnsi="方正仿宋_GBK" w:eastAsia="方正仿宋_GBK" w:cs="方正仿宋_GBK"/>
          <w:sz w:val="32"/>
          <w:szCs w:val="32"/>
        </w:rPr>
        <w:t>住房保障支</w:t>
      </w:r>
      <w:r>
        <w:rPr>
          <w:rFonts w:hint="default" w:ascii="Times New Roman" w:hAnsi="Times New Roman" w:eastAsia="方正仿宋_GBK" w:cs="Times New Roman"/>
          <w:kern w:val="0"/>
          <w:sz w:val="32"/>
          <w:szCs w:val="32"/>
          <w:shd w:val="clear" w:color="auto" w:fill="FFFFFF"/>
          <w:lang w:val="en-US" w:eastAsia="zh-CN"/>
        </w:rPr>
        <w:t>出14.03万元，占8.08%，较年初预算数增加1.27万元，增长10.0%，</w:t>
      </w:r>
      <w:r>
        <w:rPr>
          <w:rFonts w:hint="eastAsia" w:ascii="Times New Roman" w:hAnsi="Times New Roman" w:eastAsia="方正仿宋_GBK" w:cs="Times New Roman"/>
          <w:kern w:val="0"/>
          <w:sz w:val="32"/>
          <w:szCs w:val="32"/>
          <w:shd w:val="clear" w:color="auto" w:fill="FFFFFF"/>
          <w:lang w:val="en-US" w:eastAsia="zh-CN"/>
        </w:rPr>
        <w:t>主要原</w:t>
      </w:r>
      <w:r>
        <w:rPr>
          <w:rFonts w:hint="eastAsia" w:ascii="方正仿宋_GBK" w:hAnsi="方正仿宋_GBK" w:eastAsia="方正仿宋_GBK" w:cs="方正仿宋_GBK"/>
          <w:color w:val="auto"/>
          <w:kern w:val="0"/>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是追加核定人员经费。</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2024年</w:t>
      </w:r>
      <w:r>
        <w:rPr>
          <w:rFonts w:hint="default" w:ascii="Times New Roman" w:hAnsi="Times New Roman" w:eastAsia="方正仿宋_GBK" w:cs="Times New Roman"/>
          <w:kern w:val="0"/>
          <w:sz w:val="32"/>
          <w:szCs w:val="32"/>
          <w:shd w:val="clear" w:color="auto" w:fill="FFFFFF"/>
          <w:lang w:val="en-US" w:eastAsia="zh-CN"/>
        </w:rPr>
        <w:t>度一般公共财政拨款基本支出173.58万元。其中：人员经费139.57万元，与2023年度相比，增加0.16万元，增长0.1%，</w:t>
      </w:r>
      <w:r>
        <w:rPr>
          <w:rFonts w:hint="eastAsia" w:ascii="Times New Roman" w:hAnsi="Times New Roman" w:eastAsia="方正仿宋_GBK" w:cs="Times New Roman"/>
          <w:kern w:val="0"/>
          <w:sz w:val="32"/>
          <w:szCs w:val="32"/>
          <w:shd w:val="clear" w:color="auto" w:fill="FFFFFF"/>
          <w:lang w:val="en-US" w:eastAsia="zh-CN"/>
        </w:rPr>
        <w:t>主要原因是追加养老保险和职业年金等经费、调整使用费用经济科目。人员经费用途主要包括基本工资、津贴补贴、绩效工资、社会保障缴费等。</w:t>
      </w:r>
      <w:r>
        <w:rPr>
          <w:rFonts w:hint="default" w:ascii="Times New Roman" w:hAnsi="Times New Roman" w:eastAsia="方正仿宋_GBK" w:cs="Times New Roman"/>
          <w:kern w:val="0"/>
          <w:sz w:val="32"/>
          <w:szCs w:val="32"/>
          <w:shd w:val="clear" w:color="auto" w:fill="FFFFFF"/>
          <w:lang w:val="en-US" w:eastAsia="zh-CN"/>
        </w:rPr>
        <w:t>公用经费34.01万元，与2023年度相比，增加15.32万元，增长82.0%，</w:t>
      </w:r>
      <w:r>
        <w:rPr>
          <w:rFonts w:hint="eastAsia" w:ascii="Times New Roman" w:hAnsi="Times New Roman" w:eastAsia="方正仿宋_GBK" w:cs="Times New Roman"/>
          <w:kern w:val="0"/>
          <w:sz w:val="32"/>
          <w:szCs w:val="32"/>
          <w:shd w:val="clear" w:color="auto" w:fill="FFFFFF"/>
          <w:lang w:val="en-US" w:eastAsia="zh-CN"/>
        </w:rPr>
        <w:t>主要</w:t>
      </w:r>
      <w:r>
        <w:rPr>
          <w:rFonts w:hint="eastAsia" w:ascii="方正仿宋_GBK" w:hAnsi="方正仿宋_GBK" w:eastAsia="方正仿宋_GBK" w:cs="方正仿宋_GBK"/>
          <w:kern w:val="0"/>
          <w:sz w:val="32"/>
          <w:szCs w:val="32"/>
          <w:shd w:val="clear" w:color="auto" w:fill="FFFFFF"/>
        </w:rPr>
        <w:t>原因是为保障本单位正常运转，完成日常工作任务</w:t>
      </w:r>
      <w:r>
        <w:rPr>
          <w:rFonts w:hint="eastAsia" w:ascii="方正仿宋_GBK" w:hAnsi="方正仿宋_GBK" w:eastAsia="方正仿宋_GBK" w:cs="方正仿宋_GBK"/>
          <w:kern w:val="0"/>
          <w:sz w:val="32"/>
          <w:szCs w:val="32"/>
          <w:shd w:val="clear" w:color="auto" w:fill="FFFFFF"/>
          <w:lang w:val="en-US" w:eastAsia="zh-CN"/>
        </w:rPr>
        <w:t>统筹使用全委</w:t>
      </w:r>
      <w:r>
        <w:rPr>
          <w:rFonts w:hint="eastAsia" w:ascii="方正仿宋_GBK" w:hAnsi="方正仿宋_GBK" w:eastAsia="方正仿宋_GBK" w:cs="方正仿宋_GBK"/>
          <w:kern w:val="0"/>
          <w:sz w:val="32"/>
          <w:szCs w:val="32"/>
          <w:shd w:val="clear" w:color="auto" w:fill="FFFFFF"/>
        </w:rPr>
        <w:t>公用经费。公用经费用途主要包括办公费、邮电费、租赁费、</w:t>
      </w:r>
      <w:r>
        <w:rPr>
          <w:rFonts w:hint="eastAsia" w:ascii="方正仿宋_GBK" w:hAnsi="方正仿宋_GBK" w:eastAsia="方正仿宋_GBK" w:cs="方正仿宋_GBK"/>
          <w:kern w:val="0"/>
          <w:sz w:val="32"/>
          <w:szCs w:val="32"/>
          <w:shd w:val="clear" w:color="auto" w:fill="FFFFFF"/>
          <w:lang w:val="en-US" w:eastAsia="zh-CN"/>
        </w:rPr>
        <w:t>办公用房物业管理费、其他商品和服务支出</w:t>
      </w:r>
      <w:r>
        <w:rPr>
          <w:rFonts w:hint="eastAsia" w:ascii="方正仿宋_GBK" w:hAnsi="方正仿宋_GBK" w:eastAsia="方正仿宋_GBK" w:cs="方正仿宋_GBK"/>
          <w:kern w:val="0"/>
          <w:sz w:val="32"/>
          <w:szCs w:val="32"/>
          <w:shd w:val="clear" w:color="auto" w:fill="FFFFFF"/>
        </w:rPr>
        <w:t>等。</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_GBK" w:cs="方正楷体_GBK"/>
          <w:b/>
          <w:bCs/>
          <w:kern w:val="0"/>
          <w:sz w:val="32"/>
          <w:szCs w:val="32"/>
          <w:shd w:val="clear" w:color="auto" w:fill="FFFFFF"/>
        </w:rPr>
      </w:pPr>
      <w:r>
        <w:rPr>
          <w:rFonts w:hint="eastAsia" w:ascii="楷体" w:hAnsi="楷体" w:eastAsia="楷体" w:cs="楷体"/>
          <w:b/>
          <w:bCs/>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本单</w:t>
      </w:r>
      <w:r>
        <w:rPr>
          <w:rFonts w:hint="eastAsia" w:ascii="Times New Roman" w:hAnsi="Times New Roman" w:eastAsia="方正仿宋_GBK" w:cs="Times New Roman"/>
          <w:kern w:val="0"/>
          <w:sz w:val="32"/>
          <w:szCs w:val="32"/>
          <w:shd w:val="clear" w:color="auto" w:fill="FFFFFF"/>
          <w:lang w:val="en-US" w:eastAsia="zh-CN"/>
        </w:rPr>
        <w:t>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4年度无政府性基金预算财政拨款收支。</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本单</w:t>
      </w:r>
      <w:r>
        <w:rPr>
          <w:rFonts w:hint="eastAsia" w:ascii="Times New Roman" w:hAnsi="Times New Roman" w:eastAsia="方正仿宋_GBK" w:cs="Times New Roman"/>
          <w:kern w:val="0"/>
          <w:sz w:val="32"/>
          <w:szCs w:val="32"/>
          <w:shd w:val="clear" w:color="auto" w:fill="FFFFFF"/>
          <w:lang w:val="en-US" w:eastAsia="zh-CN"/>
        </w:rPr>
        <w:t>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4年度无国有资本经营预算财政拨款支出。</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方正黑体_GBK"/>
          <w:kern w:val="0"/>
          <w:sz w:val="32"/>
          <w:szCs w:val="32"/>
          <w:shd w:val="clear" w:color="auto" w:fill="FFFFFF"/>
        </w:rPr>
      </w:pPr>
      <w:r>
        <w:rPr>
          <w:rStyle w:val="11"/>
          <w:rFonts w:hint="eastAsia" w:ascii="黑体" w:hAnsi="黑体" w:eastAsia="黑体" w:cs="黑体"/>
          <w:kern w:val="0"/>
          <w:sz w:val="32"/>
          <w:szCs w:val="32"/>
          <w:shd w:val="clear" w:color="auto" w:fill="FFFFFF"/>
          <w:lang w:val="en-US" w:eastAsia="zh-CN" w:bidi="ar-SA"/>
        </w:rPr>
        <w:t>三、“三公”经费情况说明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（一）“三公”经费支出总体情况说明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2024年度“三公”经费支出共计0.08万元，较年初预算数减少0.42万元，下降84.0%，</w:t>
      </w:r>
      <w:r>
        <w:rPr>
          <w:rFonts w:hint="eastAsia" w:ascii="Times New Roman" w:hAnsi="Times New Roman" w:eastAsia="方正仿宋_GBK" w:cs="Times New Roman"/>
          <w:kern w:val="0"/>
          <w:sz w:val="32"/>
          <w:szCs w:val="32"/>
          <w:shd w:val="clear" w:color="auto" w:fill="FFFFFF"/>
          <w:lang w:val="en-US" w:eastAsia="zh-CN"/>
        </w:rPr>
        <w:t>主要原因是严格按照各项规定执行，厉行节约</w:t>
      </w:r>
      <w:r>
        <w:rPr>
          <w:rFonts w:hint="eastAsia" w:ascii="Times New Roman" w:hAnsi="Times New Roman" w:eastAsia="方正仿宋_GBK" w:cs="Times New Roman"/>
          <w:kern w:val="0"/>
          <w:sz w:val="32"/>
          <w:szCs w:val="32"/>
          <w:shd w:val="clear" w:color="auto" w:fill="FFFFFF"/>
          <w:lang w:val="en-US" w:eastAsia="zh-CN"/>
        </w:rPr>
        <w:t>控制各项经费支出。较上年支出数无增减。</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（二）“三公”经费分项支出情况</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4年度本单位因公出国（境）费用</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万元，主要是本单位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4年无因公出国（境）</w:t>
      </w:r>
      <w:r>
        <w:rPr>
          <w:rFonts w:hint="eastAsia" w:ascii="Times New Roman" w:hAnsi="Times New Roman" w:eastAsia="方正仿宋_GBK" w:cs="Times New Roman"/>
          <w:kern w:val="0"/>
          <w:sz w:val="32"/>
          <w:szCs w:val="32"/>
          <w:shd w:val="clear" w:color="auto" w:fill="FFFFFF"/>
          <w:lang w:val="en-US" w:eastAsia="zh-CN"/>
        </w:rPr>
        <w:t>的安排，未发生支出。费用支出较年初预算数和上年支出数无增减。</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公务车购置费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万元，主要是本单位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4年度未发生公务车购置费。费用支出较年初预算数和上年支出数无增减。</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公务车运行维护</w:t>
      </w:r>
      <w:r>
        <w:rPr>
          <w:rFonts w:hint="eastAsia" w:ascii="Times New Roman" w:hAnsi="Times New Roman" w:eastAsia="方正仿宋_GBK" w:cs="Times New Roman"/>
          <w:kern w:val="0"/>
          <w:sz w:val="32"/>
          <w:szCs w:val="32"/>
          <w:shd w:val="clear" w:color="auto" w:fill="FFFFFF"/>
          <w:lang w:val="en-US" w:eastAsia="zh-CN"/>
        </w:rPr>
        <w:t>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万元，主要是本单位</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4年度未发生公务车运行维护费。费用支出较年初预算数和上年支出数无增减。</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公务接待</w:t>
      </w:r>
      <w:r>
        <w:rPr>
          <w:rFonts w:hint="eastAsia" w:ascii="Times New Roman" w:hAnsi="Times New Roman" w:eastAsia="方正仿宋_GBK" w:cs="Times New Roman"/>
          <w:kern w:val="0"/>
          <w:sz w:val="32"/>
          <w:szCs w:val="32"/>
          <w:shd w:val="clear" w:color="auto" w:fill="FFFFFF"/>
          <w:lang w:val="en-US" w:eastAsia="zh-CN"/>
        </w:rPr>
        <w:t>费</w:t>
      </w:r>
      <w:r>
        <w:rPr>
          <w:rFonts w:hint="default" w:ascii="Times New Roman" w:hAnsi="Times New Roman" w:eastAsia="方正仿宋_GBK" w:cs="Times New Roman"/>
          <w:kern w:val="0"/>
          <w:sz w:val="32"/>
          <w:szCs w:val="32"/>
          <w:shd w:val="clear" w:color="auto" w:fill="FFFFFF"/>
          <w:lang w:val="en-US" w:eastAsia="zh-CN"/>
        </w:rPr>
        <w:t>0.0</w:t>
      </w:r>
      <w:r>
        <w:rPr>
          <w:rFonts w:hint="eastAsia" w:ascii="Times New Roman" w:hAnsi="Times New Roman" w:eastAsia="方正仿宋_GBK" w:cs="Times New Roman"/>
          <w:kern w:val="0"/>
          <w:sz w:val="32"/>
          <w:szCs w:val="32"/>
          <w:shd w:val="clear" w:color="auto" w:fill="FFFFFF"/>
          <w:lang w:val="en-US" w:eastAsia="zh-CN"/>
        </w:rPr>
        <w:t>8万元，主要用于接待外单位检查工作。费用支出较年初预算数减少0.42万元，下降84.0%，主要原因是严格遵守公务接待开支范围和开支标准，降低费用支出。较上年支出数无增减变化。</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（三）“三公”经费实</w:t>
      </w:r>
      <w:bookmarkStart w:id="0" w:name="_GoBack"/>
      <w:bookmarkEnd w:id="0"/>
      <w:r>
        <w:rPr>
          <w:rFonts w:hint="eastAsia" w:ascii="楷体" w:hAnsi="楷体" w:eastAsia="楷体" w:cs="楷体"/>
          <w:b/>
          <w:bCs/>
          <w:kern w:val="0"/>
          <w:sz w:val="32"/>
          <w:szCs w:val="32"/>
          <w:shd w:val="clear" w:color="auto" w:fill="FFFFFF"/>
          <w:lang w:val="en-US" w:eastAsia="zh-CN" w:bidi="ar-SA"/>
        </w:rPr>
        <w:t>物量情况</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4年度本单位因公出国（境）共计</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个团组，</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人；公务用车购置</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辆，公务车保有量为</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辆；国内公务接待2批次15人，其中：国内外事接待</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批次，</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人；国（境）外公务接待</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批次，</w:t>
      </w:r>
      <w:r>
        <w:rPr>
          <w:rFonts w:hint="default" w:ascii="Times New Roman" w:hAnsi="Times New Roman" w:eastAsia="方正仿宋_GBK" w:cs="Times New Roman"/>
          <w:kern w:val="0"/>
          <w:sz w:val="32"/>
          <w:szCs w:val="32"/>
          <w:shd w:val="clear" w:color="auto" w:fill="FFFFFF"/>
          <w:lang w:val="en-US" w:eastAsia="zh-CN"/>
        </w:rPr>
        <w:t>0</w:t>
      </w:r>
      <w:r>
        <w:rPr>
          <w:rFonts w:hint="eastAsia" w:ascii="Times New Roman" w:hAnsi="Times New Roman" w:eastAsia="方正仿宋_GBK" w:cs="Times New Roman"/>
          <w:kern w:val="0"/>
          <w:sz w:val="32"/>
          <w:szCs w:val="32"/>
          <w:shd w:val="clear" w:color="auto" w:fill="FFFFFF"/>
          <w:lang w:val="en-US" w:eastAsia="zh-CN"/>
        </w:rPr>
        <w:t>人。</w:t>
      </w:r>
      <w:r>
        <w:rPr>
          <w:rFonts w:hint="default" w:ascii="Times New Roman" w:hAnsi="Times New Roman" w:eastAsia="方正仿宋_GBK" w:cs="Times New Roman"/>
          <w:kern w:val="0"/>
          <w:sz w:val="32"/>
          <w:szCs w:val="32"/>
          <w:shd w:val="clear" w:color="auto" w:fill="FFFFFF"/>
          <w:lang w:val="en-US" w:eastAsia="zh-CN"/>
        </w:rPr>
        <w:t>202</w:t>
      </w:r>
      <w:r>
        <w:rPr>
          <w:rFonts w:hint="eastAsia" w:ascii="Times New Roman" w:hAnsi="Times New Roman" w:eastAsia="方正仿宋_GBK" w:cs="Times New Roman"/>
          <w:kern w:val="0"/>
          <w:sz w:val="32"/>
          <w:szCs w:val="32"/>
          <w:shd w:val="clear" w:color="auto" w:fill="FFFFFF"/>
          <w:lang w:val="en-US" w:eastAsia="zh-CN"/>
        </w:rPr>
        <w:t>4年本单位人均接待费54.80元，车均购置费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万元，车均维护费</w:t>
      </w:r>
      <w:r>
        <w:rPr>
          <w:rFonts w:hint="default" w:ascii="Times New Roman" w:hAnsi="Times New Roman" w:eastAsia="方正仿宋_GBK" w:cs="Times New Roman"/>
          <w:kern w:val="0"/>
          <w:sz w:val="32"/>
          <w:szCs w:val="32"/>
          <w:shd w:val="clear" w:color="auto" w:fill="FFFFFF"/>
          <w:lang w:val="en-US" w:eastAsia="zh-CN"/>
        </w:rPr>
        <w:t>0.00</w:t>
      </w:r>
      <w:r>
        <w:rPr>
          <w:rFonts w:hint="eastAsia" w:ascii="Times New Roman" w:hAnsi="Times New Roman" w:eastAsia="方正仿宋_GBK" w:cs="Times New Roman"/>
          <w:kern w:val="0"/>
          <w:sz w:val="32"/>
          <w:szCs w:val="32"/>
          <w:shd w:val="clear" w:color="auto" w:fill="FFFFFF"/>
          <w:lang w:val="en-US" w:eastAsia="zh-CN"/>
        </w:rPr>
        <w:t>万元。</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（一）财政拨款会议费和培训费情况说明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w:t>
      </w:r>
      <w:r>
        <w:rPr>
          <w:rFonts w:hint="default" w:ascii="Times New Roman" w:hAnsi="Times New Roman" w:eastAsia="方正仿宋_GBK" w:cs="Times New Roman"/>
          <w:kern w:val="0"/>
          <w:sz w:val="32"/>
          <w:szCs w:val="32"/>
          <w:shd w:val="clear" w:color="auto" w:fill="FFFFFF"/>
          <w:lang w:val="en-US" w:eastAsia="zh-CN"/>
        </w:rPr>
        <w:t>出0.00万元，与2023年度相比，无增减，主要原因是</w:t>
      </w:r>
      <w:r>
        <w:rPr>
          <w:rFonts w:hint="eastAsia" w:ascii="Times New Roman" w:hAnsi="Times New Roman" w:eastAsia="方正仿宋_GBK" w:cs="Times New Roman"/>
          <w:kern w:val="0"/>
          <w:sz w:val="32"/>
          <w:szCs w:val="32"/>
          <w:shd w:val="clear" w:color="auto" w:fill="FFFFFF"/>
          <w:lang w:val="en-US" w:eastAsia="zh-CN"/>
        </w:rPr>
        <w:t>2023年和2024年都未发生会议费。</w:t>
      </w:r>
      <w:r>
        <w:rPr>
          <w:rFonts w:hint="default" w:ascii="Times New Roman" w:hAnsi="Times New Roman" w:eastAsia="方正仿宋_GBK" w:cs="Times New Roman"/>
          <w:kern w:val="0"/>
          <w:sz w:val="32"/>
          <w:szCs w:val="32"/>
          <w:shd w:val="clear" w:color="auto" w:fill="FFFFFF"/>
          <w:lang w:val="en-US" w:eastAsia="zh-CN"/>
        </w:rPr>
        <w:t>本年度培训费支出0.00万元，与2023年度相比，无变化，主要原因是</w:t>
      </w:r>
      <w:r>
        <w:rPr>
          <w:rFonts w:hint="eastAsia" w:ascii="Times New Roman" w:hAnsi="Times New Roman" w:eastAsia="方正仿宋_GBK" w:cs="Times New Roman"/>
          <w:kern w:val="0"/>
          <w:sz w:val="32"/>
          <w:szCs w:val="32"/>
          <w:shd w:val="clear" w:color="auto" w:fill="FFFFFF"/>
          <w:lang w:val="en-US" w:eastAsia="zh-CN"/>
        </w:rPr>
        <w:t>2023年和2024年都未发生培训费。</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（二）机关运行经费支出情况说明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color w:val="FF0000"/>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按照部门决算列报口径，我单位不在机关运行经费统计范围之内。</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本单位是</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九龙坡区农业农村委员会下属事业单位，国有资产占有使用情况在</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九龙坡区农业农村委员会（本级）统一反映。</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bCs/>
          <w:kern w:val="0"/>
          <w:sz w:val="32"/>
          <w:szCs w:val="32"/>
          <w:shd w:val="clear" w:color="auto" w:fill="FFFFFF"/>
        </w:rPr>
      </w:pPr>
      <w:r>
        <w:rPr>
          <w:rFonts w:hint="eastAsia" w:ascii="楷体" w:hAnsi="楷体" w:eastAsia="楷体" w:cs="楷体"/>
          <w:b/>
          <w:bCs/>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2024</w:t>
      </w:r>
      <w:r>
        <w:rPr>
          <w:rFonts w:hint="eastAsia" w:ascii="方正仿宋_GBK" w:hAnsi="方正仿宋_GBK" w:eastAsia="方正仿宋_GBK" w:cs="方正仿宋_GBK"/>
          <w:kern w:val="0"/>
          <w:sz w:val="32"/>
          <w:szCs w:val="32"/>
          <w:shd w:val="clear" w:fill="FFFFFF"/>
          <w:lang w:val="en-US" w:eastAsia="zh-CN"/>
        </w:rPr>
        <w:t>年度我单位未发生政府采购事项，无相关经费支出。</w:t>
      </w:r>
      <w:r>
        <w:rPr>
          <w:rFonts w:hint="eastAsia" w:ascii="方正仿宋_GBK" w:hAnsi="方正仿宋_GBK" w:eastAsia="方正仿宋_GBK" w:cs="方正仿宋_GBK"/>
          <w:kern w:val="0"/>
          <w:sz w:val="32"/>
          <w:szCs w:val="32"/>
          <w:shd w:val="clear" w:color="auto" w:fill="FFFFFF"/>
        </w:rPr>
        <w:t>本单位是</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九龙坡区农业农村委员会下属事业单位，政府采购预算由</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九龙坡区农业农村委员会（本级）统一编制。</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本单位是</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九龙坡区农业农村委员会下属事业单位，项目支出预算由</w:t>
      </w:r>
      <w:r>
        <w:rPr>
          <w:rFonts w:hint="eastAsia" w:ascii="方正仿宋_GBK" w:hAnsi="方正仿宋_GBK" w:eastAsia="方正仿宋_GBK" w:cs="方正仿宋_GBK"/>
          <w:kern w:val="0"/>
          <w:sz w:val="32"/>
          <w:szCs w:val="32"/>
          <w:shd w:val="clear" w:color="auto" w:fill="FFFFFF"/>
          <w:lang w:val="en-US" w:eastAsia="zh-CN"/>
        </w:rPr>
        <w:t>重庆市</w:t>
      </w:r>
      <w:r>
        <w:rPr>
          <w:rFonts w:hint="eastAsia" w:ascii="方正仿宋_GBK" w:hAnsi="方正仿宋_GBK" w:eastAsia="方正仿宋_GBK" w:cs="方正仿宋_GBK"/>
          <w:kern w:val="0"/>
          <w:sz w:val="32"/>
          <w:szCs w:val="32"/>
          <w:shd w:val="clear" w:color="auto" w:fill="FFFFFF"/>
        </w:rPr>
        <w:t>九龙坡区农业农村委员会统一编制，故本单位无绩效目标设置情况。</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宋体"/>
          <w:b/>
          <w:bCs/>
          <w:kern w:val="0"/>
          <w:sz w:val="32"/>
          <w:szCs w:val="32"/>
          <w:shd w:val="clear" w:color="auto" w:fill="FFFFFF"/>
        </w:rPr>
      </w:pPr>
      <w:r>
        <w:rPr>
          <w:rStyle w:val="11"/>
          <w:rFonts w:hint="eastAsia" w:ascii="黑体" w:hAnsi="黑体" w:eastAsia="黑体" w:cs="黑体"/>
          <w:kern w:val="0"/>
          <w:sz w:val="32"/>
          <w:szCs w:val="32"/>
          <w:shd w:val="clear" w:color="auto" w:fill="FFFFFF"/>
          <w:lang w:val="en-US" w:eastAsia="zh-CN" w:bidi="ar-SA"/>
        </w:rPr>
        <w:t>六、专业名词解释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shd w:val="clear" w:color="auto" w:fill="FFFFFF"/>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0"/>
          <w:sz w:val="32"/>
          <w:szCs w:val="32"/>
          <w:shd w:val="clear" w:color="auto" w:fill="FFFFFF"/>
        </w:rPr>
        <w:t>。</w:t>
      </w:r>
    </w:p>
    <w:p>
      <w:pPr>
        <w:keepNext w:val="0"/>
        <w:keepLines w:val="0"/>
        <w:pageBreakBefore w:val="0"/>
        <w:widowControl w:val="0"/>
        <w:suppressLineNumbers w:val="0"/>
        <w:shd w:val="clear" w:color="auto" w:fill="FFFFFF"/>
        <w:kinsoku/>
        <w:wordWrap/>
        <w:overflowPunct/>
        <w:topLinePunct w:val="0"/>
        <w:autoSpaceDE/>
        <w:autoSpaceDN w:val="0"/>
        <w:bidi w:val="0"/>
        <w:adjustRightInd/>
        <w:snapToGrid/>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val="0"/>
        <w:suppressLineNumbers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rPr>
      </w:pPr>
      <w:r>
        <w:rPr>
          <w:rFonts w:hint="eastAsia" w:ascii="方正仿宋_GBK" w:hAnsi="方正仿宋_GBK" w:eastAsia="方正仿宋_GBK" w:cs="方正仿宋_GBK"/>
          <w:kern w:val="0"/>
          <w:sz w:val="32"/>
          <w:szCs w:val="32"/>
          <w:shd w:val="clear" w:color="auto" w:fill="FFFFFF"/>
        </w:rPr>
        <w:t>本单位决算公开信息反馈和联系方式：</w:t>
      </w:r>
      <w:r>
        <w:rPr>
          <w:rFonts w:hint="eastAsia" w:ascii="Times New Roman" w:hAnsi="Times New Roman" w:eastAsia="方正仿宋_GBK" w:cs="Times New Roman"/>
          <w:kern w:val="0"/>
          <w:sz w:val="32"/>
          <w:szCs w:val="32"/>
          <w:shd w:val="clear" w:color="auto" w:fill="FFFFFF"/>
          <w:lang w:val="en-US" w:eastAsia="zh-CN" w:bidi="ar-SA"/>
        </w:rPr>
        <w:t>023-68827534</w:t>
      </w: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15202" w:type="dxa"/>
        <w:tblInd w:w="0" w:type="dxa"/>
        <w:tblLayout w:type="fixed"/>
        <w:tblCellMar>
          <w:top w:w="0" w:type="dxa"/>
          <w:left w:w="0" w:type="dxa"/>
          <w:bottom w:w="0" w:type="dxa"/>
          <w:right w:w="0" w:type="dxa"/>
        </w:tblCellMar>
      </w:tblPr>
      <w:tblGrid>
        <w:gridCol w:w="4294"/>
        <w:gridCol w:w="3558"/>
        <w:gridCol w:w="4140"/>
        <w:gridCol w:w="3210"/>
      </w:tblGrid>
      <w:tr>
        <w:tblPrEx>
          <w:tblCellMar>
            <w:top w:w="0" w:type="dxa"/>
            <w:left w:w="0" w:type="dxa"/>
            <w:bottom w:w="0" w:type="dxa"/>
            <w:right w:w="0" w:type="dxa"/>
          </w:tblCellMar>
        </w:tblPrEx>
        <w:trPr>
          <w:trHeight w:val="232" w:hRule="atLeast"/>
        </w:trPr>
        <w:tc>
          <w:tcPr>
            <w:tcW w:w="1520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1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1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重庆市九龙坡区动物疫病预防控制中心</w:t>
            </w:r>
          </w:p>
        </w:tc>
        <w:tc>
          <w:tcPr>
            <w:tcW w:w="41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21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35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173.58</w:t>
            </w: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173.58</w:t>
            </w: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2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21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173.58</w:t>
            </w:r>
            <w:r>
              <w:rPr>
                <w:rFonts w:ascii="Times New Roman" w:hAnsi="Times New Roman"/>
                <w:color w:val="000000"/>
                <w:sz w:val="20"/>
                <w:u w:color="auto"/>
              </w:rPr>
              <w:t xml:space="preserve"> </w:t>
            </w:r>
          </w:p>
        </w:tc>
        <w:tc>
          <w:tcPr>
            <w:tcW w:w="414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173.58</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rPr>
          <w:rFonts w:hint="default" w:cs="宋体"/>
          <w:sz w:val="21"/>
          <w:szCs w:val="21"/>
        </w:rPr>
      </w:pPr>
    </w:p>
    <w:tbl>
      <w:tblPr>
        <w:tblStyle w:val="9"/>
        <w:tblW w:w="15312"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31"/>
      </w:tblGrid>
      <w:tr>
        <w:tblPrEx>
          <w:tblCellMar>
            <w:top w:w="0" w:type="dxa"/>
            <w:left w:w="0" w:type="dxa"/>
            <w:bottom w:w="0" w:type="dxa"/>
            <w:right w:w="0" w:type="dxa"/>
          </w:tblCellMar>
        </w:tblPrEx>
        <w:trPr>
          <w:trHeight w:val="641" w:hRule="atLeast"/>
        </w:trPr>
        <w:tc>
          <w:tcPr>
            <w:tcW w:w="15312"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cs="宋体"/>
                <w:color w:val="000000"/>
                <w:sz w:val="20"/>
                <w:szCs w:val="20"/>
              </w:rPr>
            </w:pPr>
            <w:r>
              <w:rPr>
                <w:rFonts w:cs="宋体"/>
                <w:sz w:val="20"/>
                <w:szCs w:val="20"/>
              </w:rPr>
              <w:t>单位：</w:t>
            </w:r>
            <w:r>
              <w:rPr>
                <w:sz w:val="20"/>
                <w:u w:color="auto"/>
              </w:rPr>
              <w:t>重庆市九龙坡区动物疫病预防控制中心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1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1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173.58</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农林水支出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农业农村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2130104</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240" w:lineRule="exact"/>
        <w:ind w:left="600" w:hanging="600" w:hangingChars="300"/>
        <w:rPr>
          <w:rFonts w:hint="eastAsia" w:eastAsia="宋体" w:cs="宋体"/>
          <w:sz w:val="20"/>
          <w:szCs w:val="20"/>
          <w:lang w:eastAsia="zh-CN"/>
        </w:rPr>
      </w:pPr>
      <w:r>
        <w:rPr>
          <w:rFonts w:cs="宋体"/>
          <w:sz w:val="20"/>
          <w:szCs w:val="20"/>
        </w:rPr>
        <w:t>备注：1.本表反映单位本年度取得的各项收入情况。</w:t>
      </w:r>
    </w:p>
    <w:p>
      <w:pPr>
        <w:keepNext w:val="0"/>
        <w:keepLines w:val="0"/>
        <w:pageBreakBefore w:val="0"/>
        <w:widowControl/>
        <w:kinsoku/>
        <w:overflowPunct/>
        <w:topLinePunct w:val="0"/>
        <w:autoSpaceDE/>
        <w:autoSpaceDN/>
        <w:bidi w:val="0"/>
        <w:adjustRightInd/>
        <w:snapToGrid/>
        <w:spacing w:line="240" w:lineRule="exact"/>
        <w:ind w:left="600" w:hanging="600" w:hangingChars="300"/>
        <w:rPr>
          <w:rFonts w:hint="default" w:cs="宋体"/>
          <w:sz w:val="20"/>
          <w:szCs w:val="20"/>
        </w:rPr>
      </w:pPr>
      <w:r>
        <w:rPr>
          <w:rFonts w:cs="宋体"/>
          <w:sz w:val="20"/>
          <w:szCs w:val="20"/>
        </w:rPr>
        <w:t>2.本套报表金额单位转换时可能存在尾数误差。</w:t>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重庆市九龙坡区动物疫病预防控制中心 </w:t>
            </w:r>
          </w:p>
        </w:tc>
        <w:tc>
          <w:tcPr>
            <w:tcW w:w="17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173.58</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173.58</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农林水支出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农业农村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r>
        <w:rPr>
          <w:rFonts w:cs="宋体"/>
          <w:sz w:val="20"/>
          <w:szCs w:val="20"/>
        </w:rPr>
        <w:t>备注：1.本表反映单位本年度各项支出情况。</w:t>
      </w:r>
    </w:p>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p>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p>
    <w:tbl>
      <w:tblPr>
        <w:tblStyle w:val="9"/>
        <w:tblW w:w="15282" w:type="dxa"/>
        <w:tblInd w:w="0" w:type="dxa"/>
        <w:tblLayout w:type="fixed"/>
        <w:tblCellMar>
          <w:top w:w="0" w:type="dxa"/>
          <w:left w:w="0" w:type="dxa"/>
          <w:bottom w:w="0" w:type="dxa"/>
          <w:right w:w="0" w:type="dxa"/>
        </w:tblCellMar>
      </w:tblPr>
      <w:tblGrid>
        <w:gridCol w:w="2967"/>
        <w:gridCol w:w="1521"/>
        <w:gridCol w:w="3179"/>
        <w:gridCol w:w="1694"/>
        <w:gridCol w:w="1946"/>
        <w:gridCol w:w="2070"/>
        <w:gridCol w:w="1905"/>
      </w:tblGrid>
      <w:tr>
        <w:tblPrEx>
          <w:tblCellMar>
            <w:top w:w="0" w:type="dxa"/>
            <w:left w:w="0" w:type="dxa"/>
            <w:bottom w:w="0" w:type="dxa"/>
            <w:right w:w="0" w:type="dxa"/>
          </w:tblCellMar>
        </w:tblPrEx>
        <w:trPr>
          <w:trHeight w:val="90" w:hRule="atLeast"/>
        </w:trPr>
        <w:tc>
          <w:tcPr>
            <w:tcW w:w="1528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重庆市九龙坡区动物疫病预防控制中心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7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0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7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0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79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1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w:t>
            </w:r>
          </w:p>
          <w:p>
            <w:pPr>
              <w:spacing w:line="200" w:lineRule="exact"/>
              <w:jc w:val="center"/>
              <w:textAlignment w:val="center"/>
              <w:rPr>
                <w:rFonts w:hint="default" w:cs="宋体"/>
                <w:b/>
                <w:color w:val="000000"/>
                <w:sz w:val="18"/>
                <w:szCs w:val="18"/>
              </w:rPr>
            </w:pPr>
            <w:r>
              <w:rPr>
                <w:rFonts w:cs="宋体"/>
                <w:b/>
                <w:color w:val="000000"/>
                <w:sz w:val="18"/>
                <w:szCs w:val="18"/>
              </w:rPr>
              <w:t>财政拨款</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w:t>
            </w:r>
          </w:p>
          <w:p>
            <w:pPr>
              <w:spacing w:line="200" w:lineRule="exact"/>
              <w:jc w:val="center"/>
              <w:textAlignment w:val="center"/>
              <w:rPr>
                <w:rFonts w:hint="default" w:cs="宋体"/>
                <w:b/>
                <w:color w:val="000000"/>
                <w:sz w:val="18"/>
                <w:szCs w:val="18"/>
              </w:rPr>
            </w:pP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28.97</w:t>
            </w: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28.97</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124.49</w:t>
            </w: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124.49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w:t>
            </w: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173.58</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重庆市九龙坡区动物疫病预防控制中心</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18.83</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124.49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重庆市九龙坡区动物疫病预防控制中心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139.57</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重庆市九龙坡区动物疫病预防控制中心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备注：本表反映单位本年度政府性基金预算财政拨款收入支出及结转和结余情况。本单位无政府性基金收支，故本表无数据。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重庆市九龙坡区动物疫病预防控制中心</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9"/>
        <w:tblW w:w="15252" w:type="dxa"/>
        <w:tblInd w:w="0" w:type="dxa"/>
        <w:tblLayout w:type="fixed"/>
        <w:tblCellMar>
          <w:top w:w="0" w:type="dxa"/>
          <w:left w:w="170" w:type="dxa"/>
          <w:bottom w:w="0" w:type="dxa"/>
          <w:right w:w="170" w:type="dxa"/>
        </w:tblCellMar>
      </w:tblPr>
      <w:tblGrid>
        <w:gridCol w:w="3179"/>
        <w:gridCol w:w="2415"/>
        <w:gridCol w:w="2376"/>
        <w:gridCol w:w="3674"/>
        <w:gridCol w:w="3608"/>
      </w:tblGrid>
      <w:tr>
        <w:tblPrEx>
          <w:tblCellMar>
            <w:top w:w="0" w:type="dxa"/>
            <w:left w:w="170" w:type="dxa"/>
            <w:bottom w:w="0" w:type="dxa"/>
            <w:right w:w="170" w:type="dxa"/>
          </w:tblCellMar>
        </w:tblPrEx>
        <w:trPr>
          <w:trHeight w:val="343" w:hRule="atLeast"/>
        </w:trPr>
        <w:tc>
          <w:tcPr>
            <w:tcW w:w="1525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608"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重庆市九龙坡区动物疫病预防控制中心</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60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rPr>
          <w:rFonts w:hint="eastAsia" w:eastAsia="宋体" w:cs="宋体"/>
          <w:sz w:val="18"/>
          <w:szCs w:val="18"/>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550ABE"/>
    <w:rsid w:val="007B419D"/>
    <w:rsid w:val="009B67B8"/>
    <w:rsid w:val="00B03CCD"/>
    <w:rsid w:val="01474EBF"/>
    <w:rsid w:val="019020B1"/>
    <w:rsid w:val="01F3521E"/>
    <w:rsid w:val="02056D00"/>
    <w:rsid w:val="02B95A9A"/>
    <w:rsid w:val="03A52548"/>
    <w:rsid w:val="03E3214F"/>
    <w:rsid w:val="04446191"/>
    <w:rsid w:val="044C50BA"/>
    <w:rsid w:val="04DF0707"/>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2C2F36"/>
    <w:rsid w:val="0F836721"/>
    <w:rsid w:val="103645A3"/>
    <w:rsid w:val="107B59E5"/>
    <w:rsid w:val="10AA219D"/>
    <w:rsid w:val="11003CB0"/>
    <w:rsid w:val="11124E18"/>
    <w:rsid w:val="111445C7"/>
    <w:rsid w:val="1158083A"/>
    <w:rsid w:val="11F03528"/>
    <w:rsid w:val="12771554"/>
    <w:rsid w:val="129973FF"/>
    <w:rsid w:val="12C921C4"/>
    <w:rsid w:val="12DA353E"/>
    <w:rsid w:val="13417B68"/>
    <w:rsid w:val="13850DCB"/>
    <w:rsid w:val="13871C70"/>
    <w:rsid w:val="13A71CB4"/>
    <w:rsid w:val="13AF1D43"/>
    <w:rsid w:val="13CE1647"/>
    <w:rsid w:val="14200702"/>
    <w:rsid w:val="14285EEF"/>
    <w:rsid w:val="144F3F11"/>
    <w:rsid w:val="146302F7"/>
    <w:rsid w:val="14BD6CF4"/>
    <w:rsid w:val="1580711B"/>
    <w:rsid w:val="16D80EBF"/>
    <w:rsid w:val="17987001"/>
    <w:rsid w:val="189B0D0B"/>
    <w:rsid w:val="18E03A42"/>
    <w:rsid w:val="19313430"/>
    <w:rsid w:val="194A1770"/>
    <w:rsid w:val="19B906A4"/>
    <w:rsid w:val="19BC4734"/>
    <w:rsid w:val="1A1F744B"/>
    <w:rsid w:val="1AB10093"/>
    <w:rsid w:val="1B501DE7"/>
    <w:rsid w:val="1B654FD7"/>
    <w:rsid w:val="1B6F15B6"/>
    <w:rsid w:val="1B7966EB"/>
    <w:rsid w:val="1BAA2EDC"/>
    <w:rsid w:val="1BC027C5"/>
    <w:rsid w:val="1CC57360"/>
    <w:rsid w:val="1CE157EE"/>
    <w:rsid w:val="1D014A01"/>
    <w:rsid w:val="1D022362"/>
    <w:rsid w:val="1D091B60"/>
    <w:rsid w:val="1D6D1692"/>
    <w:rsid w:val="1D794AE5"/>
    <w:rsid w:val="1DD26311"/>
    <w:rsid w:val="1DE57DAF"/>
    <w:rsid w:val="1EA547DD"/>
    <w:rsid w:val="1EF67CA4"/>
    <w:rsid w:val="1F213FD9"/>
    <w:rsid w:val="1FCD26AF"/>
    <w:rsid w:val="20250575"/>
    <w:rsid w:val="20642787"/>
    <w:rsid w:val="20C83310"/>
    <w:rsid w:val="20EC77A3"/>
    <w:rsid w:val="21556F04"/>
    <w:rsid w:val="216838F8"/>
    <w:rsid w:val="22403BD3"/>
    <w:rsid w:val="23DE3F80"/>
    <w:rsid w:val="24AF1021"/>
    <w:rsid w:val="24B92327"/>
    <w:rsid w:val="24D3717D"/>
    <w:rsid w:val="2533755C"/>
    <w:rsid w:val="26396DF4"/>
    <w:rsid w:val="266B763B"/>
    <w:rsid w:val="27167136"/>
    <w:rsid w:val="27B23302"/>
    <w:rsid w:val="27D424D7"/>
    <w:rsid w:val="285722C3"/>
    <w:rsid w:val="28DC1FF8"/>
    <w:rsid w:val="29310A5F"/>
    <w:rsid w:val="297C7810"/>
    <w:rsid w:val="29C37A35"/>
    <w:rsid w:val="2A076083"/>
    <w:rsid w:val="2A2D6E1C"/>
    <w:rsid w:val="2A306CA5"/>
    <w:rsid w:val="2A73162E"/>
    <w:rsid w:val="2AFA2E94"/>
    <w:rsid w:val="2B167953"/>
    <w:rsid w:val="2B200583"/>
    <w:rsid w:val="2B4104F9"/>
    <w:rsid w:val="2B8209DE"/>
    <w:rsid w:val="2C6762A3"/>
    <w:rsid w:val="2D5F4C37"/>
    <w:rsid w:val="2D8D14D9"/>
    <w:rsid w:val="2D8D7A26"/>
    <w:rsid w:val="2F692E67"/>
    <w:rsid w:val="2FE029D7"/>
    <w:rsid w:val="2FF06E00"/>
    <w:rsid w:val="312B13AA"/>
    <w:rsid w:val="315F0B22"/>
    <w:rsid w:val="31BE24D6"/>
    <w:rsid w:val="31D84415"/>
    <w:rsid w:val="32285F6F"/>
    <w:rsid w:val="32770556"/>
    <w:rsid w:val="32981A44"/>
    <w:rsid w:val="329C0913"/>
    <w:rsid w:val="3337290D"/>
    <w:rsid w:val="334B0167"/>
    <w:rsid w:val="35076329"/>
    <w:rsid w:val="352930DB"/>
    <w:rsid w:val="35573069"/>
    <w:rsid w:val="358C217E"/>
    <w:rsid w:val="359E7284"/>
    <w:rsid w:val="359F188C"/>
    <w:rsid w:val="36C9128A"/>
    <w:rsid w:val="37841E99"/>
    <w:rsid w:val="379C594F"/>
    <w:rsid w:val="37BF1123"/>
    <w:rsid w:val="37C85E36"/>
    <w:rsid w:val="387555B8"/>
    <w:rsid w:val="38BC1135"/>
    <w:rsid w:val="38BE4696"/>
    <w:rsid w:val="39B82A39"/>
    <w:rsid w:val="39F33306"/>
    <w:rsid w:val="3A1D786B"/>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3FEB3375"/>
    <w:rsid w:val="4004000C"/>
    <w:rsid w:val="4051041F"/>
    <w:rsid w:val="411B6CE5"/>
    <w:rsid w:val="412070D7"/>
    <w:rsid w:val="41314E40"/>
    <w:rsid w:val="415C674B"/>
    <w:rsid w:val="41ED2E3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6053DE"/>
    <w:rsid w:val="598A28E2"/>
    <w:rsid w:val="5A6279C1"/>
    <w:rsid w:val="5AD563E4"/>
    <w:rsid w:val="5C1336B7"/>
    <w:rsid w:val="5C263CE4"/>
    <w:rsid w:val="5C5D2777"/>
    <w:rsid w:val="5C722D7F"/>
    <w:rsid w:val="5D290C69"/>
    <w:rsid w:val="5DC17CC6"/>
    <w:rsid w:val="5EFA176D"/>
    <w:rsid w:val="5F0247F9"/>
    <w:rsid w:val="5F2D4A41"/>
    <w:rsid w:val="5F333950"/>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33CDC"/>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905712"/>
    <w:rsid w:val="71C34D91"/>
    <w:rsid w:val="71ED38AA"/>
    <w:rsid w:val="723F3B65"/>
    <w:rsid w:val="72DB435C"/>
    <w:rsid w:val="738549F4"/>
    <w:rsid w:val="74ED1B1B"/>
    <w:rsid w:val="750837F0"/>
    <w:rsid w:val="762A73EF"/>
    <w:rsid w:val="7631412E"/>
    <w:rsid w:val="764F41E3"/>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B45B89"/>
    <w:rsid w:val="7BD06A28"/>
    <w:rsid w:val="7C0C5586"/>
    <w:rsid w:val="7C1E4CD7"/>
    <w:rsid w:val="7C3A7C0B"/>
    <w:rsid w:val="7C5248E4"/>
    <w:rsid w:val="7C566698"/>
    <w:rsid w:val="7CE56AF6"/>
    <w:rsid w:val="7CF02E5B"/>
    <w:rsid w:val="7D213FB2"/>
    <w:rsid w:val="7D364A48"/>
    <w:rsid w:val="7D9615AC"/>
    <w:rsid w:val="7FF723E4"/>
    <w:rsid w:val="EEFB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18"/>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8209</Words>
  <Characters>10434</Characters>
  <Lines>161</Lines>
  <Paragraphs>45</Paragraphs>
  <TotalTime>0</TotalTime>
  <ScaleCrop>false</ScaleCrop>
  <LinksUpToDate>false</LinksUpToDate>
  <CharactersWithSpaces>11467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cp:lastPrinted>2025-10-27T11:28:00Z</cp:lastPrinted>
  <dcterms:modified xsi:type="dcterms:W3CDTF">2025-10-29T15:07:45Z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