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重庆市九龙坡区农村经营管理站</w:t>
      </w:r>
    </w:p>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2024年度单位决算情况说明</w:t>
      </w:r>
    </w:p>
    <w:p>
      <w:pPr>
        <w:pStyle w:val="13"/>
        <w:keepNext w:val="0"/>
        <w:keepLines w:val="0"/>
        <w:widowControl/>
        <w:suppressLineNumbers w:val="0"/>
        <w:spacing w:before="0" w:beforeAutospacing="0" w:after="0" w:afterAutospacing="0" w:line="600" w:lineRule="exact"/>
        <w:ind w:left="0"/>
        <w:jc w:val="left"/>
        <w:rPr>
          <w:rFonts w:hint="default" w:ascii="Times New Roman" w:hAnsi="Times New Roman" w:eastAsia="宋体" w:cs="Times New Roman"/>
          <w:b/>
          <w:kern w:val="0"/>
          <w:sz w:val="24"/>
          <w:szCs w:val="24"/>
          <w:shd w:val="clear" w:fill="FFFFFF"/>
        </w:rPr>
      </w:pPr>
      <w:r>
        <w:rPr>
          <w:rStyle w:val="16"/>
          <w:rFonts w:hint="default" w:ascii="Times New Roman" w:hAnsi="Times New Roman" w:eastAsia="宋体" w:cs="Times New Roman"/>
          <w:b/>
          <w:shd w:val="clear" w:fill="FFFFFF"/>
        </w:rPr>
        <w:t xml:space="preserve"> </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val="0"/>
          <w:kern w:val="0"/>
          <w:sz w:val="32"/>
          <w:szCs w:val="32"/>
        </w:rPr>
      </w:pPr>
      <w:r>
        <w:rPr>
          <w:rStyle w:val="11"/>
          <w:rFonts w:hint="eastAsia" w:ascii="黑体" w:hAnsi="黑体" w:eastAsia="黑体" w:cs="黑体"/>
          <w:kern w:val="0"/>
          <w:sz w:val="32"/>
          <w:szCs w:val="32"/>
          <w:shd w:val="clear" w:color="auto" w:fill="FFFFFF"/>
          <w:lang w:val="en-US" w:eastAsia="zh-CN" w:bidi="ar-SA"/>
        </w:rPr>
        <w:t>一、部门基本情况</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rPr>
      </w:pPr>
      <w:r>
        <w:rPr>
          <w:rFonts w:hint="eastAsia" w:ascii="楷体" w:hAnsi="楷体" w:eastAsia="楷体" w:cs="楷体"/>
          <w:b/>
          <w:bCs/>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rPr>
        <w:t>承担农村集体产权制度改革工作；承担农村经济统计工作；具体指导农村集体资产、农村合作经济组织的发展与管理；承担监督农村集体经济财务管理相关工作；组织对农村经</w:t>
      </w:r>
      <w:r>
        <w:rPr>
          <w:rFonts w:hint="eastAsia" w:ascii="方正仿宋_GBK" w:hAnsi="方正仿宋_GBK" w:eastAsia="方正仿宋_GBK" w:cs="方正仿宋_GBK"/>
          <w:b w:val="0"/>
          <w:kern w:val="0"/>
          <w:sz w:val="32"/>
          <w:szCs w:val="32"/>
        </w:rPr>
        <w:t>济收支、农民收入及农民负担情况的监测和农民负担监督管理工作；负责农民承包地改革和管理有关工作，承担农村土地承包有关具体事务，依法合理调处土地承包纠纷、仲裁管理；承担农村经</w:t>
      </w:r>
      <w:r>
        <w:rPr>
          <w:rFonts w:hint="eastAsia" w:ascii="方正仿宋_GBK" w:hAnsi="方正仿宋_GBK" w:eastAsia="方正仿宋_GBK" w:cs="方正仿宋_GBK"/>
          <w:kern w:val="0"/>
          <w:sz w:val="32"/>
          <w:szCs w:val="32"/>
        </w:rPr>
        <w:t>营体系建设相关工作；具体承担农村经营法律法规和政策制度宣传工作；</w:t>
      </w:r>
      <w:r>
        <w:rPr>
          <w:rFonts w:hint="eastAsia" w:ascii="方正仿宋_GBK" w:hAnsi="方正仿宋_GBK" w:eastAsia="方正仿宋_GBK" w:cs="方正仿宋_GBK"/>
          <w:b w:val="0"/>
          <w:kern w:val="0"/>
          <w:sz w:val="32"/>
          <w:szCs w:val="32"/>
        </w:rPr>
        <w:t>牵头农业产业扶贫；</w:t>
      </w:r>
      <w:r>
        <w:rPr>
          <w:rFonts w:hint="eastAsia" w:ascii="方正仿宋_GBK" w:hAnsi="方正仿宋_GBK" w:eastAsia="方正仿宋_GBK" w:cs="方正仿宋_GBK"/>
          <w:kern w:val="0"/>
          <w:sz w:val="32"/>
          <w:szCs w:val="32"/>
        </w:rPr>
        <w:t>完成区委农业农村工委、区农业农村委交办的其他任务。</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rPr>
      </w:pPr>
      <w:r>
        <w:rPr>
          <w:rFonts w:hint="eastAsia" w:ascii="楷体" w:hAnsi="楷体" w:eastAsia="楷体" w:cs="楷体"/>
          <w:b/>
          <w:bCs/>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shd w:val="clear" w:fill="FFFFFF"/>
        </w:rPr>
        <w:t>重庆市九龙坡区农村经营管理站为重庆市九龙坡区农业农村委员会下属事业单位，属二</w:t>
      </w:r>
      <w:r>
        <w:rPr>
          <w:rFonts w:hint="eastAsia" w:ascii="方正仿宋_GBK" w:hAnsi="方正仿宋_GBK" w:eastAsia="方正仿宋_GBK" w:cs="方正仿宋_GBK"/>
          <w:kern w:val="0"/>
          <w:sz w:val="32"/>
          <w:szCs w:val="32"/>
        </w:rPr>
        <w:t>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fill="FFFFFF"/>
        </w:rPr>
        <w:t>从预算单位构成看，纳入本单</w:t>
      </w:r>
      <w:r>
        <w:rPr>
          <w:rFonts w:hint="eastAsia" w:ascii="Times New Roman" w:hAnsi="Times New Roman" w:eastAsia="方正仿宋_GBK" w:cs="Times New Roman"/>
          <w:kern w:val="0"/>
          <w:sz w:val="32"/>
          <w:szCs w:val="32"/>
          <w:shd w:val="clear" w:color="auto" w:fill="FFFFFF"/>
          <w:lang w:val="en-US" w:eastAsia="zh-CN"/>
        </w:rPr>
        <w:t>位2024</w:t>
      </w:r>
      <w:r>
        <w:rPr>
          <w:rFonts w:hint="eastAsia" w:ascii="方正仿宋_GBK" w:hAnsi="方正仿宋_GBK" w:eastAsia="方正仿宋_GBK" w:cs="方正仿宋_GBK"/>
          <w:kern w:val="0"/>
          <w:sz w:val="32"/>
          <w:szCs w:val="32"/>
          <w:shd w:val="clear" w:fill="FFFFFF"/>
        </w:rPr>
        <w:t>年度决算编制范围的二级预算单位为重庆市九龙坡区农村经营管理站。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default" w:ascii="Times New Roman" w:hAnsi="Times New Roman" w:eastAsia="方正仿宋_GBK" w:cs="Times New Roman"/>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总体情况。</w:t>
      </w:r>
      <w:r>
        <w:rPr>
          <w:rFonts w:hint="eastAsia" w:ascii="Times New Roman" w:hAnsi="Times New Roman" w:eastAsia="方正仿宋_GBK" w:cs="Times New Roman"/>
          <w:kern w:val="0"/>
          <w:sz w:val="32"/>
          <w:szCs w:val="32"/>
          <w:shd w:val="clear" w:color="auto" w:fill="FFFFFF"/>
          <w:lang w:val="en-US" w:eastAsia="zh-CN"/>
        </w:rPr>
        <w:t>2024年</w:t>
      </w:r>
      <w:r>
        <w:rPr>
          <w:rFonts w:hint="default" w:ascii="Times New Roman" w:hAnsi="Times New Roman" w:eastAsia="方正仿宋_GBK" w:cs="Times New Roman"/>
          <w:kern w:val="0"/>
          <w:sz w:val="32"/>
          <w:szCs w:val="32"/>
          <w:shd w:val="clear" w:color="auto" w:fill="FFFFFF"/>
          <w:lang w:val="en-US" w:eastAsia="zh-CN"/>
        </w:rPr>
        <w:t>度收入总计135.29万元，支出总计135.29万元。收、支与2023年度相比，增加11.30万元，增长9.1%，</w:t>
      </w:r>
      <w:r>
        <w:rPr>
          <w:rFonts w:hint="eastAsia" w:ascii="Times New Roman" w:hAnsi="Times New Roman" w:eastAsia="方正仿宋_GBK" w:cs="Times New Roman"/>
          <w:kern w:val="0"/>
          <w:sz w:val="32"/>
          <w:szCs w:val="32"/>
          <w:shd w:val="clear" w:color="auto" w:fill="FFFFFF"/>
          <w:lang w:val="en-US" w:eastAsia="zh-CN"/>
        </w:rPr>
        <w:t>主要原因是2024年本单位</w:t>
      </w:r>
      <w:r>
        <w:rPr>
          <w:rFonts w:hint="eastAsia" w:ascii="方正仿宋_GBK" w:hAnsi="方正仿宋_GBK" w:eastAsia="方正仿宋_GBK" w:cs="方正仿宋_GBK"/>
          <w:b w:val="0"/>
          <w:color w:val="auto"/>
          <w:kern w:val="0"/>
          <w:sz w:val="32"/>
          <w:szCs w:val="32"/>
          <w:shd w:val="clear" w:fill="FFFFFF"/>
        </w:rPr>
        <w:t>人员经费增加。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color="auto" w:fill="FFFFFF"/>
          <w:lang w:val="en-US" w:eastAsia="zh-CN"/>
        </w:rPr>
        <w:t>2024年度收入合计135.29万元，与2023年度相比，增加11.30万元，增长9.1%，主要原因是2024年本单位人员经费增加。其中：财政拨款收入</w:t>
      </w:r>
      <w:r>
        <w:rPr>
          <w:rFonts w:hint="default" w:ascii="Times New Roman" w:hAnsi="Times New Roman" w:eastAsia="方正仿宋_GBK" w:cs="Times New Roman"/>
          <w:kern w:val="0"/>
          <w:sz w:val="32"/>
          <w:szCs w:val="32"/>
          <w:shd w:val="clear" w:color="auto" w:fill="FFFFFF"/>
          <w:lang w:val="en-US" w:eastAsia="zh-CN"/>
        </w:rPr>
        <w:t>135.29</w:t>
      </w:r>
      <w:r>
        <w:rPr>
          <w:rFonts w:hint="eastAsia" w:ascii="Times New Roman" w:hAnsi="Times New Roman" w:eastAsia="方正仿宋_GBK" w:cs="Times New Roman"/>
          <w:kern w:val="0"/>
          <w:sz w:val="32"/>
          <w:szCs w:val="32"/>
          <w:shd w:val="clear" w:color="auto" w:fill="FFFFFF"/>
          <w:lang w:val="en-US" w:eastAsia="zh-CN"/>
        </w:rPr>
        <w:t>万元，占</w:t>
      </w:r>
      <w:r>
        <w:rPr>
          <w:rFonts w:hint="default" w:ascii="Times New Roman" w:hAnsi="Times New Roman" w:eastAsia="方正仿宋_GBK" w:cs="Times New Roman"/>
          <w:kern w:val="0"/>
          <w:sz w:val="32"/>
          <w:szCs w:val="32"/>
          <w:shd w:val="clear" w:color="auto" w:fill="FFFFFF"/>
          <w:lang w:val="en-US" w:eastAsia="zh-CN"/>
        </w:rPr>
        <w:t>100.00%</w:t>
      </w:r>
      <w:r>
        <w:rPr>
          <w:rFonts w:hint="eastAsia" w:ascii="Times New Roman" w:hAnsi="Times New Roman" w:eastAsia="方正仿宋_GBK" w:cs="Times New Roman"/>
          <w:kern w:val="0"/>
          <w:sz w:val="32"/>
          <w:szCs w:val="32"/>
          <w:shd w:val="clear" w:color="auto" w:fill="FFFFFF"/>
          <w:lang w:val="en-US" w:eastAsia="zh-CN"/>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color="auto" w:fill="FFFFFF"/>
          <w:lang w:val="en-US" w:eastAsia="zh-CN"/>
        </w:rPr>
        <w:t>2024年度支出合计135.29万元，与2023年度相比，增加11.30万元，增长9.1%，主要原因是2024年本单位人员经费增加。其中：基本支出</w:t>
      </w:r>
      <w:r>
        <w:rPr>
          <w:rFonts w:hint="default" w:ascii="Times New Roman" w:hAnsi="Times New Roman" w:eastAsia="方正仿宋_GBK" w:cs="Times New Roman"/>
          <w:kern w:val="0"/>
          <w:sz w:val="32"/>
          <w:szCs w:val="32"/>
          <w:shd w:val="clear" w:color="auto" w:fill="FFFFFF"/>
          <w:lang w:val="en-US" w:eastAsia="zh-CN"/>
        </w:rPr>
        <w:t>135.29</w:t>
      </w:r>
      <w:r>
        <w:rPr>
          <w:rFonts w:hint="eastAsia" w:ascii="Times New Roman" w:hAnsi="Times New Roman" w:eastAsia="方正仿宋_GBK" w:cs="Times New Roman"/>
          <w:kern w:val="0"/>
          <w:sz w:val="32"/>
          <w:szCs w:val="32"/>
          <w:shd w:val="clear" w:color="auto" w:fill="FFFFFF"/>
          <w:lang w:val="en-US" w:eastAsia="zh-CN"/>
        </w:rPr>
        <w:t>万元，占</w:t>
      </w:r>
      <w:r>
        <w:rPr>
          <w:rFonts w:hint="default" w:ascii="Times New Roman" w:hAnsi="Times New Roman" w:eastAsia="方正仿宋_GBK" w:cs="Times New Roman"/>
          <w:kern w:val="0"/>
          <w:sz w:val="32"/>
          <w:szCs w:val="32"/>
          <w:shd w:val="clear" w:color="auto" w:fill="FFFFFF"/>
          <w:lang w:val="en-US" w:eastAsia="zh-CN"/>
        </w:rPr>
        <w:t>100.00%</w:t>
      </w:r>
      <w:r>
        <w:rPr>
          <w:rFonts w:hint="eastAsia" w:ascii="Times New Roman" w:hAnsi="Times New Roman" w:eastAsia="方正仿宋_GBK" w:cs="Times New Roman"/>
          <w:kern w:val="0"/>
          <w:sz w:val="32"/>
          <w:szCs w:val="32"/>
          <w:shd w:val="clear" w:color="auto" w:fill="FFFFFF"/>
          <w:lang w:val="en-US" w:eastAsia="zh-CN"/>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0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0"/>
          <w:szCs w:val="30"/>
          <w:shd w:val="clear" w:fill="FFFFFF"/>
        </w:rPr>
        <w:t>4.</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color="auto" w:fill="FFFFFF"/>
          <w:lang w:val="en-US" w:eastAsia="zh-CN"/>
        </w:rPr>
        <w:t>2024年度年末结转和结余0.00万元，与2023年度相比，无增减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rPr>
        <w:t>2024年度财政拨款收、支总计135.29万元。与2023年相比，财政拨款收、支总计各增加11.30万元，增长9.1%。主要原因是2024</w:t>
      </w:r>
      <w:r>
        <w:rPr>
          <w:rFonts w:hint="eastAsia" w:ascii="方正仿宋_GBK" w:hAnsi="方正仿宋_GBK" w:eastAsia="方正仿宋_GBK" w:cs="方正仿宋_GBK"/>
          <w:b w:val="0"/>
          <w:color w:val="auto"/>
          <w:kern w:val="0"/>
          <w:sz w:val="32"/>
          <w:szCs w:val="32"/>
          <w:shd w:val="clear" w:fill="FFFFFF"/>
        </w:rPr>
        <w:t>年本单位人员经费增加造成本年财政拨款收、支增加。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color="auto" w:fill="FFFFFF"/>
          <w:lang w:val="en-US" w:eastAsia="zh-CN"/>
        </w:rPr>
        <w:t>2024年度一般公共预算财政拨款收入135.29万元，与2023年度相比，增加11.30万元，增长9.1%。主要原因是2024年本单位人员经费增加。较年初预算数减少4.95万元，下降3.5%。主要原因是</w:t>
      </w:r>
      <w:r>
        <w:rPr>
          <w:rFonts w:hint="eastAsia" w:ascii="方正仿宋_GBK" w:hAnsi="方正仿宋_GBK" w:eastAsia="方正仿宋_GBK" w:cs="方正仿宋_GBK"/>
          <w:kern w:val="0"/>
          <w:sz w:val="32"/>
          <w:szCs w:val="32"/>
          <w:shd w:val="clear" w:fill="FFFFFF"/>
          <w:lang w:val="en-US" w:eastAsia="zh-CN"/>
        </w:rPr>
        <w:t>人员调出</w:t>
      </w:r>
      <w:r>
        <w:rPr>
          <w:rFonts w:hint="eastAsia" w:ascii="Times New Roman" w:hAnsi="Times New Roman" w:eastAsia="方正仿宋_GBK" w:cs="Times New Roman"/>
          <w:kern w:val="0"/>
          <w:sz w:val="32"/>
          <w:szCs w:val="32"/>
          <w:shd w:val="clear" w:color="auto" w:fill="FFFFFF"/>
          <w:lang w:val="en-US" w:eastAsia="zh-CN"/>
        </w:rPr>
        <w:t>减少经费支出。此外，年初财政拨款结转和结余</w:t>
      </w:r>
      <w:r>
        <w:rPr>
          <w:rFonts w:hint="default" w:ascii="Times New Roman" w:hAnsi="Times New Roman" w:eastAsia="方正仿宋_GBK" w:cs="Times New Roman"/>
          <w:kern w:val="0"/>
          <w:sz w:val="32"/>
          <w:szCs w:val="32"/>
          <w:shd w:val="clear" w:color="auto" w:fill="FFFFFF"/>
          <w:lang w:val="en-US" w:eastAsia="zh-CN"/>
        </w:rPr>
        <w:t>0.00</w:t>
      </w:r>
      <w:r>
        <w:rPr>
          <w:rFonts w:hint="eastAsia" w:ascii="方正仿宋_GBK" w:hAnsi="方正仿宋_GBK" w:eastAsia="方正仿宋_GBK" w:cs="方正仿宋_GBK"/>
          <w:kern w:val="0"/>
          <w:sz w:val="32"/>
          <w:szCs w:val="32"/>
          <w:shd w:val="clear" w:fill="FFFFFF"/>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color="auto" w:fill="FFFFFF"/>
          <w:lang w:val="en-US" w:eastAsia="zh-CN"/>
        </w:rPr>
        <w:t>2024年度一般公共预算财政拨款支出135.29万元，与2023年度相比，增加11.30万元，增长9.1%。主要原因是2024年本单位人员经费增加。较年初预算数减少4.95万元，下降3.5%。主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kern w:val="0"/>
          <w:sz w:val="32"/>
          <w:szCs w:val="32"/>
          <w:shd w:val="clear" w:fill="FFFFFF"/>
          <w:lang w:val="en-US" w:eastAsia="zh-CN"/>
        </w:rPr>
        <w:t>人员调出</w:t>
      </w:r>
      <w:r>
        <w:rPr>
          <w:rFonts w:hint="eastAsia" w:ascii="方正仿宋_GBK" w:hAnsi="方正仿宋_GBK" w:eastAsia="方正仿宋_GBK" w:cs="方正仿宋_GBK"/>
          <w:b w:val="0"/>
          <w:color w:val="auto"/>
          <w:kern w:val="0"/>
          <w:sz w:val="32"/>
          <w:szCs w:val="32"/>
          <w:shd w:val="clear" w:fill="FFFFFF"/>
        </w:rPr>
        <w:t>减少</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color="auto" w:fill="FFFFFF"/>
          <w:lang w:val="en-US" w:eastAsia="zh-CN"/>
        </w:rPr>
        <w:t>2024年度年末一般公共预算财政拨款结转和结余0.00万元，与2023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4.</w:t>
      </w:r>
      <w:r>
        <w:rPr>
          <w:rStyle w:val="16"/>
          <w:rFonts w:hint="eastAsia" w:ascii="方正仿宋_GBK" w:hAnsi="方正仿宋_GBK" w:eastAsia="方正仿宋_GBK" w:cs="方正仿宋_GBK"/>
          <w:b/>
          <w:kern w:val="0"/>
          <w:sz w:val="32"/>
          <w:szCs w:val="32"/>
          <w:shd w:val="clear" w:fill="FFFFFF"/>
        </w:rPr>
        <w:t>比较情况。</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w:t>
      </w:r>
      <w:r>
        <w:rPr>
          <w:rFonts w:hint="eastAsia" w:ascii="方正仿宋_GBK" w:hAnsi="方正仿宋_GBK" w:eastAsia="方正仿宋_GBK" w:cs="方正仿宋_GBK"/>
          <w:kern w:val="0"/>
          <w:sz w:val="32"/>
          <w:szCs w:val="32"/>
          <w:shd w:val="clear" w:fill="FFFFFF"/>
        </w:rPr>
        <w:t>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社会保障与就业支</w:t>
      </w:r>
      <w:r>
        <w:rPr>
          <w:rFonts w:hint="default" w:ascii="Times New Roman" w:hAnsi="Times New Roman" w:eastAsia="方正仿宋_GBK" w:cs="Times New Roman"/>
          <w:kern w:val="0"/>
          <w:sz w:val="32"/>
          <w:szCs w:val="32"/>
          <w:shd w:val="clear" w:color="auto" w:fill="FFFFFF"/>
          <w:lang w:val="en-US" w:eastAsia="zh-CN"/>
        </w:rPr>
        <w:t>出21.43万元，占15.84%，较年初预算数增加10.35万元，增长93.4%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追加养老保险和职业年金等经费。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卫生健康支</w:t>
      </w:r>
      <w:r>
        <w:rPr>
          <w:rFonts w:hint="default" w:ascii="Times New Roman" w:hAnsi="Times New Roman" w:eastAsia="方正仿宋_GBK" w:cs="Times New Roman"/>
          <w:kern w:val="0"/>
          <w:sz w:val="32"/>
          <w:szCs w:val="32"/>
          <w:shd w:val="clear" w:color="auto" w:fill="FFFFFF"/>
          <w:lang w:val="en-US" w:eastAsia="zh-CN"/>
        </w:rPr>
        <w:t>出4.02万元，占2.97%，较年初预算数减少1.56万元，下降28.0%，</w:t>
      </w:r>
      <w:r>
        <w:rPr>
          <w:rFonts w:hint="eastAsia" w:ascii="Times New Roman" w:hAnsi="Times New Roman" w:eastAsia="方正仿宋_GBK" w:cs="Times New Roman"/>
          <w:kern w:val="0"/>
          <w:sz w:val="32"/>
          <w:szCs w:val="32"/>
          <w:shd w:val="clear" w:color="auto" w:fill="FFFFFF"/>
          <w:lang w:val="en-US" w:eastAsia="zh-CN"/>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kern w:val="0"/>
          <w:sz w:val="32"/>
          <w:szCs w:val="32"/>
          <w:shd w:val="clear" w:fill="FFFFFF"/>
          <w:lang w:val="en-US" w:eastAsia="zh-CN"/>
        </w:rPr>
        <w:t>人员调出</w:t>
      </w:r>
      <w:r>
        <w:rPr>
          <w:rFonts w:hint="eastAsia" w:ascii="方正仿宋_GBK" w:hAnsi="方正仿宋_GBK" w:eastAsia="方正仿宋_GBK" w:cs="方正仿宋_GBK"/>
          <w:b w:val="0"/>
          <w:color w:val="auto"/>
          <w:kern w:val="0"/>
          <w:sz w:val="32"/>
          <w:szCs w:val="32"/>
          <w:shd w:val="clear" w:fill="FFFFFF"/>
        </w:rPr>
        <w:t>减少经费支出。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农林水支</w:t>
      </w:r>
      <w:r>
        <w:rPr>
          <w:rFonts w:hint="default" w:ascii="Times New Roman" w:hAnsi="Times New Roman" w:eastAsia="方正仿宋_GBK" w:cs="Times New Roman"/>
          <w:kern w:val="0"/>
          <w:sz w:val="32"/>
          <w:szCs w:val="32"/>
          <w:shd w:val="clear" w:color="auto" w:fill="FFFFFF"/>
          <w:lang w:val="en-US" w:eastAsia="zh-CN"/>
        </w:rPr>
        <w:t>出100.51万元，占74.29%，较年初预算数减少12.81万元，下降11.3%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kern w:val="0"/>
          <w:sz w:val="32"/>
          <w:szCs w:val="32"/>
          <w:shd w:val="clear" w:fill="FFFFFF"/>
          <w:lang w:val="en-US" w:eastAsia="zh-CN"/>
        </w:rPr>
        <w:t>人员调出等</w:t>
      </w:r>
      <w:r>
        <w:rPr>
          <w:rFonts w:hint="eastAsia" w:ascii="方正仿宋_GBK" w:hAnsi="方正仿宋_GBK" w:eastAsia="方正仿宋_GBK" w:cs="方正仿宋_GBK"/>
          <w:b w:val="0"/>
          <w:color w:val="auto"/>
          <w:kern w:val="0"/>
          <w:sz w:val="32"/>
          <w:szCs w:val="32"/>
          <w:shd w:val="clear" w:fill="FFFFFF"/>
        </w:rPr>
        <w:t>减少经费支出。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rPr>
        <w:t>住房保障支</w:t>
      </w:r>
      <w:r>
        <w:rPr>
          <w:rFonts w:hint="default" w:ascii="Times New Roman" w:hAnsi="Times New Roman" w:eastAsia="方正仿宋_GBK" w:cs="Times New Roman"/>
          <w:kern w:val="0"/>
          <w:sz w:val="32"/>
          <w:szCs w:val="32"/>
          <w:shd w:val="clear" w:color="auto" w:fill="FFFFFF"/>
          <w:lang w:val="en-US" w:eastAsia="zh-CN"/>
        </w:rPr>
        <w:t>出9.32万元，占6.89%，较年初预算数减少0.94万元，下降9.2%，</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kern w:val="0"/>
          <w:sz w:val="32"/>
          <w:szCs w:val="32"/>
          <w:shd w:val="clear" w:fill="FFFFFF"/>
          <w:lang w:val="en-US" w:eastAsia="zh-CN"/>
        </w:rPr>
        <w:t>人员调出</w:t>
      </w:r>
      <w:r>
        <w:rPr>
          <w:rFonts w:hint="eastAsia" w:ascii="方正仿宋_GBK" w:hAnsi="方正仿宋_GBK" w:eastAsia="方正仿宋_GBK" w:cs="方正仿宋_GBK"/>
          <w:b w:val="0"/>
          <w:color w:val="auto"/>
          <w:kern w:val="0"/>
          <w:sz w:val="32"/>
          <w:szCs w:val="32"/>
          <w:shd w:val="clear" w:fill="FFFFFF"/>
        </w:rPr>
        <w:t>减少经费支出。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rPr>
        <w:t>2024年</w:t>
      </w:r>
      <w:r>
        <w:rPr>
          <w:rFonts w:hint="default" w:ascii="Times New Roman" w:hAnsi="Times New Roman" w:eastAsia="方正仿宋_GBK" w:cs="Times New Roman"/>
          <w:kern w:val="0"/>
          <w:sz w:val="32"/>
          <w:szCs w:val="32"/>
          <w:shd w:val="clear" w:color="auto" w:fill="FFFFFF"/>
          <w:lang w:val="en-US" w:eastAsia="zh-CN"/>
        </w:rPr>
        <w:t>度一般公共财政拨款基本支出135.29万元。其中：人员经费103.61万元，与2023年度相比，减少0.34万元，下降0.3%，</w:t>
      </w:r>
      <w:r>
        <w:rPr>
          <w:rFonts w:hint="eastAsia" w:ascii="Times New Roman" w:hAnsi="Times New Roman" w:eastAsia="方正仿宋_GBK" w:cs="Times New Roman"/>
          <w:kern w:val="0"/>
          <w:sz w:val="32"/>
          <w:szCs w:val="32"/>
          <w:shd w:val="clear" w:color="auto" w:fill="FFFFFF"/>
          <w:lang w:val="en-US" w:eastAsia="zh-CN"/>
        </w:rPr>
        <w:t>主要原因是</w:t>
      </w:r>
      <w:r>
        <w:rPr>
          <w:rFonts w:hint="eastAsia" w:ascii="方正仿宋_GBK" w:hAnsi="方正仿宋_GBK" w:eastAsia="方正仿宋_GBK" w:cs="方正仿宋_GBK"/>
          <w:b w:val="0"/>
          <w:color w:val="auto"/>
          <w:kern w:val="0"/>
          <w:sz w:val="32"/>
          <w:szCs w:val="32"/>
          <w:shd w:val="clear" w:fill="FFFFFF"/>
        </w:rPr>
        <w:t>追加养老保险和职业年金经费</w:t>
      </w:r>
      <w:r>
        <w:rPr>
          <w:rFonts w:hint="eastAsia" w:ascii="方正仿宋_GBK" w:hAnsi="方正仿宋_GBK" w:eastAsia="方正仿宋_GBK" w:cs="方正仿宋_GBK"/>
          <w:b w:val="0"/>
          <w:color w:val="auto"/>
          <w:kern w:val="0"/>
          <w:sz w:val="32"/>
          <w:szCs w:val="32"/>
          <w:shd w:val="clear" w:fill="FFFFFF"/>
          <w:lang w:val="en-US" w:eastAsia="zh-CN"/>
        </w:rPr>
        <w:t>及人员调出</w:t>
      </w:r>
      <w:r>
        <w:rPr>
          <w:rFonts w:hint="eastAsia" w:ascii="方正仿宋_GBK" w:hAnsi="方正仿宋_GBK" w:eastAsia="方正仿宋_GBK" w:cs="方正仿宋_GBK"/>
          <w:b w:val="0"/>
          <w:color w:val="auto"/>
          <w:kern w:val="0"/>
          <w:sz w:val="32"/>
          <w:szCs w:val="32"/>
          <w:shd w:val="clear" w:fill="FFFFFF"/>
        </w:rPr>
        <w:t>。</w:t>
      </w:r>
      <w:r>
        <w:rPr>
          <w:rFonts w:hint="eastAsia" w:ascii="方正仿宋_GBK" w:hAnsi="方正仿宋_GBK" w:eastAsia="方正仿宋_GBK" w:cs="方正仿宋_GBK"/>
          <w:kern w:val="0"/>
          <w:sz w:val="32"/>
          <w:szCs w:val="32"/>
          <w:shd w:val="clear" w:fill="FFFFFF"/>
        </w:rPr>
        <w:t>人员经费用途主要包括基本工资、津贴补贴、</w:t>
      </w:r>
      <w:r>
        <w:rPr>
          <w:rFonts w:hint="eastAsia" w:ascii="方正仿宋_GBK" w:hAnsi="方正仿宋_GBK" w:eastAsia="方正仿宋_GBK" w:cs="方正仿宋_GBK"/>
          <w:b w:val="0"/>
          <w:kern w:val="0"/>
          <w:sz w:val="32"/>
          <w:szCs w:val="32"/>
          <w:shd w:val="clear" w:fill="FFFFFF"/>
        </w:rPr>
        <w:t>绩效工资、</w:t>
      </w:r>
      <w:r>
        <w:rPr>
          <w:rFonts w:hint="eastAsia" w:ascii="方正仿宋_GBK" w:hAnsi="方正仿宋_GBK" w:eastAsia="方正仿宋_GBK" w:cs="方正仿宋_GBK"/>
          <w:kern w:val="0"/>
          <w:sz w:val="32"/>
          <w:szCs w:val="32"/>
          <w:shd w:val="clear" w:fill="FFFFFF"/>
        </w:rPr>
        <w:t>社会保障缴费等。</w:t>
      </w:r>
      <w:r>
        <w:rPr>
          <w:rFonts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cs="Times New Roman"/>
          <w:kern w:val="0"/>
          <w:sz w:val="32"/>
          <w:szCs w:val="32"/>
          <w:shd w:val="clear" w:color="auto" w:fill="FFFFFF"/>
          <w:lang w:val="en-US" w:eastAsia="zh-CN"/>
        </w:rPr>
        <w:t>31.68万元，与2023年度相比，增加11.64万元，增长58.1%，主</w:t>
      </w:r>
      <w:r>
        <w:rPr>
          <w:rFonts w:hint="eastAsia" w:ascii="方正仿宋_GBK" w:hAnsi="方正仿宋_GBK" w:eastAsia="方正仿宋_GBK" w:cs="方正仿宋_GBK"/>
          <w:kern w:val="0"/>
          <w:sz w:val="32"/>
          <w:szCs w:val="32"/>
          <w:shd w:val="clear" w:fill="FFFFFF"/>
        </w:rPr>
        <w:t>要原因是为保障本单位正常运转，完成日常工作任务统筹使用全委公用经费</w:t>
      </w:r>
      <w:r>
        <w:rPr>
          <w:rFonts w:hint="eastAsia" w:ascii="方正仿宋_GBK" w:hAnsi="方正仿宋_GBK" w:eastAsia="方正仿宋_GBK" w:cs="方正仿宋_GBK"/>
          <w:b w:val="0"/>
          <w:kern w:val="0"/>
          <w:sz w:val="32"/>
          <w:szCs w:val="32"/>
          <w:shd w:val="clear" w:fill="FFFFFF"/>
        </w:rPr>
        <w:t>。</w:t>
      </w:r>
      <w:r>
        <w:rPr>
          <w:rFonts w:hint="eastAsia" w:ascii="方正仿宋_GBK" w:hAnsi="方正仿宋_GBK" w:eastAsia="方正仿宋_GBK" w:cs="方正仿宋_GBK"/>
          <w:kern w:val="0"/>
          <w:sz w:val="32"/>
          <w:szCs w:val="32"/>
          <w:shd w:val="clear" w:fill="FFFFFF"/>
        </w:rPr>
        <w:t>公用经费用途主要包括办公费、邮电费、维修（护）费、租赁费、办公用房水电费、办公用房物业管理费等。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w:t>
      </w:r>
      <w:r>
        <w:rPr>
          <w:rFonts w:hint="eastAsia" w:ascii="方正仿宋_GBK" w:hAnsi="方正仿宋_GBK" w:eastAsia="方正仿宋_GBK" w:cs="方正仿宋_GBK"/>
          <w:kern w:val="0"/>
          <w:sz w:val="32"/>
          <w:szCs w:val="32"/>
          <w:shd w:val="clear" w:fill="FFFFFF"/>
        </w:rPr>
        <w:t>度无政府性基金预算财政拨款收支。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right="0" w:rightChars="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方正仿宋_GBK" w:hAnsi="方正仿宋_GBK" w:eastAsia="方正仿宋_GBK" w:cs="方正仿宋_GBK"/>
          <w:kern w:val="0"/>
          <w:sz w:val="32"/>
          <w:szCs w:val="32"/>
          <w:shd w:val="clear" w:fill="FFFFFF"/>
        </w:rPr>
        <w:t>年度无国有资本经营预算财政拨款支出。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三、</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三公</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（一）</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三公</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rPr>
        <w:t>2024年</w:t>
      </w:r>
      <w:r>
        <w:rPr>
          <w:rFonts w:hint="default" w:ascii="Times New Roman" w:hAnsi="Times New Roman" w:eastAsia="方正仿宋_GBK" w:cs="Times New Roman"/>
          <w:kern w:val="0"/>
          <w:sz w:val="32"/>
          <w:szCs w:val="32"/>
          <w:shd w:val="clear" w:color="auto" w:fill="FFFFFF"/>
          <w:lang w:val="en-US" w:eastAsia="zh-CN"/>
        </w:rPr>
        <w:t>度“三公”经费支出共计0.28万元，较年初预算数减少0.52万元，下降65.0%，</w:t>
      </w:r>
      <w:r>
        <w:rPr>
          <w:rFonts w:hint="eastAsia" w:ascii="Times New Roman" w:hAnsi="Times New Roman" w:eastAsia="方正仿宋_GBK" w:cs="Times New Roman"/>
          <w:kern w:val="0"/>
          <w:sz w:val="32"/>
          <w:szCs w:val="32"/>
          <w:shd w:val="clear" w:color="auto" w:fill="FFFFFF"/>
          <w:lang w:val="en-US" w:eastAsia="zh-CN"/>
        </w:rPr>
        <w:t>主要原因是严格按照各项规定执行，厉行节约控制各项经费支出。</w:t>
      </w:r>
      <w:r>
        <w:rPr>
          <w:rFonts w:hint="default" w:ascii="Times New Roman" w:hAnsi="Times New Roman" w:eastAsia="方正仿宋_GBK" w:cs="Times New Roman"/>
          <w:kern w:val="0"/>
          <w:sz w:val="32"/>
          <w:szCs w:val="32"/>
          <w:shd w:val="clear" w:color="auto" w:fill="FFFFFF"/>
          <w:lang w:val="en-US" w:eastAsia="zh-CN"/>
        </w:rPr>
        <w:t>较上年支出数增加0.28万元，增长100.0%，</w:t>
      </w:r>
      <w:r>
        <w:rPr>
          <w:rFonts w:hint="eastAsia" w:ascii="Times New Roman" w:hAnsi="Times New Roman" w:eastAsia="方正仿宋_GBK" w:cs="Times New Roman"/>
          <w:kern w:val="0"/>
          <w:sz w:val="32"/>
          <w:szCs w:val="32"/>
          <w:shd w:val="clear" w:color="auto" w:fill="FFFFFF"/>
          <w:lang w:val="en-US" w:eastAsia="zh-CN"/>
        </w:rPr>
        <w:t>主要原因是开展工作需要造成公务接待费增加。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（二）</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三公</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2</w:t>
      </w:r>
      <w:bookmarkStart w:id="0" w:name="_GoBack"/>
      <w:r>
        <w:rPr>
          <w:rFonts w:hint="default" w:ascii="Times New Roman" w:hAnsi="Times New Roman" w:eastAsia="方正仿宋_GBK" w:cs="Times New Roman"/>
          <w:kern w:val="0"/>
          <w:sz w:val="32"/>
          <w:szCs w:val="32"/>
          <w:shd w:val="clear" w:color="auto" w:fill="FFFFFF"/>
          <w:lang w:val="en-US" w:eastAsia="zh-CN"/>
        </w:rPr>
        <w:t>024</w:t>
      </w:r>
      <w:r>
        <w:rPr>
          <w:rFonts w:hint="eastAsia" w:ascii="Times New Roman" w:hAnsi="Times New Roman" w:eastAsia="方正仿宋_GBK" w:cs="Times New Roman"/>
          <w:kern w:val="0"/>
          <w:sz w:val="32"/>
          <w:szCs w:val="32"/>
          <w:shd w:val="clear" w:color="auto" w:fill="FFFFFF"/>
          <w:lang w:val="en-US" w:eastAsia="zh-CN"/>
        </w:rPr>
        <w:t>年度本单位因公出国（境）费用</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年无因公出国（境）的安排，未发生支出。费用支出较年初预算数和上年支出数无增减。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公务车购置</w:t>
      </w:r>
      <w:r>
        <w:rPr>
          <w:rFonts w:hint="eastAsia" w:ascii="Times New Roman" w:hAnsi="Times New Roman" w:eastAsia="方正仿宋_GBK" w:cs="Times New Roman"/>
          <w:kern w:val="0"/>
          <w:sz w:val="32"/>
          <w:szCs w:val="32"/>
          <w:shd w:val="clear" w:color="auto" w:fill="FFFFFF"/>
          <w:lang w:val="en-US" w:eastAsia="zh-CN"/>
        </w:rPr>
        <w:t>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年度未发生公务车购置费。费用支出较年初预算数和上年支出数无增减。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公务车运行维护</w:t>
      </w:r>
      <w:r>
        <w:rPr>
          <w:rFonts w:hint="eastAsia" w:ascii="Times New Roman" w:hAnsi="Times New Roman" w:eastAsia="方正仿宋_GBK" w:cs="Times New Roman"/>
          <w:kern w:val="0"/>
          <w:sz w:val="32"/>
          <w:szCs w:val="32"/>
          <w:shd w:val="clear" w:color="auto" w:fill="FFFFFF"/>
          <w:lang w:val="en-US" w:eastAsia="zh-CN"/>
        </w:rPr>
        <w:t>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年度未发生公务车运行维护费。费用支出较年初预算数和上年支出数无增减。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公务接待</w:t>
      </w:r>
      <w:r>
        <w:rPr>
          <w:rFonts w:hint="eastAsia" w:ascii="Times New Roman" w:hAnsi="Times New Roman" w:eastAsia="方正仿宋_GBK" w:cs="Times New Roman"/>
          <w:kern w:val="0"/>
          <w:sz w:val="32"/>
          <w:szCs w:val="32"/>
          <w:shd w:val="clear" w:color="auto" w:fill="FFFFFF"/>
          <w:lang w:val="en-US" w:eastAsia="zh-CN"/>
        </w:rPr>
        <w:t>费</w:t>
      </w:r>
      <w:r>
        <w:rPr>
          <w:rFonts w:hint="default" w:ascii="Times New Roman" w:hAnsi="Times New Roman" w:eastAsia="方正仿宋_GBK" w:cs="Times New Roman"/>
          <w:kern w:val="0"/>
          <w:sz w:val="32"/>
          <w:szCs w:val="32"/>
          <w:shd w:val="clear" w:color="auto" w:fill="FFFFFF"/>
          <w:lang w:val="en-US" w:eastAsia="zh-CN"/>
        </w:rPr>
        <w:t>0.28</w:t>
      </w:r>
      <w:r>
        <w:rPr>
          <w:rFonts w:hint="eastAsia" w:ascii="Times New Roman" w:hAnsi="Times New Roman" w:eastAsia="方正仿宋_GBK" w:cs="Times New Roman"/>
          <w:kern w:val="0"/>
          <w:sz w:val="32"/>
          <w:szCs w:val="32"/>
          <w:shd w:val="clear" w:color="auto" w:fill="FFFFFF"/>
          <w:lang w:val="en-US" w:eastAsia="zh-CN"/>
        </w:rPr>
        <w:t>万元，主要是用于接待检查组检查工作等。费用支出较年初预算数减少</w:t>
      </w:r>
      <w:r>
        <w:rPr>
          <w:rFonts w:hint="default" w:ascii="Times New Roman" w:hAnsi="Times New Roman" w:eastAsia="方正仿宋_GBK" w:cs="Times New Roman"/>
          <w:kern w:val="0"/>
          <w:sz w:val="32"/>
          <w:szCs w:val="32"/>
          <w:shd w:val="clear" w:color="auto" w:fill="FFFFFF"/>
          <w:lang w:val="en-US" w:eastAsia="zh-CN"/>
        </w:rPr>
        <w:t>0.52</w:t>
      </w:r>
      <w:r>
        <w:rPr>
          <w:rFonts w:hint="eastAsia" w:ascii="Times New Roman" w:hAnsi="Times New Roman" w:eastAsia="方正仿宋_GBK" w:cs="Times New Roman"/>
          <w:kern w:val="0"/>
          <w:sz w:val="32"/>
          <w:szCs w:val="32"/>
          <w:shd w:val="clear" w:color="auto" w:fill="FFFFFF"/>
          <w:lang w:val="en-US" w:eastAsia="zh-CN"/>
        </w:rPr>
        <w:t>万元，下降</w:t>
      </w:r>
      <w:r>
        <w:rPr>
          <w:rFonts w:hint="default" w:ascii="Times New Roman" w:hAnsi="Times New Roman" w:eastAsia="方正仿宋_GBK" w:cs="Times New Roman"/>
          <w:kern w:val="0"/>
          <w:sz w:val="32"/>
          <w:szCs w:val="32"/>
          <w:shd w:val="clear" w:color="auto" w:fill="FFFFFF"/>
          <w:lang w:val="en-US" w:eastAsia="zh-CN"/>
        </w:rPr>
        <w:t>65</w:t>
      </w:r>
      <w:r>
        <w:rPr>
          <w:rFonts w:hint="eastAsia" w:ascii="Times New Roman" w:hAnsi="Times New Roman" w:eastAsia="方正仿宋_GBK" w:cs="Times New Roman"/>
          <w:kern w:val="0"/>
          <w:sz w:val="32"/>
          <w:szCs w:val="32"/>
          <w:shd w:val="clear" w:color="auto" w:fill="FFFFFF"/>
          <w:lang w:val="en-US" w:eastAsia="zh-CN"/>
        </w:rPr>
        <w:t>.0</w:t>
      </w:r>
      <w:r>
        <w:rPr>
          <w:rFonts w:hint="default" w:ascii="Times New Roman" w:hAnsi="Times New Roman" w:eastAsia="方正仿宋_GBK" w:cs="Times New Roman"/>
          <w:kern w:val="0"/>
          <w:sz w:val="32"/>
          <w:szCs w:val="32"/>
          <w:shd w:val="clear" w:color="auto" w:fill="FFFFFF"/>
          <w:lang w:val="en-US" w:eastAsia="zh-CN"/>
        </w:rPr>
        <w:t>%</w:t>
      </w:r>
      <w:r>
        <w:rPr>
          <w:rFonts w:hint="eastAsia" w:ascii="Times New Roman" w:hAnsi="Times New Roman" w:eastAsia="方正仿宋_GBK" w:cs="Times New Roman"/>
          <w:kern w:val="0"/>
          <w:sz w:val="32"/>
          <w:szCs w:val="32"/>
          <w:shd w:val="clear" w:color="auto" w:fill="FFFFFF"/>
          <w:lang w:val="en-US" w:eastAsia="zh-CN"/>
        </w:rPr>
        <w:t>，主要原因是严格遵守公务接待开支范围和开支标准，降低费用支出。较上年支出数增加0.28万元，增长100.0%，主要原因是开展工作需要造成公务接待费增加。</w:t>
      </w:r>
    </w:p>
    <w:bookmarkEnd w:id="0"/>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三公</w:t>
      </w:r>
      <w:r>
        <w:rPr>
          <w:rFonts w:hint="default" w:ascii="楷体" w:hAnsi="楷体" w:eastAsia="楷体" w:cs="楷体"/>
          <w:b/>
          <w:bCs/>
          <w:kern w:val="0"/>
          <w:sz w:val="32"/>
          <w:szCs w:val="32"/>
          <w:shd w:val="clear" w:color="auto" w:fill="FFFFFF"/>
          <w:lang w:val="en-US" w:eastAsia="zh-CN" w:bidi="ar-SA"/>
        </w:rPr>
        <w:t>”</w:t>
      </w:r>
      <w:r>
        <w:rPr>
          <w:rFonts w:hint="eastAsia" w:ascii="楷体" w:hAnsi="楷体" w:eastAsia="楷体" w:cs="楷体"/>
          <w:b/>
          <w:bCs/>
          <w:kern w:val="0"/>
          <w:sz w:val="32"/>
          <w:szCs w:val="32"/>
          <w:shd w:val="clear" w:color="auto" w:fill="FFFFFF"/>
          <w:lang w:val="en-US" w:eastAsia="zh-CN" w:bidi="ar-SA"/>
        </w:rPr>
        <w:t>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年度本单位因公出国（境）共计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个团组，</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人；公务用车购置</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辆，公务车保有量为</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辆；国内公务接待</w:t>
      </w:r>
      <w:r>
        <w:rPr>
          <w:rFonts w:hint="default" w:ascii="Times New Roman" w:hAnsi="Times New Roman" w:eastAsia="方正仿宋_GBK" w:cs="Times New Roman"/>
          <w:kern w:val="0"/>
          <w:sz w:val="32"/>
          <w:szCs w:val="32"/>
          <w:shd w:val="clear" w:color="auto" w:fill="FFFFFF"/>
          <w:lang w:val="en-US" w:eastAsia="zh-CN"/>
        </w:rPr>
        <w:t>4</w:t>
      </w:r>
      <w:r>
        <w:rPr>
          <w:rFonts w:hint="eastAsia" w:ascii="Times New Roman" w:hAnsi="Times New Roman" w:eastAsia="方正仿宋_GBK" w:cs="Times New Roman"/>
          <w:kern w:val="0"/>
          <w:sz w:val="32"/>
          <w:szCs w:val="32"/>
          <w:shd w:val="clear" w:color="auto" w:fill="FFFFFF"/>
          <w:lang w:val="en-US" w:eastAsia="zh-CN"/>
        </w:rPr>
        <w:t>批次</w:t>
      </w:r>
      <w:r>
        <w:rPr>
          <w:rFonts w:hint="default" w:ascii="Times New Roman" w:hAnsi="Times New Roman" w:eastAsia="方正仿宋_GBK" w:cs="Times New Roman"/>
          <w:kern w:val="0"/>
          <w:sz w:val="32"/>
          <w:szCs w:val="32"/>
          <w:shd w:val="clear" w:color="auto" w:fill="FFFFFF"/>
          <w:lang w:val="en-US" w:eastAsia="zh-CN"/>
        </w:rPr>
        <w:t>28</w:t>
      </w:r>
      <w:r>
        <w:rPr>
          <w:rFonts w:hint="eastAsia" w:ascii="Times New Roman" w:hAnsi="Times New Roman" w:eastAsia="方正仿宋_GBK" w:cs="Times New Roman"/>
          <w:kern w:val="0"/>
          <w:sz w:val="32"/>
          <w:szCs w:val="32"/>
          <w:shd w:val="clear" w:color="auto" w:fill="FFFFFF"/>
          <w:lang w:val="en-US" w:eastAsia="zh-CN"/>
        </w:rPr>
        <w:t>人，其中：国内外事接待</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批次，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人；国（境）外公务接待</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批次，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w:t>
      </w:r>
      <w:r>
        <w:rPr>
          <w:rFonts w:hint="default" w:ascii="Times New Roman" w:hAnsi="Times New Roman" w:eastAsia="方正仿宋_GBK" w:cs="Times New Roman"/>
          <w:kern w:val="0"/>
          <w:sz w:val="32"/>
          <w:szCs w:val="32"/>
          <w:shd w:val="clear" w:color="auto" w:fill="FFFFFF"/>
          <w:lang w:val="en-US" w:eastAsia="zh-CN"/>
        </w:rPr>
        <w:t>2024</w:t>
      </w:r>
      <w:r>
        <w:rPr>
          <w:rFonts w:hint="eastAsia" w:ascii="Times New Roman" w:hAnsi="Times New Roman" w:eastAsia="方正仿宋_GBK" w:cs="Times New Roman"/>
          <w:kern w:val="0"/>
          <w:sz w:val="32"/>
          <w:szCs w:val="32"/>
          <w:shd w:val="clear" w:color="auto" w:fill="FFFFFF"/>
          <w:lang w:val="en-US" w:eastAsia="zh-CN"/>
        </w:rPr>
        <w:t>年本单位人均接待费99.54元，车均购置费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万元，车均维护费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w:t>
      </w:r>
      <w:r>
        <w:rPr>
          <w:rFonts w:hint="eastAsia" w:ascii="方正仿宋_GBK" w:hAnsi="方正仿宋_GBK" w:eastAsia="方正仿宋_GBK" w:cs="方正仿宋_GBK"/>
          <w:kern w:val="0"/>
          <w:sz w:val="32"/>
          <w:szCs w:val="32"/>
          <w:shd w:val="clear" w:fill="FFFFFF"/>
        </w:rPr>
        <w:t>元。</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kern w:val="0"/>
          <w:sz w:val="32"/>
          <w:szCs w:val="32"/>
          <w:shd w:val="clear" w:color="auto" w:fill="FFFFFF"/>
          <w:lang w:val="en-US" w:eastAsia="zh-CN"/>
        </w:rPr>
        <w:t>0.00万元，与2023年度相比，减少0.26万元，下降100.0%，</w:t>
      </w:r>
      <w:r>
        <w:rPr>
          <w:rFonts w:hint="eastAsia" w:ascii="Times New Roman" w:hAnsi="Times New Roman" w:eastAsia="方正仿宋_GBK" w:cs="Times New Roman"/>
          <w:kern w:val="0"/>
          <w:sz w:val="32"/>
          <w:szCs w:val="32"/>
          <w:shd w:val="clear" w:color="auto" w:fill="FFFFFF"/>
          <w:lang w:val="en-US" w:eastAsia="zh-CN"/>
        </w:rPr>
        <w:t>主要原因是2024年本单位未发生会议费。</w:t>
      </w:r>
      <w:r>
        <w:rPr>
          <w:rFonts w:hint="default" w:ascii="Times New Roman" w:hAnsi="Times New Roman" w:eastAsia="方正仿宋_GBK" w:cs="Times New Roman"/>
          <w:kern w:val="0"/>
          <w:sz w:val="32"/>
          <w:szCs w:val="32"/>
          <w:shd w:val="clear" w:color="auto" w:fill="FFFFFF"/>
          <w:lang w:val="en-US" w:eastAsia="zh-CN"/>
        </w:rPr>
        <w:t>本年度培训费支出0.18万元，与2023年度相比，减少0.29万元，下降61.7%，</w:t>
      </w:r>
      <w:r>
        <w:rPr>
          <w:rFonts w:hint="eastAsia" w:ascii="Times New Roman" w:hAnsi="Times New Roman" w:eastAsia="方正仿宋_GBK" w:cs="Times New Roman"/>
          <w:kern w:val="0"/>
          <w:sz w:val="32"/>
          <w:szCs w:val="32"/>
          <w:shd w:val="clear" w:color="auto" w:fill="FFFFFF"/>
          <w:lang w:val="en-US" w:eastAsia="zh-CN"/>
        </w:rPr>
        <w:t>主</w:t>
      </w:r>
      <w:r>
        <w:rPr>
          <w:rFonts w:hint="eastAsia" w:ascii="方正仿宋_GBK" w:hAnsi="方正仿宋_GBK" w:eastAsia="方正仿宋_GBK" w:cs="方正仿宋_GBK"/>
          <w:kern w:val="0"/>
          <w:sz w:val="32"/>
          <w:szCs w:val="32"/>
          <w:shd w:val="clear" w:fill="FFFFFF"/>
        </w:rPr>
        <w:t>要原因是本单位厉行节约，严格控制培训费支出。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本单位是重庆市九龙坡区农业农村委员会下属事业单位，国有资产占有使用情况在重庆市九龙坡区农业农村委员会（本级）统一反映。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rPr>
        <w:t>2024年度</w:t>
      </w:r>
      <w:r>
        <w:rPr>
          <w:rFonts w:hint="eastAsia" w:ascii="方正仿宋_GBK" w:hAnsi="方正仿宋_GBK" w:eastAsia="方正仿宋_GBK" w:cs="方正仿宋_GBK"/>
          <w:kern w:val="0"/>
          <w:sz w:val="32"/>
          <w:szCs w:val="32"/>
          <w:shd w:val="clear" w:fill="FFFFFF"/>
          <w:lang w:val="en-US" w:eastAsia="zh-CN"/>
        </w:rPr>
        <w:t>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本单位是重庆市九龙坡区农业农村委员会下属事业单位，政府采购预算由重庆市九龙坡区农业农村委员会（本级）统一编制。</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本单位是重庆市九龙坡区农业农村委员会下属事业单位，项目支出预算由重庆市九龙坡区农业农村委员会统一编制，故本单位无绩效目标设置情况。</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color="auto"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重庆市九龙坡区农村经营管理站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135.29</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rPr>
          <w:rFonts w:hint="default" w:cs="宋体"/>
          <w:sz w:val="21"/>
          <w:szCs w:val="21"/>
        </w:rPr>
      </w:pPr>
    </w:p>
    <w:tbl>
      <w:tblPr>
        <w:tblStyle w:val="9"/>
        <w:tblW w:w="15297"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16"/>
      </w:tblGrid>
      <w:tr>
        <w:tblPrEx>
          <w:tblCellMar>
            <w:top w:w="0" w:type="dxa"/>
            <w:left w:w="0" w:type="dxa"/>
            <w:bottom w:w="0" w:type="dxa"/>
            <w:right w:w="0" w:type="dxa"/>
          </w:tblCellMar>
        </w:tblPrEx>
        <w:trPr>
          <w:trHeight w:val="641" w:hRule="atLeast"/>
        </w:trPr>
        <w:tc>
          <w:tcPr>
            <w:tcW w:w="1529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重庆市九龙坡区农村经营管理站</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ind w:left="600" w:hanging="600" w:hangingChars="300"/>
        <w:rPr>
          <w:rFonts w:hint="default" w:cs="宋体"/>
          <w:sz w:val="20"/>
          <w:szCs w:val="20"/>
        </w:rPr>
      </w:pPr>
      <w:r>
        <w:rPr>
          <w:rFonts w:cs="宋体"/>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重庆市九龙坡区农村经营管理站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备注：1.本表反映单位本年度各项支出情况。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default" w:cs="宋体"/>
          <w:sz w:val="21"/>
          <w:szCs w:val="21"/>
        </w:rPr>
      </w:pPr>
      <w:r>
        <w:rPr>
          <w:rFonts w:cs="宋体"/>
          <w:sz w:val="21"/>
          <w:szCs w:val="21"/>
        </w:rPr>
        <w:br w:type="page"/>
      </w:r>
    </w:p>
    <w:p>
      <w:pPr>
        <w:rPr>
          <w:rFonts w:hint="default" w:cs="宋体"/>
          <w:sz w:val="21"/>
          <w:szCs w:val="21"/>
        </w:rPr>
      </w:pPr>
    </w:p>
    <w:tbl>
      <w:tblPr>
        <w:tblStyle w:val="9"/>
        <w:tblW w:w="15252" w:type="dxa"/>
        <w:tblInd w:w="0" w:type="dxa"/>
        <w:tblLayout w:type="fixed"/>
        <w:tblCellMar>
          <w:top w:w="0" w:type="dxa"/>
          <w:left w:w="0" w:type="dxa"/>
          <w:bottom w:w="0" w:type="dxa"/>
          <w:right w:w="0" w:type="dxa"/>
        </w:tblCellMar>
      </w:tblPr>
      <w:tblGrid>
        <w:gridCol w:w="2967"/>
        <w:gridCol w:w="1521"/>
        <w:gridCol w:w="3179"/>
        <w:gridCol w:w="1694"/>
        <w:gridCol w:w="1931"/>
        <w:gridCol w:w="2100"/>
        <w:gridCol w:w="1860"/>
      </w:tblGrid>
      <w:tr>
        <w:tblPrEx>
          <w:tblCellMar>
            <w:top w:w="0" w:type="dxa"/>
            <w:left w:w="0" w:type="dxa"/>
            <w:bottom w:w="0" w:type="dxa"/>
            <w:right w:w="0" w:type="dxa"/>
          </w:tblCellMar>
        </w:tblPrEx>
        <w:trPr>
          <w:trHeight w:val="90" w:hRule="atLeast"/>
        </w:trPr>
        <w:tc>
          <w:tcPr>
            <w:tcW w:w="1525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重庆市九龙坡区农村经营管理站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6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6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58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21.43</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21.43</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100.51</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100.51</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135.29</w:t>
            </w:r>
            <w:r>
              <w:rPr>
                <w:rFonts w:ascii="Times New Roman" w:hAnsi="Times New Roman"/>
                <w:color w:val="000000"/>
                <w:sz w:val="18"/>
                <w:u w:color="auto"/>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重庆市九龙坡区农村经营管理站</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重庆市九龙坡区农村经营管理站</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103.61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重庆市九龙坡区农村经营管理站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重庆市九龙坡区农村经营管理站</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15294" w:type="dxa"/>
        <w:tblInd w:w="0" w:type="dxa"/>
        <w:tblLayout w:type="fixed"/>
        <w:tblCellMar>
          <w:top w:w="0" w:type="dxa"/>
          <w:left w:w="170" w:type="dxa"/>
          <w:bottom w:w="0" w:type="dxa"/>
          <w:right w:w="170" w:type="dxa"/>
        </w:tblCellMar>
      </w:tblPr>
      <w:tblGrid>
        <w:gridCol w:w="3178"/>
        <w:gridCol w:w="2415"/>
        <w:gridCol w:w="2376"/>
        <w:gridCol w:w="3673"/>
        <w:gridCol w:w="3652"/>
      </w:tblGrid>
      <w:tr>
        <w:tblPrEx>
          <w:tblCellMar>
            <w:top w:w="0" w:type="dxa"/>
            <w:left w:w="170" w:type="dxa"/>
            <w:bottom w:w="0" w:type="dxa"/>
            <w:right w:w="170" w:type="dxa"/>
          </w:tblCellMar>
        </w:tblPrEx>
        <w:trPr>
          <w:trHeight w:val="343" w:hRule="atLeast"/>
        </w:trPr>
        <w:tc>
          <w:tcPr>
            <w:tcW w:w="15294"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3"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5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重庆市九龙坡区农村经营管理站</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3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rPr>
          <w:rFonts w:hint="eastAsia" w:eastAsia="宋体" w:cs="宋体"/>
          <w:sz w:val="18"/>
          <w:szCs w:val="18"/>
          <w:lang w:eastAsia="zh-CN"/>
        </w:rPr>
      </w:pPr>
    </w:p>
    <w:p>
      <w:pPr>
        <w:rPr>
          <w:rFonts w:hint="eastAsia" w:eastAsia="宋体" w:cs="宋体"/>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D2235D"/>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A8F73C4"/>
    <w:rsid w:val="0B1451F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9D7244"/>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58F659C"/>
    <w:rsid w:val="26396DF4"/>
    <w:rsid w:val="266B763B"/>
    <w:rsid w:val="27167136"/>
    <w:rsid w:val="27B23302"/>
    <w:rsid w:val="27D424D7"/>
    <w:rsid w:val="285722C3"/>
    <w:rsid w:val="28A52AD5"/>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7E147E"/>
    <w:rsid w:val="31BE24D6"/>
    <w:rsid w:val="31D84415"/>
    <w:rsid w:val="32285F6F"/>
    <w:rsid w:val="32770556"/>
    <w:rsid w:val="329C0913"/>
    <w:rsid w:val="3337290D"/>
    <w:rsid w:val="334B0167"/>
    <w:rsid w:val="35076329"/>
    <w:rsid w:val="352930DB"/>
    <w:rsid w:val="35573069"/>
    <w:rsid w:val="358C217E"/>
    <w:rsid w:val="359E7284"/>
    <w:rsid w:val="359F188C"/>
    <w:rsid w:val="36900B1D"/>
    <w:rsid w:val="36C9128A"/>
    <w:rsid w:val="36F52B0C"/>
    <w:rsid w:val="37841E99"/>
    <w:rsid w:val="379C594F"/>
    <w:rsid w:val="37BF1123"/>
    <w:rsid w:val="37C85E36"/>
    <w:rsid w:val="38BC1135"/>
    <w:rsid w:val="38BE4696"/>
    <w:rsid w:val="39257B24"/>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9A3752"/>
    <w:rsid w:val="47BE6D02"/>
    <w:rsid w:val="48225EF7"/>
    <w:rsid w:val="48A36D47"/>
    <w:rsid w:val="495C4A24"/>
    <w:rsid w:val="49A21DF3"/>
    <w:rsid w:val="49C811E4"/>
    <w:rsid w:val="4A216E30"/>
    <w:rsid w:val="4AAF5866"/>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601FC2"/>
    <w:rsid w:val="50272DEA"/>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7245B5"/>
    <w:rsid w:val="598A28E2"/>
    <w:rsid w:val="5A326535"/>
    <w:rsid w:val="5A6279C1"/>
    <w:rsid w:val="5AD563E4"/>
    <w:rsid w:val="5C1336B7"/>
    <w:rsid w:val="5C263CE4"/>
    <w:rsid w:val="5C5D2777"/>
    <w:rsid w:val="5C722D7F"/>
    <w:rsid w:val="5D290C69"/>
    <w:rsid w:val="5DC17CC6"/>
    <w:rsid w:val="5E407E72"/>
    <w:rsid w:val="5EFA176D"/>
    <w:rsid w:val="5F0247F9"/>
    <w:rsid w:val="5F2D4A41"/>
    <w:rsid w:val="5FFA4A75"/>
    <w:rsid w:val="601C34ED"/>
    <w:rsid w:val="60A511FB"/>
    <w:rsid w:val="60BD3DFC"/>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1C468A"/>
    <w:rsid w:val="687E45FE"/>
    <w:rsid w:val="692172FD"/>
    <w:rsid w:val="69E62403"/>
    <w:rsid w:val="6A3829EE"/>
    <w:rsid w:val="6A924CB7"/>
    <w:rsid w:val="6AE0292E"/>
    <w:rsid w:val="6B474EF5"/>
    <w:rsid w:val="6BC27679"/>
    <w:rsid w:val="6BC54EFE"/>
    <w:rsid w:val="6C0737CC"/>
    <w:rsid w:val="6C560CAE"/>
    <w:rsid w:val="6CD15296"/>
    <w:rsid w:val="6D903FF5"/>
    <w:rsid w:val="6DA955B8"/>
    <w:rsid w:val="6DE346AB"/>
    <w:rsid w:val="6E6A4E15"/>
    <w:rsid w:val="6F653D67"/>
    <w:rsid w:val="6FFB2E76"/>
    <w:rsid w:val="70464F39"/>
    <w:rsid w:val="70AB70D6"/>
    <w:rsid w:val="70DE5507"/>
    <w:rsid w:val="71C34D91"/>
    <w:rsid w:val="71E225EE"/>
    <w:rsid w:val="71ED38AA"/>
    <w:rsid w:val="723F3B65"/>
    <w:rsid w:val="72BA7DBD"/>
    <w:rsid w:val="72DB435C"/>
    <w:rsid w:val="738549F4"/>
    <w:rsid w:val="74ED1B1B"/>
    <w:rsid w:val="74F23C24"/>
    <w:rsid w:val="750837F0"/>
    <w:rsid w:val="762A73EF"/>
    <w:rsid w:val="7631412E"/>
    <w:rsid w:val="764F62AB"/>
    <w:rsid w:val="765C45EC"/>
    <w:rsid w:val="768A7619"/>
    <w:rsid w:val="7714640F"/>
    <w:rsid w:val="773958B6"/>
    <w:rsid w:val="77BF1EDC"/>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26"/>
    <w:basedOn w:val="10"/>
    <w:qFormat/>
    <w:uiPriority w:val="0"/>
    <w:rPr>
      <w:rFonts w:hint="default" w:ascii="Times New Roman" w:hAnsi="Times New Roman" w:cs="Times New Roman"/>
      <w:b/>
    </w:rPr>
  </w:style>
  <w:style w:type="character" w:customStyle="1" w:styleId="17">
    <w:name w:val="58"/>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8055</Words>
  <Characters>10219</Characters>
  <Lines>161</Lines>
  <Paragraphs>45</Paragraphs>
  <TotalTime>0</TotalTime>
  <ScaleCrop>false</ScaleCrop>
  <LinksUpToDate>false</LinksUpToDate>
  <CharactersWithSpaces>11245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2025-10-29T15:05:04Z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