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widowControl/>
        <w:suppressLineNumbers w:val="0"/>
        <w:autoSpaceDE/>
        <w:autoSpaceDN w:val="0"/>
        <w:spacing w:before="0" w:beforeAutospacing="0" w:after="0" w:afterAutospacing="0" w:line="600" w:lineRule="exact"/>
        <w:ind w:left="0" w:right="0"/>
        <w:jc w:val="center"/>
        <w:rPr>
          <w:rFonts w:hint="eastAsia" w:ascii="Times New Roman" w:hAnsi="Times New Roman" w:eastAsia="方正小标宋_GBK" w:cs="方正小标宋_GBK"/>
          <w:kern w:val="0"/>
          <w:sz w:val="44"/>
          <w:szCs w:val="44"/>
        </w:rPr>
      </w:pPr>
      <w:r>
        <w:rPr>
          <w:rFonts w:hint="eastAsia" w:ascii="方正小标宋_GBK" w:hAnsi="方正小标宋_GBK" w:eastAsia="方正小标宋_GBK" w:cs="方正小标宋_GBK"/>
          <w:kern w:val="0"/>
          <w:sz w:val="44"/>
          <w:szCs w:val="44"/>
        </w:rPr>
        <w:t>重庆市九龙坡区农村人居环境建设中心</w:t>
      </w:r>
    </w:p>
    <w:p>
      <w:pPr>
        <w:pStyle w:val="13"/>
        <w:keepNext w:val="0"/>
        <w:keepLines w:val="0"/>
        <w:widowControl/>
        <w:suppressLineNumbers w:val="0"/>
        <w:autoSpaceDE/>
        <w:autoSpaceDN w:val="0"/>
        <w:spacing w:before="0" w:beforeAutospacing="0" w:after="0" w:afterAutospacing="0" w:line="600" w:lineRule="exact"/>
        <w:ind w:left="0" w:right="0"/>
        <w:jc w:val="center"/>
        <w:rPr>
          <w:rFonts w:hint="eastAsia" w:ascii="Times New Roman" w:hAnsi="Times New Roman" w:eastAsia="方正小标宋_GBK" w:cs="方正小标宋_GBK"/>
          <w:kern w:val="0"/>
          <w:sz w:val="44"/>
          <w:szCs w:val="44"/>
        </w:rPr>
      </w:pPr>
      <w:r>
        <w:rPr>
          <w:rFonts w:hint="eastAsia" w:ascii="方正小标宋_GBK" w:hAnsi="方正小标宋_GBK" w:eastAsia="方正小标宋_GBK" w:cs="方正小标宋_GBK"/>
          <w:kern w:val="0"/>
          <w:sz w:val="44"/>
          <w:szCs w:val="44"/>
        </w:rPr>
        <w:t>2024年度单位决算情况说明</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jc w:val="left"/>
        <w:textAlignment w:val="auto"/>
        <w:rPr>
          <w:rFonts w:hint="default" w:ascii="Times New Roman" w:hAnsi="Times New Roman" w:eastAsia="宋体" w:cs="Times New Roman"/>
          <w:b/>
          <w:kern w:val="0"/>
          <w:sz w:val="24"/>
          <w:szCs w:val="24"/>
          <w:shd w:val="clear" w:fill="FFFFFF"/>
        </w:rPr>
      </w:pPr>
      <w:r>
        <w:rPr>
          <w:rStyle w:val="16"/>
          <w:rFonts w:hint="default" w:ascii="Times New Roman" w:hAnsi="Times New Roman" w:eastAsia="宋体" w:cs="Times New Roman"/>
          <w:b/>
          <w:shd w:val="clear" w:fill="FFFFFF"/>
        </w:rPr>
        <w:t xml:space="preserve"> </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方正黑体_GBK"/>
          <w:b w:val="0"/>
          <w:kern w:val="0"/>
          <w:sz w:val="32"/>
          <w:szCs w:val="32"/>
        </w:rPr>
      </w:pPr>
      <w:r>
        <w:rPr>
          <w:rStyle w:val="11"/>
          <w:rFonts w:hint="eastAsia" w:ascii="黑体" w:hAnsi="黑体" w:eastAsia="黑体" w:cs="黑体"/>
          <w:kern w:val="0"/>
          <w:sz w:val="32"/>
          <w:szCs w:val="32"/>
          <w:shd w:val="clear" w:color="auto" w:fill="FFFFFF"/>
          <w:lang w:val="en-US" w:eastAsia="zh-CN" w:bidi="ar-SA"/>
        </w:rPr>
        <w:t>一、部门基本情况</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rPr>
      </w:pPr>
      <w:r>
        <w:rPr>
          <w:rFonts w:hint="eastAsia" w:ascii="楷体" w:hAnsi="楷体" w:eastAsia="楷体" w:cs="楷体"/>
          <w:b/>
          <w:bCs/>
          <w:kern w:val="0"/>
          <w:sz w:val="32"/>
          <w:szCs w:val="32"/>
          <w:shd w:val="clear" w:color="auto" w:fill="FFFFFF"/>
          <w:lang w:val="en-US" w:eastAsia="zh-CN" w:bidi="ar-SA"/>
        </w:rPr>
        <w:t>（一）职能职责。</w:t>
      </w:r>
      <w:r>
        <w:rPr>
          <w:rFonts w:hint="eastAsia" w:ascii="方正仿宋_GBK" w:hAnsi="方正仿宋_GBK" w:eastAsia="方正仿宋_GBK" w:cs="方正仿宋_GBK"/>
          <w:b w:val="0"/>
          <w:kern w:val="0"/>
          <w:sz w:val="32"/>
          <w:szCs w:val="32"/>
        </w:rPr>
        <w:t>牵头组织改善农村人居环境，统筹指导村庄整治、村容村貌提升；协调开展全区农村人居环境整治具体工作；建立联席调</w:t>
      </w:r>
      <w:r>
        <w:rPr>
          <w:rFonts w:hint="eastAsia" w:ascii="方正仿宋_GBK" w:hAnsi="方正仿宋_GBK" w:eastAsia="方正仿宋_GBK" w:cs="方正仿宋_GBK"/>
          <w:kern w:val="0"/>
          <w:sz w:val="32"/>
          <w:szCs w:val="32"/>
        </w:rPr>
        <w:t>度、检查评估、完善目标任务台账、情况报送、总结提炼农村人居环境建设运行管护等机制；负责研究建立村容村貌整治提升、农业生产废弃物资源化利用相关标准和模式，编写技术规范，指导科学合理建设与管护；负责制定畜禽粪肥还田利用标准，加强粪肥科学还田利用指导，推动有机肥替代化肥；培育壮大秸秆产业化利用主体，建立秸秆利用长效机制；负责推进农村入户道路建设，农业生物废弃物非正规堆放点整治，开展厕所粪污、畜禽养殖废弃物一并处理并资源化利用；完成区委农业农村工委、区农业农村委交办的其他任务。</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eastAsia" w:ascii="Times New Roman" w:hAnsi="Times New Roman" w:eastAsia="方正仿宋_GBK" w:cs="方正仿宋_GBK"/>
          <w:kern w:val="0"/>
          <w:sz w:val="32"/>
          <w:szCs w:val="32"/>
        </w:rPr>
      </w:pPr>
      <w:r>
        <w:rPr>
          <w:rFonts w:hint="eastAsia" w:ascii="楷体" w:hAnsi="楷体" w:eastAsia="楷体" w:cs="楷体"/>
          <w:b/>
          <w:bCs/>
          <w:kern w:val="0"/>
          <w:sz w:val="32"/>
          <w:szCs w:val="32"/>
          <w:shd w:val="clear" w:color="auto" w:fill="FFFFFF"/>
          <w:lang w:val="en-US" w:eastAsia="zh-CN" w:bidi="ar-SA"/>
        </w:rPr>
        <w:t>（二）机构设置。</w:t>
      </w:r>
      <w:r>
        <w:rPr>
          <w:rFonts w:hint="eastAsia" w:ascii="方正仿宋_GBK" w:hAnsi="方正仿宋_GBK" w:eastAsia="方正仿宋_GBK" w:cs="方正仿宋_GBK"/>
          <w:kern w:val="0"/>
          <w:sz w:val="32"/>
          <w:szCs w:val="32"/>
          <w:shd w:val="clear" w:fill="FFFFFF"/>
        </w:rPr>
        <w:t>重庆市九龙坡区农村人居环境建设中心为重庆市九龙坡区农业农村委员会下属事业单位，属二</w:t>
      </w:r>
      <w:r>
        <w:rPr>
          <w:rFonts w:hint="eastAsia" w:ascii="方正仿宋_GBK" w:hAnsi="方正仿宋_GBK" w:eastAsia="方正仿宋_GBK" w:cs="方正仿宋_GBK"/>
          <w:kern w:val="0"/>
          <w:sz w:val="32"/>
          <w:szCs w:val="32"/>
        </w:rPr>
        <w:t>级预算单位。</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（三）单位构成。</w:t>
      </w:r>
      <w:r>
        <w:rPr>
          <w:rFonts w:hint="eastAsia" w:ascii="方正仿宋_GBK" w:hAnsi="方正仿宋_GBK" w:eastAsia="方正仿宋_GBK" w:cs="方正仿宋_GBK"/>
          <w:kern w:val="0"/>
          <w:sz w:val="32"/>
          <w:szCs w:val="32"/>
          <w:shd w:val="clear" w:fill="FFFFFF"/>
        </w:rPr>
        <w:t>从预算单位构成看，纳入本单位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年度决算编制范围的二级预算单位为九龙坡区农村人居环境建设中心。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方正黑体_GBK"/>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二、部门决算情况说明</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方正仿宋_GBK" w:hAnsi="方正仿宋_GBK" w:eastAsia="方正仿宋_GBK" w:cs="方正仿宋_GBK"/>
          <w:b/>
          <w:kern w:val="0"/>
          <w:sz w:val="32"/>
          <w:szCs w:val="32"/>
          <w:shd w:val="clear" w:fill="FFFFFF"/>
        </w:rPr>
        <w:t>1.总体情况。</w:t>
      </w:r>
      <w:r>
        <w:rPr>
          <w:rFonts w:hint="eastAsia" w:ascii="Times New Roman" w:hAnsi="Times New Roman" w:eastAsia="方正仿宋_GBK" w:cs="Times New Roman"/>
          <w:kern w:val="0"/>
          <w:sz w:val="32"/>
          <w:szCs w:val="32"/>
          <w:shd w:val="clear" w:color="auto" w:fill="FFFFFF"/>
          <w:lang w:val="en-US" w:eastAsia="zh-CN" w:bidi="ar-SA"/>
        </w:rPr>
        <w:t>2024年</w:t>
      </w:r>
      <w:r>
        <w:rPr>
          <w:rFonts w:hint="default" w:ascii="Times New Roman" w:hAnsi="Times New Roman" w:eastAsia="方正仿宋_GBK" w:cs="Times New Roman"/>
          <w:kern w:val="0"/>
          <w:sz w:val="32"/>
          <w:szCs w:val="32"/>
          <w:shd w:val="clear" w:color="auto" w:fill="FFFFFF"/>
          <w:lang w:val="en-US" w:eastAsia="zh-CN" w:bidi="ar-SA"/>
        </w:rPr>
        <w:t>度收入总计161.96万元，支出总计161.96万元。收、支与2023年度相比，增加36.89万元，增长29.5%，</w:t>
      </w:r>
      <w:r>
        <w:rPr>
          <w:rFonts w:hint="eastAsia" w:ascii="Times New Roman" w:hAnsi="Times New Roman" w:eastAsia="方正仿宋_GBK" w:cs="Times New Roman"/>
          <w:kern w:val="0"/>
          <w:sz w:val="32"/>
          <w:szCs w:val="32"/>
          <w:shd w:val="clear" w:color="auto" w:fill="FFFFFF"/>
          <w:lang w:val="en-US" w:eastAsia="zh-CN" w:bidi="ar-SA"/>
        </w:rPr>
        <w:t>主要原因是2024年本单位人</w:t>
      </w:r>
      <w:r>
        <w:rPr>
          <w:rFonts w:hint="eastAsia" w:ascii="方正仿宋_GBK" w:hAnsi="方正仿宋_GBK" w:eastAsia="方正仿宋_GBK" w:cs="方正仿宋_GBK"/>
          <w:b w:val="0"/>
          <w:color w:val="auto"/>
          <w:kern w:val="0"/>
          <w:sz w:val="32"/>
          <w:szCs w:val="32"/>
          <w:shd w:val="clear" w:fill="FFFFFF"/>
        </w:rPr>
        <w:t>员经费增加。</w:t>
      </w:r>
    </w:p>
    <w:p>
      <w:pPr>
        <w:keepNext w:val="0"/>
        <w:keepLines w:val="0"/>
        <w:pageBreakBefore w:val="0"/>
        <w:widowControl w:val="0"/>
        <w:suppressLineNumbers w:val="0"/>
        <w:shd w:val="clear" w:fill="FFFFFF"/>
        <w:kinsoku/>
        <w:wordWrap/>
        <w:overflowPunct/>
        <w:topLinePunct w:val="0"/>
        <w:autoSpaceDE w:val="0"/>
        <w:autoSpaceDN/>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b/>
          <w:kern w:val="0"/>
          <w:sz w:val="32"/>
          <w:szCs w:val="32"/>
          <w:shd w:val="clear" w:fill="FFFFFF"/>
        </w:rPr>
        <w:t>2.收入情况。</w:t>
      </w:r>
      <w:r>
        <w:rPr>
          <w:rFonts w:hint="eastAsia" w:ascii="Times New Roman" w:hAnsi="Times New Roman" w:eastAsia="方正仿宋_GBK" w:cs="Times New Roman"/>
          <w:kern w:val="0"/>
          <w:sz w:val="32"/>
          <w:szCs w:val="32"/>
          <w:shd w:val="clear" w:color="auto" w:fill="FFFFFF"/>
          <w:lang w:val="en-US" w:eastAsia="zh-CN" w:bidi="ar-SA"/>
        </w:rPr>
        <w:t>2024年度收入合计161.96万元，与2023年度相比，增加36.89万元，增长29.5%，主要原因是2024年本单位人员经费增加。其中：财政拨款收入</w:t>
      </w:r>
      <w:r>
        <w:rPr>
          <w:rFonts w:hint="default" w:ascii="Times New Roman" w:hAnsi="Times New Roman" w:eastAsia="方正仿宋_GBK" w:cs="Times New Roman"/>
          <w:kern w:val="0"/>
          <w:sz w:val="32"/>
          <w:szCs w:val="32"/>
          <w:shd w:val="clear" w:color="auto" w:fill="FFFFFF"/>
          <w:lang w:val="en-US" w:eastAsia="zh-CN" w:bidi="ar-SA"/>
        </w:rPr>
        <w:t>161.96</w:t>
      </w:r>
      <w:r>
        <w:rPr>
          <w:rFonts w:hint="eastAsia" w:ascii="Times New Roman" w:hAnsi="Times New Roman" w:eastAsia="方正仿宋_GBK" w:cs="Times New Roman"/>
          <w:kern w:val="0"/>
          <w:sz w:val="32"/>
          <w:szCs w:val="32"/>
          <w:shd w:val="clear" w:color="auto" w:fill="FFFFFF"/>
          <w:lang w:val="en-US" w:eastAsia="zh-CN" w:bidi="ar-SA"/>
        </w:rPr>
        <w:t>万元，占</w:t>
      </w:r>
      <w:r>
        <w:rPr>
          <w:rFonts w:hint="default" w:ascii="Times New Roman" w:hAnsi="Times New Roman" w:eastAsia="方正仿宋_GBK" w:cs="Times New Roman"/>
          <w:kern w:val="0"/>
          <w:sz w:val="32"/>
          <w:szCs w:val="32"/>
          <w:shd w:val="clear" w:color="auto" w:fill="FFFFFF"/>
          <w:lang w:val="en-US" w:eastAsia="zh-CN" w:bidi="ar-SA"/>
        </w:rPr>
        <w:t>100.00%</w:t>
      </w:r>
      <w:r>
        <w:rPr>
          <w:rFonts w:hint="eastAsia" w:ascii="Times New Roman" w:hAnsi="Times New Roman" w:eastAsia="方正仿宋_GBK" w:cs="Times New Roman"/>
          <w:kern w:val="0"/>
          <w:sz w:val="32"/>
          <w:szCs w:val="32"/>
          <w:shd w:val="clear" w:color="auto" w:fill="FFFFFF"/>
          <w:lang w:val="en-US" w:eastAsia="zh-CN" w:bidi="ar-SA"/>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b/>
          <w:kern w:val="0"/>
          <w:sz w:val="32"/>
          <w:szCs w:val="32"/>
          <w:shd w:val="clear" w:fill="FFFFFF"/>
        </w:rPr>
        <w:t>3.支出情况。</w:t>
      </w:r>
      <w:r>
        <w:rPr>
          <w:rFonts w:hint="eastAsia" w:ascii="Times New Roman" w:hAnsi="Times New Roman" w:eastAsia="方正仿宋_GBK" w:cs="Times New Roman"/>
          <w:kern w:val="0"/>
          <w:sz w:val="32"/>
          <w:szCs w:val="32"/>
          <w:shd w:val="clear" w:color="auto" w:fill="FFFFFF"/>
          <w:lang w:val="en-US" w:eastAsia="zh-CN" w:bidi="ar-SA"/>
        </w:rPr>
        <w:t>2024年度支出合计161.96万元，与2023年度相比，增加36.89万元，增长29.5%，主要原因是2024年本单位人员经费增加。其中：基本支出</w:t>
      </w:r>
      <w:r>
        <w:rPr>
          <w:rFonts w:hint="default" w:ascii="Times New Roman" w:hAnsi="Times New Roman" w:eastAsia="方正仿宋_GBK" w:cs="Times New Roman"/>
          <w:kern w:val="0"/>
          <w:sz w:val="32"/>
          <w:szCs w:val="32"/>
          <w:shd w:val="clear" w:color="auto" w:fill="FFFFFF"/>
          <w:lang w:val="en-US" w:eastAsia="zh-CN" w:bidi="ar-SA"/>
        </w:rPr>
        <w:t>161.96</w:t>
      </w:r>
      <w:r>
        <w:rPr>
          <w:rFonts w:hint="eastAsia" w:ascii="Times New Roman" w:hAnsi="Times New Roman" w:eastAsia="方正仿宋_GBK" w:cs="Times New Roman"/>
          <w:kern w:val="0"/>
          <w:sz w:val="32"/>
          <w:szCs w:val="32"/>
          <w:shd w:val="clear" w:color="auto" w:fill="FFFFFF"/>
          <w:lang w:val="en-US" w:eastAsia="zh-CN" w:bidi="ar-SA"/>
        </w:rPr>
        <w:t>万元，占</w:t>
      </w:r>
      <w:r>
        <w:rPr>
          <w:rFonts w:hint="default" w:ascii="Times New Roman" w:hAnsi="Times New Roman" w:eastAsia="方正仿宋_GBK" w:cs="Times New Roman"/>
          <w:kern w:val="0"/>
          <w:sz w:val="32"/>
          <w:szCs w:val="32"/>
          <w:shd w:val="clear" w:color="auto" w:fill="FFFFFF"/>
          <w:lang w:val="en-US" w:eastAsia="zh-CN" w:bidi="ar-SA"/>
        </w:rPr>
        <w:t>100.00%</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4.结转结余情况。</w:t>
      </w:r>
      <w:r>
        <w:rPr>
          <w:rFonts w:hint="eastAsia" w:ascii="Times New Roman" w:hAnsi="Times New Roman" w:eastAsia="方正仿宋_GBK" w:cs="Times New Roman"/>
          <w:kern w:val="0"/>
          <w:sz w:val="32"/>
          <w:szCs w:val="32"/>
          <w:shd w:val="clear" w:color="auto" w:fill="FFFFFF"/>
          <w:lang w:val="en-US" w:eastAsia="zh-CN" w:bidi="ar-SA"/>
        </w:rPr>
        <w:t>2024年度年末结转和结余0.00万元，与2023年度相比，无增减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2024年度财政拨款收、支总计161.96万元。与2023年相比，财政拨款收、支总计各增加36.89万元，增长29.5%。主要原因是2024</w:t>
      </w:r>
      <w:r>
        <w:rPr>
          <w:rFonts w:hint="eastAsia" w:ascii="方正仿宋_GBK" w:hAnsi="方正仿宋_GBK" w:eastAsia="方正仿宋_GBK" w:cs="方正仿宋_GBK"/>
          <w:b w:val="0"/>
          <w:color w:val="auto"/>
          <w:kern w:val="0"/>
          <w:sz w:val="32"/>
          <w:szCs w:val="32"/>
          <w:shd w:val="clear" w:fill="FFFFFF"/>
        </w:rPr>
        <w:t>年本单位人员经费增加造成本年财政拨款收、支增加。</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1.收入情况。</w:t>
      </w:r>
      <w:r>
        <w:rPr>
          <w:rFonts w:hint="eastAsia" w:ascii="Times New Roman" w:hAnsi="Times New Roman" w:eastAsia="方正仿宋_GBK" w:cs="Times New Roman"/>
          <w:kern w:val="0"/>
          <w:sz w:val="32"/>
          <w:szCs w:val="32"/>
          <w:shd w:val="clear" w:color="auto" w:fill="FFFFFF"/>
          <w:lang w:val="en-US" w:eastAsia="zh-CN" w:bidi="ar-SA"/>
        </w:rPr>
        <w:t>2024年度一般公共预算财政拨款收入161.96万元，与2023年度相比，增加36.89万元，增长29.5%。主要原因是2024年本单位人员经费增加。较年初预算数增加11.62万元，增长7.7%。主要原因是追加本单位人员经费。此外，年初财政拨款结转和结余</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方正仿宋_GBK" w:hAnsi="方正仿宋_GBK" w:eastAsia="方正仿宋_GBK" w:cs="方正仿宋_GBK"/>
          <w:kern w:val="0"/>
          <w:sz w:val="32"/>
          <w:szCs w:val="32"/>
          <w:shd w:val="clear" w:fill="FFFFFF"/>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kern w:val="0"/>
          <w:sz w:val="32"/>
          <w:szCs w:val="32"/>
          <w:shd w:val="clear" w:fill="FFFFFF"/>
        </w:rPr>
      </w:pPr>
      <w:r>
        <w:rPr>
          <w:rFonts w:hint="eastAsia" w:ascii="方正仿宋_GBK" w:hAnsi="方正仿宋_GBK" w:eastAsia="方正仿宋_GBK" w:cs="方正仿宋_GBK"/>
          <w:b/>
          <w:kern w:val="0"/>
          <w:sz w:val="32"/>
          <w:szCs w:val="32"/>
          <w:shd w:val="clear" w:fill="FFFFFF"/>
        </w:rPr>
        <w:t>2.支出情况。</w:t>
      </w:r>
      <w:r>
        <w:rPr>
          <w:rFonts w:hint="eastAsia" w:ascii="Times New Roman" w:hAnsi="Times New Roman" w:eastAsia="方正仿宋_GBK" w:cs="Times New Roman"/>
          <w:kern w:val="0"/>
          <w:sz w:val="32"/>
          <w:szCs w:val="32"/>
          <w:shd w:val="clear" w:color="auto" w:fill="FFFFFF"/>
          <w:lang w:val="en-US" w:eastAsia="zh-CN" w:bidi="ar-SA"/>
        </w:rPr>
        <w:t>2024年度一般公共预算财政拨款支出161.96万元，与2023年度相比，增加36.89万元，增长29.5%。主要原因是2024年本单位人员经费增加。较年初预算数增加11.62万元，增长7.7%。</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追加本单位人员经费</w:t>
      </w:r>
      <w:r>
        <w:rPr>
          <w:rFonts w:hint="eastAsia" w:ascii="方正仿宋_GBK" w:hAnsi="方正仿宋_GBK" w:eastAsia="方正仿宋_GBK" w:cs="方正仿宋_GBK"/>
          <w:color w:val="auto"/>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3.结转结余情况。</w:t>
      </w:r>
      <w:r>
        <w:rPr>
          <w:rFonts w:hint="eastAsia" w:ascii="Times New Roman" w:hAnsi="Times New Roman" w:eastAsia="方正仿宋_GBK" w:cs="Times New Roman"/>
          <w:kern w:val="0"/>
          <w:sz w:val="32"/>
          <w:szCs w:val="32"/>
          <w:shd w:val="clear" w:color="auto" w:fill="FFFFFF"/>
          <w:lang w:val="en-US" w:eastAsia="zh-CN" w:bidi="ar-SA"/>
        </w:rPr>
        <w:t>2024年度年末一般公共预算财政拨款结转和结余0.00万元，与2023年度</w:t>
      </w:r>
      <w:r>
        <w:rPr>
          <w:rFonts w:ascii="方正仿宋_GBK" w:hAnsi="方正仿宋_GBK" w:eastAsia="方正仿宋_GBK" w:cs="方正仿宋_GBK"/>
          <w:sz w:val="32"/>
          <w:szCs w:val="32"/>
          <w:shd w:val="clear" w:color="auto" w:fill="FFFFFF"/>
        </w:rPr>
        <w:t>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4.比较情况。</w:t>
      </w:r>
      <w:r>
        <w:rPr>
          <w:rFonts w:hint="eastAsia" w:ascii="方正仿宋_GBK" w:hAnsi="方正仿宋_GBK" w:eastAsia="方正仿宋_GBK" w:cs="方正仿宋_GBK"/>
          <w:kern w:val="0"/>
          <w:sz w:val="32"/>
          <w:szCs w:val="32"/>
          <w:shd w:val="clear" w:fill="FFFFFF"/>
        </w:rPr>
        <w:t>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社会保障与就业支</w:t>
      </w:r>
      <w:r>
        <w:rPr>
          <w:rFonts w:hint="default" w:ascii="Times New Roman" w:hAnsi="Times New Roman" w:eastAsia="方正仿宋_GBK" w:cs="Times New Roman"/>
          <w:kern w:val="0"/>
          <w:sz w:val="32"/>
          <w:szCs w:val="32"/>
          <w:shd w:val="clear" w:color="auto" w:fill="FFFFFF"/>
          <w:lang w:val="en-US" w:eastAsia="zh-CN" w:bidi="ar-SA"/>
        </w:rPr>
        <w:t>出25.08万元，占15.48%，较年初预算数增加13.94万元，增长125.1%，</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追加养老保险和职业年金等经费。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00B0F0"/>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卫生健康支</w:t>
      </w:r>
      <w:r>
        <w:rPr>
          <w:rFonts w:hint="default" w:ascii="Times New Roman" w:hAnsi="Times New Roman" w:eastAsia="方正仿宋_GBK" w:cs="Times New Roman"/>
          <w:kern w:val="0"/>
          <w:sz w:val="32"/>
          <w:szCs w:val="32"/>
          <w:shd w:val="clear" w:color="auto" w:fill="FFFFFF"/>
          <w:lang w:val="en-US" w:eastAsia="zh-CN" w:bidi="ar-SA"/>
        </w:rPr>
        <w:t>出5.40万元，占3.33%，较年初预算数减少0.36万元，下降6.3%，</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减少</w:t>
      </w:r>
      <w:r>
        <w:rPr>
          <w:rFonts w:hint="eastAsia" w:ascii="方正仿宋_GBK" w:hAnsi="方正仿宋_GBK" w:eastAsia="方正仿宋_GBK" w:cs="方正仿宋_GBK"/>
          <w:b w:val="0"/>
          <w:color w:val="auto"/>
          <w:kern w:val="0"/>
          <w:sz w:val="32"/>
          <w:szCs w:val="32"/>
          <w:shd w:val="clear" w:fill="FFFFFF"/>
          <w:lang w:val="en-US" w:eastAsia="zh-CN"/>
        </w:rPr>
        <w:t>经费</w:t>
      </w:r>
      <w:r>
        <w:rPr>
          <w:rFonts w:hint="eastAsia" w:ascii="方正仿宋_GBK" w:hAnsi="方正仿宋_GBK" w:eastAsia="方正仿宋_GBK" w:cs="方正仿宋_GBK"/>
          <w:b w:val="0"/>
          <w:color w:val="auto"/>
          <w:kern w:val="0"/>
          <w:sz w:val="32"/>
          <w:szCs w:val="32"/>
          <w:shd w:val="clear" w:fill="FFFFFF"/>
        </w:rPr>
        <w:t>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0000FF"/>
          <w:kern w:val="0"/>
          <w:sz w:val="32"/>
          <w:szCs w:val="32"/>
          <w:shd w:val="clear" w:fill="FFFFFF"/>
        </w:rPr>
      </w:pPr>
      <w:r>
        <w:rPr>
          <w:rFonts w:hint="eastAsia" w:ascii="方正仿宋_GBK" w:hAnsi="方正仿宋_GBK" w:eastAsia="方正仿宋_GBK" w:cs="方正仿宋_GBK"/>
          <w:kern w:val="0"/>
          <w:sz w:val="32"/>
          <w:szCs w:val="32"/>
          <w:shd w:val="clear" w:fill="FFFFFF"/>
        </w:rPr>
        <w:t>（3）</w:t>
      </w:r>
      <w:r>
        <w:rPr>
          <w:rFonts w:ascii="方正仿宋_GBK" w:hAnsi="方正仿宋_GBK" w:eastAsia="方正仿宋_GBK" w:cs="方正仿宋_GBK"/>
          <w:sz w:val="32"/>
          <w:szCs w:val="32"/>
          <w:shd w:val="clear" w:color="auto" w:fill="FFFFFF"/>
        </w:rPr>
        <w:t>农林水支</w:t>
      </w:r>
      <w:r>
        <w:rPr>
          <w:rFonts w:hint="default" w:ascii="Times New Roman" w:hAnsi="Times New Roman" w:eastAsia="方正仿宋_GBK" w:cs="Times New Roman"/>
          <w:kern w:val="0"/>
          <w:sz w:val="32"/>
          <w:szCs w:val="32"/>
          <w:shd w:val="clear" w:color="auto" w:fill="FFFFFF"/>
          <w:lang w:val="en-US" w:eastAsia="zh-CN" w:bidi="ar-SA"/>
        </w:rPr>
        <w:t>出119.16万元，占73.57%，较年初预算数减少1.97万元，下降1.6%，</w:t>
      </w:r>
      <w:r>
        <w:rPr>
          <w:rFonts w:hint="eastAsia" w:ascii="Times New Roman" w:hAnsi="Times New Roman" w:eastAsia="方正仿宋_GBK" w:cs="Times New Roman"/>
          <w:kern w:val="0"/>
          <w:sz w:val="32"/>
          <w:szCs w:val="32"/>
          <w:shd w:val="clear" w:color="auto" w:fill="FFFFFF"/>
          <w:lang w:val="en-US" w:eastAsia="zh-CN" w:bidi="ar-SA"/>
        </w:rPr>
        <w:t>主要原因是减少</w:t>
      </w:r>
      <w:r>
        <w:rPr>
          <w:rFonts w:hint="eastAsia" w:ascii="方正仿宋_GBK" w:hAnsi="方正仿宋_GBK" w:eastAsia="方正仿宋_GBK" w:cs="方正仿宋_GBK"/>
          <w:b w:val="0"/>
          <w:color w:val="auto"/>
          <w:kern w:val="0"/>
          <w:sz w:val="32"/>
          <w:szCs w:val="32"/>
          <w:shd w:val="clear" w:fill="FFFFFF"/>
          <w:lang w:val="en-US" w:eastAsia="zh-CN"/>
        </w:rPr>
        <w:t>经费</w:t>
      </w:r>
      <w:r>
        <w:rPr>
          <w:rFonts w:hint="eastAsia" w:ascii="方正仿宋_GBK" w:hAnsi="方正仿宋_GBK" w:eastAsia="方正仿宋_GBK" w:cs="方正仿宋_GBK"/>
          <w:b w:val="0"/>
          <w:color w:val="auto"/>
          <w:kern w:val="0"/>
          <w:sz w:val="32"/>
          <w:szCs w:val="32"/>
          <w:shd w:val="clear" w:fill="FFFFFF"/>
        </w:rPr>
        <w:t>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方正仿宋_GBK"/>
          <w:b w:val="0"/>
          <w:color w:val="auto"/>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kern w:val="0"/>
          <w:sz w:val="32"/>
          <w:szCs w:val="32"/>
          <w:shd w:val="clear" w:color="auto" w:fill="FFFFFF"/>
          <w:lang w:val="en-US" w:eastAsia="zh-CN" w:bidi="ar-SA"/>
        </w:rPr>
        <w:t>12.32万元，占7.61%，较年初预算数增加0.02万元，增长0.2%，</w:t>
      </w:r>
      <w:r>
        <w:rPr>
          <w:rFonts w:hint="eastAsia" w:ascii="方正仿宋_GBK" w:hAnsi="方正仿宋_GBK" w:eastAsia="方正仿宋_GBK" w:cs="方正仿宋_GBK"/>
          <w:kern w:val="0"/>
          <w:sz w:val="32"/>
          <w:szCs w:val="32"/>
          <w:shd w:val="clear" w:fill="FFFFFF"/>
        </w:rPr>
        <w:t>主要原因是</w:t>
      </w:r>
      <w:r>
        <w:rPr>
          <w:rFonts w:hint="eastAsia" w:ascii="方正仿宋_GBK" w:hAnsi="方正仿宋_GBK" w:eastAsia="方正仿宋_GBK" w:cs="方正仿宋_GBK"/>
          <w:b w:val="0"/>
          <w:color w:val="auto"/>
          <w:kern w:val="0"/>
          <w:sz w:val="32"/>
          <w:szCs w:val="32"/>
          <w:shd w:val="clear" w:fill="FFFFFF"/>
        </w:rPr>
        <w:t>追加人员</w:t>
      </w:r>
      <w:r>
        <w:rPr>
          <w:rFonts w:hint="eastAsia" w:ascii="方正仿宋_GBK" w:hAnsi="方正仿宋_GBK" w:eastAsia="方正仿宋_GBK" w:cs="方正仿宋_GBK"/>
          <w:b w:val="0"/>
          <w:color w:val="auto"/>
          <w:kern w:val="0"/>
          <w:sz w:val="32"/>
          <w:szCs w:val="32"/>
          <w:shd w:val="clear" w:fill="FFFFFF"/>
          <w:lang w:val="en-US" w:eastAsia="zh-CN"/>
        </w:rPr>
        <w:t>经费</w:t>
      </w:r>
      <w:r>
        <w:rPr>
          <w:rFonts w:hint="eastAsia" w:ascii="方正仿宋_GBK" w:hAnsi="方正仿宋_GBK" w:eastAsia="方正仿宋_GBK" w:cs="方正仿宋_GBK"/>
          <w:b w:val="0"/>
          <w:color w:val="auto"/>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w:t>
      </w:r>
      <w:r>
        <w:rPr>
          <w:rFonts w:hint="default" w:ascii="Times New Roman" w:hAnsi="Times New Roman" w:eastAsia="方正仿宋_GBK" w:cs="Times New Roman"/>
          <w:kern w:val="0"/>
          <w:sz w:val="32"/>
          <w:szCs w:val="32"/>
          <w:shd w:val="clear" w:color="auto" w:fill="FFFFFF"/>
          <w:lang w:val="en-US" w:eastAsia="zh-CN" w:bidi="ar-SA"/>
        </w:rPr>
        <w:t>度一般公共财政拨款基本支出161.96万元。其中：人员经费128.23万元，与2023年度相比，增加22.28万元，增长21.0%，</w:t>
      </w:r>
      <w:r>
        <w:rPr>
          <w:rFonts w:hint="eastAsia" w:ascii="Times New Roman" w:hAnsi="Times New Roman" w:eastAsia="方正仿宋_GBK" w:cs="Times New Roman"/>
          <w:kern w:val="0"/>
          <w:sz w:val="32"/>
          <w:szCs w:val="32"/>
          <w:shd w:val="clear" w:color="auto" w:fill="FFFFFF"/>
          <w:lang w:val="en-US" w:eastAsia="zh-CN" w:bidi="ar-SA"/>
        </w:rPr>
        <w:t>主要原因是追加养老保险和职业年金等人员经费。人员经费用途主要包括基本工资、津贴补贴、绩效工资、社会保障缴费等。</w:t>
      </w:r>
      <w:r>
        <w:rPr>
          <w:rFonts w:hint="default" w:ascii="Times New Roman" w:hAnsi="Times New Roman" w:eastAsia="方正仿宋_GBK" w:cs="Times New Roman"/>
          <w:kern w:val="0"/>
          <w:sz w:val="32"/>
          <w:szCs w:val="32"/>
          <w:shd w:val="clear" w:color="auto" w:fill="FFFFFF"/>
          <w:lang w:val="en-US" w:eastAsia="zh-CN" w:bidi="ar-SA"/>
        </w:rPr>
        <w:t>公用经费33.73万元，与2023年度相比，增加14.61万元，增长76.4%，</w:t>
      </w:r>
      <w:r>
        <w:rPr>
          <w:rFonts w:hint="eastAsia" w:ascii="Times New Roman" w:hAnsi="Times New Roman" w:eastAsia="方正仿宋_GBK" w:cs="Times New Roman"/>
          <w:kern w:val="0"/>
          <w:sz w:val="32"/>
          <w:szCs w:val="32"/>
          <w:shd w:val="clear" w:color="auto" w:fill="FFFFFF"/>
          <w:lang w:val="en-US" w:eastAsia="zh-CN" w:bidi="ar-SA"/>
        </w:rPr>
        <w:t>主要原因</w:t>
      </w:r>
      <w:r>
        <w:rPr>
          <w:rFonts w:hint="eastAsia" w:ascii="方正仿宋_GBK" w:hAnsi="方正仿宋_GBK" w:eastAsia="方正仿宋_GBK" w:cs="方正仿宋_GBK"/>
          <w:kern w:val="0"/>
          <w:sz w:val="32"/>
          <w:szCs w:val="32"/>
          <w:shd w:val="clear" w:fill="FFFFFF"/>
        </w:rPr>
        <w:t>是为保障本单位正常运转，完成日常工作任务统筹使用全委公用经费</w:t>
      </w:r>
      <w:r>
        <w:rPr>
          <w:rFonts w:hint="eastAsia" w:ascii="方正仿宋_GBK" w:hAnsi="方正仿宋_GBK" w:eastAsia="方正仿宋_GBK" w:cs="方正仿宋_GBK"/>
          <w:b w:val="0"/>
          <w:kern w:val="0"/>
          <w:sz w:val="32"/>
          <w:szCs w:val="32"/>
          <w:shd w:val="clear" w:fill="FFFFFF"/>
        </w:rPr>
        <w:t>。</w:t>
      </w:r>
      <w:r>
        <w:rPr>
          <w:rFonts w:hint="eastAsia" w:ascii="方正仿宋_GBK" w:hAnsi="方正仿宋_GBK" w:eastAsia="方正仿宋_GBK" w:cs="方正仿宋_GBK"/>
          <w:kern w:val="0"/>
          <w:sz w:val="32"/>
          <w:szCs w:val="32"/>
          <w:shd w:val="clear" w:fill="FFFFFF"/>
        </w:rPr>
        <w:t>公用经费用途主要包括办公费、邮电费、委托业务费、办公用房物业管理费、其他商品和服务支出等。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w:t>
      </w:r>
      <w:r>
        <w:rPr>
          <w:rFonts w:hint="eastAsia" w:ascii="Times New Roman" w:hAnsi="Times New Roman" w:eastAsia="方正仿宋_GBK" w:cs="Times New Roman"/>
          <w:kern w:val="0"/>
          <w:sz w:val="32"/>
          <w:szCs w:val="32"/>
          <w:shd w:val="clear" w:color="auto" w:fill="FFFFFF"/>
          <w:lang w:val="en-US" w:eastAsia="zh-CN" w:bidi="ar-SA"/>
        </w:rPr>
        <w:t>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度无政府性基金预算财政拨款收支。</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w:t>
      </w:r>
      <w:r>
        <w:rPr>
          <w:rFonts w:hint="eastAsia" w:ascii="Times New Roman" w:hAnsi="Times New Roman" w:eastAsia="方正仿宋_GBK" w:cs="Times New Roman"/>
          <w:kern w:val="0"/>
          <w:sz w:val="32"/>
          <w:szCs w:val="32"/>
          <w:shd w:val="clear" w:color="auto" w:fill="FFFFFF"/>
          <w:lang w:val="en-US" w:eastAsia="zh-CN" w:bidi="ar-SA"/>
        </w:rPr>
        <w:t>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w:t>
      </w:r>
      <w:r>
        <w:rPr>
          <w:rFonts w:hint="eastAsia" w:ascii="方正仿宋_GBK" w:hAnsi="方正仿宋_GBK" w:eastAsia="方正仿宋_GBK" w:cs="方正仿宋_GBK"/>
          <w:kern w:val="0"/>
          <w:sz w:val="32"/>
          <w:szCs w:val="32"/>
          <w:shd w:val="clear" w:fill="FFFFFF"/>
        </w:rPr>
        <w:t>度无国有资本经营预算财政拨款支出。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三、“三公”经费情况说明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Times New Roman" w:hAnsi="Times New Roman" w:eastAsia="方正楷体_GBK" w:cs="方正楷体_GBK"/>
          <w:b/>
          <w:kern w:val="0"/>
          <w:sz w:val="32"/>
          <w:szCs w:val="32"/>
          <w:shd w:val="clear" w:fill="FFFFFF"/>
        </w:rPr>
      </w:pPr>
      <w:r>
        <w:rPr>
          <w:rFonts w:hint="eastAsia" w:ascii="楷体" w:hAnsi="楷体" w:eastAsia="楷体" w:cs="楷体"/>
          <w:b/>
          <w:bCs/>
          <w:kern w:val="0"/>
          <w:sz w:val="32"/>
          <w:szCs w:val="32"/>
          <w:shd w:val="clear" w:color="auto" w:fill="FFFFFF"/>
          <w:lang w:val="en-US" w:eastAsia="zh-CN" w:bidi="ar-SA"/>
        </w:rPr>
        <w:t>（一）“三公”经费支出总体情况说明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度“三公”经费支出共计0.25万元，较年初预算数减少0.40万元，下降61.5%，主要原因是严格按照各项规定执行，厉行节约控制各项经费支出。较上年支出数增加0.16万元，增长177.8%，主要原因是开展工作需要造成公务接待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（二）“三公”经费分项支出情况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年度本单位因公出国（境）费用</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万元，主要是本单位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年无因公出国（境）的安排，未发生支出。费用支出较年初预算数和上年支出数无增减。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公务车购置费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万元，主要是本单位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年度未发生公务车购置费。费用支出较年初预算数和上年支出数无增减。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公务车运行维护费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万元，主要是本单位</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年度未发生公务车运行维护费。费用支出较年初预算数和上年支出数无增减。</w:t>
      </w:r>
      <w:bookmarkStart w:id="0" w:name="_GoBack"/>
      <w:bookmarkEnd w:id="0"/>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公务接待费</w:t>
      </w:r>
      <w:r>
        <w:rPr>
          <w:rFonts w:hint="default" w:ascii="Times New Roman" w:hAnsi="Times New Roman" w:eastAsia="方正仿宋_GBK" w:cs="Times New Roman"/>
          <w:kern w:val="0"/>
          <w:sz w:val="32"/>
          <w:szCs w:val="32"/>
          <w:shd w:val="clear" w:color="auto" w:fill="FFFFFF"/>
          <w:lang w:val="en-US" w:eastAsia="zh-CN" w:bidi="ar-SA"/>
        </w:rPr>
        <w:t>0.25</w:t>
      </w:r>
      <w:r>
        <w:rPr>
          <w:rFonts w:hint="eastAsia" w:ascii="Times New Roman" w:hAnsi="Times New Roman" w:eastAsia="方正仿宋_GBK" w:cs="Times New Roman"/>
          <w:kern w:val="0"/>
          <w:sz w:val="32"/>
          <w:szCs w:val="32"/>
          <w:shd w:val="clear" w:color="auto" w:fill="FFFFFF"/>
          <w:lang w:val="en-US" w:eastAsia="zh-CN" w:bidi="ar-SA"/>
        </w:rPr>
        <w:t>万元，主要是用于接待工作组调研。费用支出较年初预算数减少0.40万元，下降61.5%，主要原因是严格遵守公务接待开支范围和开支标准，降低费用支出。较上年支出数增加0.16万元，增长177.8%</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主要原因是开展工作需要造成公务接待费增加。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（三）“三公”经费实物量情况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年度本单位因公出国（境）共计</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个团组，</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人；公务用车购置</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辆，公务车保有量为</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辆；国内公务接待</w:t>
      </w:r>
      <w:r>
        <w:rPr>
          <w:rFonts w:hint="default" w:ascii="Times New Roman" w:hAnsi="Times New Roman" w:eastAsia="方正仿宋_GBK" w:cs="Times New Roman"/>
          <w:kern w:val="0"/>
          <w:sz w:val="32"/>
          <w:szCs w:val="32"/>
          <w:shd w:val="clear" w:color="auto" w:fill="FFFFFF"/>
          <w:lang w:val="en-US" w:eastAsia="zh-CN" w:bidi="ar-SA"/>
        </w:rPr>
        <w:t>2</w:t>
      </w:r>
      <w:r>
        <w:rPr>
          <w:rFonts w:hint="eastAsia" w:ascii="Times New Roman" w:hAnsi="Times New Roman" w:eastAsia="方正仿宋_GBK" w:cs="Times New Roman"/>
          <w:kern w:val="0"/>
          <w:sz w:val="32"/>
          <w:szCs w:val="32"/>
          <w:shd w:val="clear" w:color="auto" w:fill="FFFFFF"/>
          <w:lang w:val="en-US" w:eastAsia="zh-CN" w:bidi="ar-SA"/>
        </w:rPr>
        <w:t>批次</w:t>
      </w:r>
      <w:r>
        <w:rPr>
          <w:rFonts w:hint="default" w:ascii="Times New Roman" w:hAnsi="Times New Roman" w:eastAsia="方正仿宋_GBK" w:cs="Times New Roman"/>
          <w:kern w:val="0"/>
          <w:sz w:val="32"/>
          <w:szCs w:val="32"/>
          <w:shd w:val="clear" w:color="auto" w:fill="FFFFFF"/>
          <w:lang w:val="en-US" w:eastAsia="zh-CN" w:bidi="ar-SA"/>
        </w:rPr>
        <w:t>26</w:t>
      </w:r>
      <w:r>
        <w:rPr>
          <w:rFonts w:hint="eastAsia" w:ascii="Times New Roman" w:hAnsi="Times New Roman" w:eastAsia="方正仿宋_GBK" w:cs="Times New Roman"/>
          <w:kern w:val="0"/>
          <w:sz w:val="32"/>
          <w:szCs w:val="32"/>
          <w:shd w:val="clear" w:color="auto" w:fill="FFFFFF"/>
          <w:lang w:val="en-US" w:eastAsia="zh-CN" w:bidi="ar-SA"/>
        </w:rPr>
        <w:t>人，其中：国内外事接待</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批次，</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人；国（境）外公务接待</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批次，</w:t>
      </w:r>
      <w:r>
        <w:rPr>
          <w:rFonts w:hint="default" w:ascii="Times New Roman" w:hAnsi="Times New Roman" w:eastAsia="方正仿宋_GBK" w:cs="Times New Roman"/>
          <w:kern w:val="0"/>
          <w:sz w:val="32"/>
          <w:szCs w:val="32"/>
          <w:shd w:val="clear" w:color="auto" w:fill="FFFFFF"/>
          <w:lang w:val="en-US" w:eastAsia="zh-CN" w:bidi="ar-SA"/>
        </w:rPr>
        <w:t>0</w:t>
      </w:r>
      <w:r>
        <w:rPr>
          <w:rFonts w:hint="eastAsia" w:ascii="Times New Roman" w:hAnsi="Times New Roman" w:eastAsia="方正仿宋_GBK" w:cs="Times New Roman"/>
          <w:kern w:val="0"/>
          <w:sz w:val="32"/>
          <w:szCs w:val="32"/>
          <w:shd w:val="clear" w:color="auto" w:fill="FFFFFF"/>
          <w:lang w:val="en-US" w:eastAsia="zh-CN" w:bidi="ar-SA"/>
        </w:rPr>
        <w:t>人。</w:t>
      </w:r>
      <w:r>
        <w:rPr>
          <w:rFonts w:hint="default" w:ascii="Times New Roman" w:hAnsi="Times New Roman" w:eastAsia="方正仿宋_GBK" w:cs="Times New Roman"/>
          <w:kern w:val="0"/>
          <w:sz w:val="32"/>
          <w:szCs w:val="32"/>
          <w:shd w:val="clear" w:color="auto" w:fill="FFFFFF"/>
          <w:lang w:val="en-US" w:eastAsia="zh-CN" w:bidi="ar-SA"/>
        </w:rPr>
        <w:t>2024</w:t>
      </w:r>
      <w:r>
        <w:rPr>
          <w:rFonts w:hint="eastAsia" w:ascii="Times New Roman" w:hAnsi="Times New Roman" w:eastAsia="方正仿宋_GBK" w:cs="Times New Roman"/>
          <w:kern w:val="0"/>
          <w:sz w:val="32"/>
          <w:szCs w:val="32"/>
          <w:shd w:val="clear" w:color="auto" w:fill="FFFFFF"/>
          <w:lang w:val="en-US" w:eastAsia="zh-CN" w:bidi="ar-SA"/>
        </w:rPr>
        <w:t>年本单位人均接待费</w:t>
      </w:r>
      <w:r>
        <w:rPr>
          <w:rFonts w:hint="default" w:ascii="Times New Roman" w:hAnsi="Times New Roman" w:eastAsia="方正仿宋_GBK" w:cs="Times New Roman"/>
          <w:kern w:val="0"/>
          <w:sz w:val="32"/>
          <w:szCs w:val="32"/>
          <w:shd w:val="clear" w:color="auto" w:fill="FFFFFF"/>
          <w:lang w:val="en-US" w:eastAsia="zh-CN" w:bidi="ar-SA"/>
        </w:rPr>
        <w:t>96.1</w:t>
      </w:r>
      <w:r>
        <w:rPr>
          <w:rFonts w:hint="eastAsia" w:ascii="Times New Roman" w:hAnsi="Times New Roman" w:eastAsia="方正仿宋_GBK" w:cs="Times New Roman"/>
          <w:kern w:val="0"/>
          <w:sz w:val="32"/>
          <w:szCs w:val="32"/>
          <w:shd w:val="clear" w:color="auto" w:fill="FFFFFF"/>
          <w:lang w:val="en-US" w:eastAsia="zh-CN" w:bidi="ar-SA"/>
        </w:rPr>
        <w:t>2元，车均购置费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Times New Roman" w:hAnsi="Times New Roman" w:eastAsia="方正仿宋_GBK" w:cs="Times New Roman"/>
          <w:kern w:val="0"/>
          <w:sz w:val="32"/>
          <w:szCs w:val="32"/>
          <w:shd w:val="clear" w:color="auto" w:fill="FFFFFF"/>
          <w:lang w:val="en-US" w:eastAsia="zh-CN" w:bidi="ar-SA"/>
        </w:rPr>
        <w:t>万元，车均维护费</w:t>
      </w:r>
      <w:r>
        <w:rPr>
          <w:rFonts w:hint="default" w:ascii="Times New Roman" w:hAnsi="Times New Roman" w:eastAsia="方正仿宋_GBK" w:cs="Times New Roman"/>
          <w:kern w:val="0"/>
          <w:sz w:val="32"/>
          <w:szCs w:val="32"/>
          <w:shd w:val="clear" w:color="auto" w:fill="FFFFFF"/>
          <w:lang w:val="en-US" w:eastAsia="zh-CN" w:bidi="ar-SA"/>
        </w:rPr>
        <w:t>0.00</w:t>
      </w:r>
      <w:r>
        <w:rPr>
          <w:rFonts w:hint="eastAsia" w:ascii="方正仿宋_GBK" w:hAnsi="方正仿宋_GBK" w:eastAsia="方正仿宋_GBK" w:cs="方正仿宋_GBK"/>
          <w:kern w:val="0"/>
          <w:sz w:val="32"/>
          <w:szCs w:val="32"/>
          <w:shd w:val="clear" w:fill="FFFFFF"/>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（一）财政拨款会议费和培训费情况说明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b w:val="0"/>
          <w:color w:val="auto"/>
          <w:kern w:val="0"/>
          <w:sz w:val="32"/>
          <w:szCs w:val="32"/>
          <w:shd w:val="clear" w:fill="FFFFFF"/>
        </w:rPr>
      </w:pPr>
      <w:r>
        <w:rPr>
          <w:rFonts w:ascii="方正仿宋_GBK" w:hAnsi="方正仿宋_GBK" w:eastAsia="方正仿宋_GBK" w:cs="方正仿宋_GBK"/>
          <w:sz w:val="32"/>
          <w:szCs w:val="32"/>
          <w:shd w:val="clear" w:color="auto" w:fill="FFFFFF"/>
        </w:rPr>
        <w:t>本年度会议费支</w:t>
      </w:r>
      <w:r>
        <w:rPr>
          <w:rFonts w:hint="default" w:ascii="Times New Roman" w:hAnsi="Times New Roman" w:eastAsia="方正仿宋_GBK" w:cs="Times New Roman"/>
          <w:kern w:val="0"/>
          <w:sz w:val="32"/>
          <w:szCs w:val="32"/>
          <w:shd w:val="clear" w:color="auto" w:fill="FFFFFF"/>
          <w:lang w:val="en-US" w:eastAsia="zh-CN" w:bidi="ar-SA"/>
        </w:rPr>
        <w:t>出0.15万元，与2023年度相比，增加0.02万元，增长15.4%，</w:t>
      </w:r>
      <w:r>
        <w:rPr>
          <w:rFonts w:hint="eastAsia" w:ascii="Times New Roman" w:hAnsi="Times New Roman" w:eastAsia="方正仿宋_GBK" w:cs="Times New Roman"/>
          <w:kern w:val="0"/>
          <w:sz w:val="32"/>
          <w:szCs w:val="32"/>
          <w:shd w:val="clear" w:color="auto" w:fill="FFFFFF"/>
          <w:lang w:val="en-US" w:eastAsia="zh-CN" w:bidi="ar-SA"/>
        </w:rPr>
        <w:t>主要原因是工作需要开展业务会议造成本年增长。</w:t>
      </w:r>
      <w:r>
        <w:rPr>
          <w:rFonts w:hint="default" w:ascii="Times New Roman" w:hAnsi="Times New Roman" w:eastAsia="方正仿宋_GBK" w:cs="Times New Roman"/>
          <w:kern w:val="0"/>
          <w:sz w:val="32"/>
          <w:szCs w:val="32"/>
          <w:shd w:val="clear" w:color="auto" w:fill="FFFFFF"/>
          <w:lang w:val="en-US" w:eastAsia="zh-CN" w:bidi="ar-SA"/>
        </w:rPr>
        <w:t>本年度培训费支出0.06万元，与2023年度相比，增加0.06万元，增长100.0%，</w:t>
      </w:r>
      <w:r>
        <w:rPr>
          <w:rFonts w:hint="eastAsia" w:ascii="方正仿宋_GBK" w:hAnsi="方正仿宋_GBK" w:eastAsia="方正仿宋_GBK" w:cs="方正仿宋_GBK"/>
          <w:color w:val="auto"/>
          <w:kern w:val="0"/>
          <w:sz w:val="32"/>
          <w:szCs w:val="32"/>
          <w:shd w:val="clear" w:fill="FFFFFF"/>
        </w:rPr>
        <w:t>主要原因是工作需要开展业务培训造成本年增长。</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（二）机关运行经费情况说明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本单位是重庆市九龙坡区农业农村委员会下属事业单位，国有资产占有使用情况在重庆市九龙坡区农业农村委员会（本级）统一反映。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3" w:firstLineChars="200"/>
        <w:jc w:val="both"/>
        <w:textAlignment w:val="auto"/>
        <w:rPr>
          <w:rFonts w:hint="eastAsia" w:ascii="楷体" w:hAnsi="楷体" w:eastAsia="楷体" w:cs="楷体"/>
          <w:b/>
          <w:bCs/>
          <w:kern w:val="0"/>
          <w:sz w:val="32"/>
          <w:szCs w:val="32"/>
          <w:shd w:val="clear" w:color="auto" w:fill="FFFFFF"/>
          <w:lang w:val="en-US" w:eastAsia="zh-CN" w:bidi="ar-SA"/>
        </w:rPr>
      </w:pPr>
      <w:r>
        <w:rPr>
          <w:rFonts w:hint="eastAsia" w:ascii="楷体" w:hAnsi="楷体" w:eastAsia="楷体" w:cs="楷体"/>
          <w:b/>
          <w:bCs/>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方正仿宋_GBK"/>
          <w:kern w:val="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2024年度</w:t>
      </w:r>
      <w:r>
        <w:rPr>
          <w:rFonts w:hint="eastAsia" w:ascii="方正仿宋_GBK" w:hAnsi="方正仿宋_GBK" w:eastAsia="方正仿宋_GBK" w:cs="方正仿宋_GBK"/>
          <w:kern w:val="0"/>
          <w:sz w:val="32"/>
          <w:szCs w:val="32"/>
          <w:shd w:val="clear" w:fill="FFFFFF"/>
          <w:lang w:val="en-US" w:eastAsia="zh-CN"/>
        </w:rPr>
        <w:t>我单位未发生政府采购事项，无相关经费支出。</w:t>
      </w:r>
      <w:r>
        <w:rPr>
          <w:rFonts w:hint="eastAsia" w:ascii="方正仿宋_GBK" w:hAnsi="方正仿宋_GBK" w:eastAsia="方正仿宋_GBK" w:cs="方正仿宋_GBK"/>
          <w:kern w:val="0"/>
          <w:sz w:val="32"/>
          <w:szCs w:val="32"/>
          <w:shd w:val="clear" w:fill="FFFFFF"/>
        </w:rPr>
        <w:t>本单位是重庆市九龙坡区农业农村委员会下属事业单位，政府采购预算由重庆市九龙坡区农业农村委员会（本级）统一编制。</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3" w:firstLineChars="200"/>
        <w:jc w:val="both"/>
        <w:textAlignment w:val="auto"/>
        <w:rPr>
          <w:rFonts w:hint="eastAsia" w:ascii="方正黑体_GBK" w:hAnsi="方正黑体_GBK" w:eastAsia="方正黑体_GBK" w:cs="方正黑体_GBK"/>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本单位是重庆市九龙坡区农业农村委员会下属事业单位，项目支出预算由重庆市九龙坡区农业农村委员会统一编制，故本单位无绩效目标设置情况。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黑体_GBK" w:cs="宋体"/>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color="auto" w:fill="FFFFFF"/>
          <w:lang w:val="en-US" w:eastAsia="zh-CN" w:bidi="ar-SA"/>
        </w:rPr>
        <w:t>023-68827534</w:t>
      </w: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p>
    <w:p>
      <w:pPr>
        <w:adjustRightInd w:val="0"/>
        <w:snapToGrid w:val="0"/>
        <w:spacing w:line="600" w:lineRule="exact"/>
        <w:ind w:firstLine="640" w:firstLineChars="2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adjustRightInd w:val="0"/>
        <w:snapToGrid w:val="0"/>
        <w:spacing w:line="600" w:lineRule="exact"/>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adjustRightInd w:val="0"/>
        <w:snapToGrid w:val="0"/>
        <w:spacing w:line="600" w:lineRule="exact"/>
        <w:ind w:firstLine="1600" w:firstLineChars="500"/>
        <w:jc w:val="left"/>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autoSpaceDE w:val="0"/>
        <w:spacing w:line="596" w:lineRule="exact"/>
        <w:ind w:left="0" w:leftChars="0" w:firstLine="0" w:firstLineChars="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重庆市九龙坡区农村人居环境建设中心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161.96</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eastAsia" w:eastAsia="宋体" w:cs="宋体"/>
          <w:sz w:val="20"/>
          <w:szCs w:val="20"/>
          <w:lang w:eastAsia="zh-CN"/>
        </w:rPr>
      </w:pPr>
    </w:p>
    <w:p>
      <w:pPr>
        <w:rPr>
          <w:rFonts w:hint="default" w:cs="宋体"/>
          <w:sz w:val="21"/>
          <w:szCs w:val="21"/>
        </w:rPr>
      </w:pPr>
    </w:p>
    <w:tbl>
      <w:tblPr>
        <w:tblStyle w:val="9"/>
        <w:tblW w:w="5018" w:type="pct"/>
        <w:tblInd w:w="0" w:type="dxa"/>
        <w:tblLayout w:type="fixed"/>
        <w:tblCellMar>
          <w:top w:w="0" w:type="dxa"/>
          <w:left w:w="0" w:type="dxa"/>
          <w:bottom w:w="0" w:type="dxa"/>
          <w:right w:w="0" w:type="dxa"/>
        </w:tblCellMar>
      </w:tblPr>
      <w:tblGrid>
        <w:gridCol w:w="1430"/>
        <w:gridCol w:w="2916"/>
        <w:gridCol w:w="1583"/>
        <w:gridCol w:w="1451"/>
        <w:gridCol w:w="1255"/>
        <w:gridCol w:w="1440"/>
        <w:gridCol w:w="1458"/>
        <w:gridCol w:w="1296"/>
        <w:gridCol w:w="1351"/>
        <w:gridCol w:w="1199"/>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2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重庆市九龙坡区农村人居环境建设中心</w:t>
            </w:r>
          </w:p>
        </w:tc>
        <w:tc>
          <w:tcPr>
            <w:tcW w:w="47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2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8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13"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161.96</w:t>
            </w:r>
            <w:r>
              <w:rPr>
                <w:rFonts w:ascii="Times New Roman" w:hAnsi="Times New Roman"/>
                <w:b/>
                <w:color w:val="000000"/>
                <w:sz w:val="20"/>
                <w:u w:color="auto"/>
              </w:rPr>
              <w:t xml:space="preserve"> </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161.96</w:t>
            </w:r>
            <w:r>
              <w:rPr>
                <w:rFonts w:ascii="Times New Roman" w:hAnsi="Times New Roman"/>
                <w:b/>
                <w:color w:val="000000"/>
                <w:sz w:val="20"/>
                <w:u w:color="auto"/>
              </w:rPr>
              <w:t xml:space="preserve"> </w:t>
            </w:r>
          </w:p>
        </w:tc>
        <w:tc>
          <w:tcPr>
            <w:tcW w:w="4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备注：1.本表反映单位本年度取得的各项收入情况。</w:t>
      </w:r>
    </w:p>
    <w:p>
      <w:pPr>
        <w:ind w:left="600" w:hanging="600" w:hangingChars="300"/>
        <w:rPr>
          <w:rFonts w:hint="eastAsia" w:eastAsia="宋体" w:cs="宋体"/>
          <w:sz w:val="20"/>
          <w:szCs w:val="20"/>
          <w:lang w:eastAsia="zh-CN"/>
        </w:rPr>
      </w:pPr>
      <w:r>
        <w:rPr>
          <w:rFonts w:cs="宋体"/>
          <w:sz w:val="20"/>
          <w:szCs w:val="20"/>
        </w:rPr>
        <w:t>2.本套报表金额单位转换时可能存在尾数误差。</w:t>
      </w:r>
    </w:p>
    <w:p>
      <w:pPr>
        <w:ind w:left="600" w:hanging="600" w:hangingChars="300"/>
        <w:rPr>
          <w:rFonts w:hint="eastAsia" w:eastAsia="宋体" w:cs="宋体"/>
          <w:sz w:val="20"/>
          <w:szCs w:val="20"/>
          <w:lang w:eastAsia="zh-CN"/>
        </w:rPr>
      </w:pPr>
    </w:p>
    <w:p>
      <w:pPr>
        <w:ind w:left="600" w:hanging="600" w:hangingChars="300"/>
        <w:rPr>
          <w:rFonts w:hint="eastAsia" w:eastAsia="宋体" w:cs="宋体"/>
          <w:sz w:val="20"/>
          <w:szCs w:val="20"/>
          <w:lang w:eastAsia="zh-CN"/>
        </w:rPr>
      </w:pP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重庆市九龙坡区农村人居环境建设中心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161.96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161.96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备注：1.本表反映单位本年度各项支出情况。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tbl>
      <w:tblPr>
        <w:tblStyle w:val="9"/>
        <w:tblW w:w="4979" w:type="pct"/>
        <w:tblInd w:w="0" w:type="dxa"/>
        <w:tblLayout w:type="autofit"/>
        <w:tblCellMar>
          <w:top w:w="0" w:type="dxa"/>
          <w:left w:w="0" w:type="dxa"/>
          <w:bottom w:w="0" w:type="dxa"/>
          <w:right w:w="0" w:type="dxa"/>
        </w:tblCellMar>
      </w:tblPr>
      <w:tblGrid>
        <w:gridCol w:w="2959"/>
        <w:gridCol w:w="1520"/>
        <w:gridCol w:w="3177"/>
        <w:gridCol w:w="1688"/>
        <w:gridCol w:w="1956"/>
        <w:gridCol w:w="1962"/>
        <w:gridCol w:w="199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50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重庆市九龙坡区农村人居环境建设中心</w:t>
            </w:r>
          </w:p>
        </w:tc>
        <w:tc>
          <w:tcPr>
            <w:tcW w:w="55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4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4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509"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4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4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3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9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6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w:t>
            </w: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119.16</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119.16</w:t>
            </w: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w:t>
            </w: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161.96</w:t>
            </w:r>
            <w:r>
              <w:rPr>
                <w:rFonts w:ascii="Times New Roman" w:hAnsi="Times New Roman"/>
                <w:color w:val="000000"/>
                <w:sz w:val="18"/>
                <w:u w:color="auto"/>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重庆市九龙坡区农村人居环境建设中心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重庆市九龙坡区农村人居环境建设中心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128.23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重庆市九龙坡区农村人居环境建设中心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备注：本表反映单位本年度政府性基金预算财政拨款收入支出及结转和结余情况。本单位无政府性基金收支，故本表无数据。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重庆市九龙坡区农村人居环境建设中心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9"/>
        <w:tblW w:w="4986" w:type="pct"/>
        <w:tblInd w:w="0" w:type="dxa"/>
        <w:tblLayout w:type="fixed"/>
        <w:tblCellMar>
          <w:top w:w="0" w:type="dxa"/>
          <w:left w:w="170" w:type="dxa"/>
          <w:bottom w:w="0" w:type="dxa"/>
          <w:right w:w="170" w:type="dxa"/>
        </w:tblCellMar>
      </w:tblPr>
      <w:tblGrid>
        <w:gridCol w:w="3179"/>
        <w:gridCol w:w="2415"/>
        <w:gridCol w:w="2376"/>
        <w:gridCol w:w="3674"/>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040"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90"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77"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02"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8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83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重庆市九龙坡区农村人居环境建设中心</w:t>
            </w:r>
          </w:p>
        </w:tc>
        <w:tc>
          <w:tcPr>
            <w:tcW w:w="77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0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118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0.25</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0.06</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0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1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rPr>
          <w:rFonts w:hint="eastAsia" w:eastAsia="宋体" w:cs="宋体"/>
          <w:sz w:val="18"/>
          <w:szCs w:val="18"/>
          <w:lang w:eastAsia="zh-CN"/>
        </w:rPr>
      </w:pPr>
    </w:p>
    <w:p>
      <w:pPr>
        <w:rPr>
          <w:rFonts w:hint="eastAsia" w:eastAsia="宋体" w:cs="宋体"/>
          <w:sz w:val="18"/>
          <w:szCs w:val="18"/>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550ABE"/>
    <w:rsid w:val="007B419D"/>
    <w:rsid w:val="009B67B8"/>
    <w:rsid w:val="00B03CCD"/>
    <w:rsid w:val="01474EBF"/>
    <w:rsid w:val="019020B1"/>
    <w:rsid w:val="01F3521E"/>
    <w:rsid w:val="02056D00"/>
    <w:rsid w:val="025B37E5"/>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8836A9"/>
    <w:rsid w:val="0C9B098C"/>
    <w:rsid w:val="0CE80A8F"/>
    <w:rsid w:val="0D472B48"/>
    <w:rsid w:val="0D673E11"/>
    <w:rsid w:val="0DB50EFE"/>
    <w:rsid w:val="0DD25DDB"/>
    <w:rsid w:val="0DDA54E4"/>
    <w:rsid w:val="0E3A5F83"/>
    <w:rsid w:val="0E9478E1"/>
    <w:rsid w:val="0F836721"/>
    <w:rsid w:val="0FF873AF"/>
    <w:rsid w:val="103645A3"/>
    <w:rsid w:val="107B59E5"/>
    <w:rsid w:val="10961414"/>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FF679B"/>
    <w:rsid w:val="151D09C4"/>
    <w:rsid w:val="1580711B"/>
    <w:rsid w:val="16BF50CA"/>
    <w:rsid w:val="16D80EBF"/>
    <w:rsid w:val="186942D1"/>
    <w:rsid w:val="189B0D0B"/>
    <w:rsid w:val="18E03A42"/>
    <w:rsid w:val="19313430"/>
    <w:rsid w:val="194A1770"/>
    <w:rsid w:val="19B906A4"/>
    <w:rsid w:val="19BC4734"/>
    <w:rsid w:val="1A1F744B"/>
    <w:rsid w:val="1A460971"/>
    <w:rsid w:val="1AB10093"/>
    <w:rsid w:val="1B501DE7"/>
    <w:rsid w:val="1B6F15B6"/>
    <w:rsid w:val="1B7966EB"/>
    <w:rsid w:val="1BAA2EDC"/>
    <w:rsid w:val="1BC027C5"/>
    <w:rsid w:val="1C9D2EFC"/>
    <w:rsid w:val="1CC57360"/>
    <w:rsid w:val="1CE157EE"/>
    <w:rsid w:val="1D014A01"/>
    <w:rsid w:val="1D022362"/>
    <w:rsid w:val="1D091B60"/>
    <w:rsid w:val="1D6D1692"/>
    <w:rsid w:val="1D794AE5"/>
    <w:rsid w:val="1DD26311"/>
    <w:rsid w:val="1DE57DAF"/>
    <w:rsid w:val="1EF67CA4"/>
    <w:rsid w:val="1F213FD9"/>
    <w:rsid w:val="1FCD26AF"/>
    <w:rsid w:val="20265A09"/>
    <w:rsid w:val="20642787"/>
    <w:rsid w:val="20C83310"/>
    <w:rsid w:val="20EC77A3"/>
    <w:rsid w:val="21556F04"/>
    <w:rsid w:val="216838F8"/>
    <w:rsid w:val="22403BD3"/>
    <w:rsid w:val="228D7F4A"/>
    <w:rsid w:val="24AF1021"/>
    <w:rsid w:val="24B92327"/>
    <w:rsid w:val="24D3717D"/>
    <w:rsid w:val="2533755C"/>
    <w:rsid w:val="26396DF4"/>
    <w:rsid w:val="266B763B"/>
    <w:rsid w:val="27167136"/>
    <w:rsid w:val="27B23302"/>
    <w:rsid w:val="27C15E9F"/>
    <w:rsid w:val="27D424D7"/>
    <w:rsid w:val="285722C3"/>
    <w:rsid w:val="28DC1FF8"/>
    <w:rsid w:val="29310A5F"/>
    <w:rsid w:val="29C37A35"/>
    <w:rsid w:val="2A076083"/>
    <w:rsid w:val="2A306CA5"/>
    <w:rsid w:val="2A73162E"/>
    <w:rsid w:val="2AFA2E94"/>
    <w:rsid w:val="2B167953"/>
    <w:rsid w:val="2B1B5B5F"/>
    <w:rsid w:val="2B200583"/>
    <w:rsid w:val="2B4104F9"/>
    <w:rsid w:val="2B8209DE"/>
    <w:rsid w:val="2C6762A3"/>
    <w:rsid w:val="2D5F4C37"/>
    <w:rsid w:val="2D8D7A26"/>
    <w:rsid w:val="2E265C73"/>
    <w:rsid w:val="2F2847B8"/>
    <w:rsid w:val="2FE029D7"/>
    <w:rsid w:val="2FF06E00"/>
    <w:rsid w:val="30293893"/>
    <w:rsid w:val="315F0B22"/>
    <w:rsid w:val="31BE24D6"/>
    <w:rsid w:val="31D84415"/>
    <w:rsid w:val="32285F6F"/>
    <w:rsid w:val="32770556"/>
    <w:rsid w:val="329C0913"/>
    <w:rsid w:val="3337290D"/>
    <w:rsid w:val="334B0167"/>
    <w:rsid w:val="35076329"/>
    <w:rsid w:val="352930DB"/>
    <w:rsid w:val="35573069"/>
    <w:rsid w:val="358C217E"/>
    <w:rsid w:val="359E7284"/>
    <w:rsid w:val="359F188C"/>
    <w:rsid w:val="36B20F63"/>
    <w:rsid w:val="36C9128A"/>
    <w:rsid w:val="37305FF2"/>
    <w:rsid w:val="37841E99"/>
    <w:rsid w:val="379C594F"/>
    <w:rsid w:val="37BF1123"/>
    <w:rsid w:val="37C85E36"/>
    <w:rsid w:val="38BC1135"/>
    <w:rsid w:val="38BE4696"/>
    <w:rsid w:val="38C93D6D"/>
    <w:rsid w:val="39B82A39"/>
    <w:rsid w:val="39F33306"/>
    <w:rsid w:val="3ADC3D9A"/>
    <w:rsid w:val="3B1705E5"/>
    <w:rsid w:val="3B18334B"/>
    <w:rsid w:val="3B36794F"/>
    <w:rsid w:val="3B544954"/>
    <w:rsid w:val="3B793FF0"/>
    <w:rsid w:val="3B97076E"/>
    <w:rsid w:val="3B9F72A2"/>
    <w:rsid w:val="3BE44B06"/>
    <w:rsid w:val="3C580CC5"/>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777F0B"/>
    <w:rsid w:val="443A3B12"/>
    <w:rsid w:val="4444096B"/>
    <w:rsid w:val="44487B36"/>
    <w:rsid w:val="44EF6BE8"/>
    <w:rsid w:val="45A30364"/>
    <w:rsid w:val="460456D6"/>
    <w:rsid w:val="464C7DAA"/>
    <w:rsid w:val="465B470D"/>
    <w:rsid w:val="469D6AD4"/>
    <w:rsid w:val="47674801"/>
    <w:rsid w:val="47BE6D02"/>
    <w:rsid w:val="48225EF7"/>
    <w:rsid w:val="48A36D47"/>
    <w:rsid w:val="495C4A24"/>
    <w:rsid w:val="49A21DF3"/>
    <w:rsid w:val="49C811E4"/>
    <w:rsid w:val="4A216E30"/>
    <w:rsid w:val="4A5B29B6"/>
    <w:rsid w:val="4B7951CB"/>
    <w:rsid w:val="4B7C315C"/>
    <w:rsid w:val="4B9300D7"/>
    <w:rsid w:val="4B99567B"/>
    <w:rsid w:val="4BAB7F90"/>
    <w:rsid w:val="4BD53EDA"/>
    <w:rsid w:val="4BE11807"/>
    <w:rsid w:val="4C484CE5"/>
    <w:rsid w:val="4DAC4ACA"/>
    <w:rsid w:val="4DD06F63"/>
    <w:rsid w:val="4E043596"/>
    <w:rsid w:val="4E7301E6"/>
    <w:rsid w:val="4E7C3473"/>
    <w:rsid w:val="4E9B0C57"/>
    <w:rsid w:val="4EA8523F"/>
    <w:rsid w:val="4F186D58"/>
    <w:rsid w:val="4F224836"/>
    <w:rsid w:val="4F231B40"/>
    <w:rsid w:val="51760217"/>
    <w:rsid w:val="51E36677"/>
    <w:rsid w:val="51F01F7D"/>
    <w:rsid w:val="522F6E0C"/>
    <w:rsid w:val="52463BA1"/>
    <w:rsid w:val="529F078E"/>
    <w:rsid w:val="535C79F1"/>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41551C"/>
    <w:rsid w:val="62944DD7"/>
    <w:rsid w:val="629F08EF"/>
    <w:rsid w:val="634265E1"/>
    <w:rsid w:val="63497036"/>
    <w:rsid w:val="63C1619B"/>
    <w:rsid w:val="63C25DC5"/>
    <w:rsid w:val="63C62057"/>
    <w:rsid w:val="63C73832"/>
    <w:rsid w:val="64192A39"/>
    <w:rsid w:val="64754794"/>
    <w:rsid w:val="64851AB1"/>
    <w:rsid w:val="64FB113D"/>
    <w:rsid w:val="6544377C"/>
    <w:rsid w:val="655F5939"/>
    <w:rsid w:val="656152C6"/>
    <w:rsid w:val="6587477F"/>
    <w:rsid w:val="658C3A08"/>
    <w:rsid w:val="65C031CA"/>
    <w:rsid w:val="65CE6852"/>
    <w:rsid w:val="65F004F9"/>
    <w:rsid w:val="66267C04"/>
    <w:rsid w:val="663F505A"/>
    <w:rsid w:val="667F2393"/>
    <w:rsid w:val="66EE5541"/>
    <w:rsid w:val="67086152"/>
    <w:rsid w:val="682C61A8"/>
    <w:rsid w:val="687E45FE"/>
    <w:rsid w:val="692172FD"/>
    <w:rsid w:val="6A3829EE"/>
    <w:rsid w:val="6A924CB7"/>
    <w:rsid w:val="6AE0292E"/>
    <w:rsid w:val="6B474EF5"/>
    <w:rsid w:val="6BC27679"/>
    <w:rsid w:val="6BC54EFE"/>
    <w:rsid w:val="6C0737CC"/>
    <w:rsid w:val="6C3C5AE0"/>
    <w:rsid w:val="6C560CAE"/>
    <w:rsid w:val="6CD15296"/>
    <w:rsid w:val="6D903FF5"/>
    <w:rsid w:val="6DA955B8"/>
    <w:rsid w:val="6DE346AB"/>
    <w:rsid w:val="6FFB2E76"/>
    <w:rsid w:val="70AB70D6"/>
    <w:rsid w:val="70DE5507"/>
    <w:rsid w:val="71C34D91"/>
    <w:rsid w:val="71ED38AA"/>
    <w:rsid w:val="723F3B65"/>
    <w:rsid w:val="72DB435C"/>
    <w:rsid w:val="738549F4"/>
    <w:rsid w:val="74051B30"/>
    <w:rsid w:val="74ED1B1B"/>
    <w:rsid w:val="750837F0"/>
    <w:rsid w:val="762A73EF"/>
    <w:rsid w:val="7631412E"/>
    <w:rsid w:val="764F62AB"/>
    <w:rsid w:val="765C45EC"/>
    <w:rsid w:val="768A7619"/>
    <w:rsid w:val="7714640F"/>
    <w:rsid w:val="77EA362A"/>
    <w:rsid w:val="77F35CA4"/>
    <w:rsid w:val="780E2ADE"/>
    <w:rsid w:val="7875383E"/>
    <w:rsid w:val="78E22810"/>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CB028E"/>
    <w:rsid w:val="7CE56AF6"/>
    <w:rsid w:val="7CF02E5B"/>
    <w:rsid w:val="7D213FB2"/>
    <w:rsid w:val="7D9615AC"/>
    <w:rsid w:val="7FF723E4"/>
    <w:rsid w:val="BFBF61C4"/>
    <w:rsid w:val="FEE6A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43"/>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8146</Words>
  <Characters>10330</Characters>
  <Lines>161</Lines>
  <Paragraphs>45</Paragraphs>
  <TotalTime>1</TotalTime>
  <ScaleCrop>false</ScaleCrop>
  <LinksUpToDate>false</LinksUpToDate>
  <CharactersWithSpaces>11356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UOS</cp:lastModifiedBy>
  <cp:lastPrinted>2025-10-27T20:15:00Z</cp:lastPrinted>
  <dcterms:modified xsi:type="dcterms:W3CDTF">2025-10-29T15:01:41Z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