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widowControl/>
        <w:suppressLineNumbers w:val="0"/>
        <w:autoSpaceDE/>
        <w:autoSpaceDN w:val="0"/>
        <w:spacing w:before="0" w:beforeAutospacing="0" w:after="0" w:afterAutospacing="0" w:line="600" w:lineRule="exact"/>
        <w:ind w:left="0" w:right="0"/>
        <w:jc w:val="center"/>
        <w:rPr>
          <w:rFonts w:hint="default" w:ascii="Times New Roman" w:hAnsi="Times New Roman" w:eastAsia="方正小标宋_GBK" w:cs="Times New Roman"/>
          <w:kern w:val="0"/>
          <w:sz w:val="44"/>
          <w:szCs w:val="44"/>
        </w:rPr>
      </w:pPr>
      <w:r>
        <w:rPr>
          <w:rFonts w:hint="eastAsia" w:ascii="方正小标宋_GBK" w:hAnsi="方正小标宋_GBK" w:eastAsia="方正小标宋_GBK" w:cs="方正小标宋_GBK"/>
          <w:kern w:val="0"/>
          <w:sz w:val="44"/>
          <w:szCs w:val="44"/>
        </w:rPr>
        <w:t>重庆市九龙坡区农业技术推广站</w:t>
      </w:r>
    </w:p>
    <w:p>
      <w:pPr>
        <w:pStyle w:val="13"/>
        <w:keepNext w:val="0"/>
        <w:keepLines w:val="0"/>
        <w:widowControl/>
        <w:suppressLineNumbers w:val="0"/>
        <w:autoSpaceDE/>
        <w:autoSpaceDN w:val="0"/>
        <w:spacing w:before="0" w:beforeAutospacing="0" w:after="0" w:afterAutospacing="0" w:line="600" w:lineRule="exact"/>
        <w:ind w:left="0" w:right="0"/>
        <w:jc w:val="center"/>
        <w:rPr>
          <w:rFonts w:hint="default" w:ascii="Times New Roman" w:hAnsi="Times New Roman" w:eastAsia="方正小标宋_GBK" w:cs="Times New Roman"/>
          <w:kern w:val="0"/>
          <w:sz w:val="44"/>
          <w:szCs w:val="44"/>
        </w:rPr>
      </w:pPr>
      <w:r>
        <w:rPr>
          <w:rFonts w:hint="eastAsia" w:ascii="方正小标宋_GBK" w:hAnsi="方正小标宋_GBK" w:eastAsia="方正小标宋_GBK" w:cs="方正小标宋_GBK"/>
          <w:kern w:val="0"/>
          <w:sz w:val="44"/>
          <w:szCs w:val="44"/>
        </w:rPr>
        <w:t>2024年度单位决算情况说明</w:t>
      </w:r>
    </w:p>
    <w:p>
      <w:pPr>
        <w:pStyle w:val="13"/>
        <w:keepNext w:val="0"/>
        <w:keepLines w:val="0"/>
        <w:widowControl/>
        <w:suppressLineNumbers w:val="0"/>
        <w:autoSpaceDE/>
        <w:autoSpaceDN w:val="0"/>
        <w:spacing w:before="0" w:beforeAutospacing="0" w:after="0" w:afterAutospacing="0" w:line="600" w:lineRule="exact"/>
        <w:ind w:left="0"/>
        <w:jc w:val="left"/>
        <w:rPr>
          <w:rFonts w:hint="default" w:ascii="Times New Roman" w:hAnsi="Times New Roman" w:eastAsia="宋体" w:cs="Times New Roman"/>
          <w:b/>
          <w:kern w:val="0"/>
          <w:sz w:val="24"/>
          <w:szCs w:val="24"/>
          <w:shd w:val="clear" w:fill="FFFFFF"/>
        </w:rPr>
      </w:pPr>
      <w:r>
        <w:rPr>
          <w:rStyle w:val="16"/>
          <w:rFonts w:hint="default" w:ascii="Times New Roman" w:hAnsi="Times New Roman" w:eastAsia="宋体" w:cs="Times New Roman"/>
          <w:b/>
          <w:shd w:val="clear" w:fill="FFFFFF"/>
        </w:rPr>
        <w:t xml:space="preserve"> </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default"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一、单位基本情况</w:t>
      </w:r>
    </w:p>
    <w:p>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600" w:lineRule="exact"/>
        <w:ind w:left="0" w:leftChars="0" w:right="0" w:firstLine="643" w:firstLineChars="200"/>
        <w:jc w:val="both"/>
        <w:textAlignment w:val="auto"/>
        <w:rPr>
          <w:rFonts w:hint="default" w:ascii="Times New Roman" w:hAnsi="Times New Roman" w:eastAsia="方正仿宋_GBK" w:cs="Times New Roman"/>
          <w:kern w:val="0"/>
          <w:sz w:val="32"/>
          <w:szCs w:val="32"/>
        </w:rPr>
      </w:pPr>
      <w:r>
        <w:rPr>
          <w:rStyle w:val="11"/>
          <w:rFonts w:hint="eastAsia" w:ascii="楷体" w:hAnsi="楷体" w:eastAsia="楷体" w:cs="楷体"/>
          <w:kern w:val="0"/>
          <w:sz w:val="32"/>
          <w:szCs w:val="32"/>
          <w:shd w:val="clear" w:color="auto" w:fill="FFFFFF"/>
          <w:lang w:val="en-US" w:eastAsia="zh-CN" w:bidi="ar-SA"/>
        </w:rPr>
        <w:t>（一）职能职责。</w:t>
      </w:r>
      <w:r>
        <w:rPr>
          <w:rFonts w:hint="eastAsia" w:ascii="方正仿宋_GBK" w:hAnsi="方正仿宋_GBK" w:eastAsia="方正仿宋_GBK" w:cs="方正仿宋_GBK"/>
          <w:kern w:val="0"/>
          <w:sz w:val="32"/>
          <w:szCs w:val="32"/>
        </w:rPr>
        <w:t>提供农业（农机）、渔业技术推广与技术服务，具体负责技术成果开发、引进、试验、示范和推广；承担农业（农机）、渔业信息服务，组织开展技术培训、咨询及宣传工作；指导农业（农机）、渔业服务体系建设工作，承担基层农机、农技推广体系建设工作；负责全区农机购置补贴的办理；管理农业机械化事业专项资金和国家投资兴建的各类农业机械化服务设施；</w:t>
      </w:r>
      <w:r>
        <w:rPr>
          <w:rFonts w:hint="eastAsia" w:ascii="方正仿宋_GBK" w:hAnsi="方正仿宋_GBK" w:eastAsia="方正仿宋_GBK" w:cs="方正仿宋_GBK"/>
          <w:b w:val="0"/>
          <w:kern w:val="0"/>
          <w:sz w:val="32"/>
          <w:szCs w:val="32"/>
        </w:rPr>
        <w:t>负责农业机械管理工作；</w:t>
      </w:r>
      <w:r>
        <w:rPr>
          <w:rFonts w:hint="eastAsia" w:ascii="方正仿宋_GBK" w:hAnsi="方正仿宋_GBK" w:eastAsia="方正仿宋_GBK" w:cs="方正仿宋_GBK"/>
          <w:kern w:val="0"/>
          <w:sz w:val="32"/>
          <w:szCs w:val="32"/>
        </w:rPr>
        <w:t>负责拟定全区农业技术推广、农产品质量安全检测工作计划，并组织实施；</w:t>
      </w:r>
      <w:r>
        <w:rPr>
          <w:rFonts w:hint="eastAsia" w:ascii="方正仿宋_GBK" w:hAnsi="方正仿宋_GBK" w:eastAsia="方正仿宋_GBK" w:cs="方正仿宋_GBK"/>
          <w:color w:val="auto"/>
          <w:kern w:val="0"/>
          <w:sz w:val="32"/>
          <w:szCs w:val="32"/>
        </w:rPr>
        <w:t>负责农产品质量安全检测，承担蔬菜农药残留检测任务及相关技术咨询服务；</w:t>
      </w:r>
      <w:r>
        <w:rPr>
          <w:rFonts w:hint="eastAsia" w:ascii="方正仿宋_GBK" w:hAnsi="方正仿宋_GBK" w:eastAsia="方正仿宋_GBK" w:cs="方正仿宋_GBK"/>
          <w:kern w:val="0"/>
          <w:sz w:val="32"/>
          <w:szCs w:val="32"/>
        </w:rPr>
        <w:t>负责全区农产品、果产品产业发展规划及生产基地建设管理；组织开展无公害农产品、果产品基地认定、产品认证及复查换证工作；</w:t>
      </w:r>
      <w:r>
        <w:rPr>
          <w:rFonts w:hint="eastAsia" w:ascii="方正仿宋_GBK" w:hAnsi="方正仿宋_GBK" w:eastAsia="方正仿宋_GBK" w:cs="方正仿宋_GBK"/>
          <w:b w:val="0"/>
          <w:kern w:val="0"/>
          <w:sz w:val="32"/>
          <w:szCs w:val="32"/>
        </w:rPr>
        <w:t>具体承担植物检疫工作，具体承担水产品质量安全监督管理工作；负责水产养殖病害和疫情的预测预报及综合防治；监督管理农业转基因生物安全；负责全区农作物、经济作物、肥料、植物保护</w:t>
      </w:r>
      <w:r>
        <w:rPr>
          <w:rFonts w:hint="eastAsia" w:ascii="方正仿宋_GBK" w:hAnsi="方正仿宋_GBK" w:eastAsia="方正仿宋_GBK" w:cs="方正仿宋_GBK"/>
          <w:kern w:val="0"/>
          <w:sz w:val="32"/>
          <w:szCs w:val="32"/>
        </w:rPr>
        <w:t>新品种、新产品推广和研究，开展新技术新成果的推广和技术指导，宣传普及有关知识；负责农村环境监测，农村生态能源技术推广；开展农业科技信息宣传；培养新型职业农民和农村实用人才，开展农民科学素质提升培训，农民职业技能培训，农民创业培训，农业实用技术培训等；负责农民技术职称评定；承担全区种子质量日常监管具体事务；为农作物种子生产、经营许可提供相关技术服务；受委托开展田间种子质量纠纷调查、协调、鉴定及处理；牵头承办良种补贴具体工作</w:t>
      </w:r>
      <w:r>
        <w:rPr>
          <w:rFonts w:hint="eastAsia" w:ascii="方正仿宋_GBK" w:hAnsi="方正仿宋_GBK" w:eastAsia="方正仿宋_GBK" w:cs="方正仿宋_GBK"/>
          <w:b/>
          <w:kern w:val="0"/>
          <w:sz w:val="32"/>
          <w:szCs w:val="32"/>
        </w:rPr>
        <w:t>；</w:t>
      </w:r>
      <w:r>
        <w:rPr>
          <w:rFonts w:hint="eastAsia" w:ascii="方正仿宋_GBK" w:hAnsi="方正仿宋_GBK" w:eastAsia="方正仿宋_GBK" w:cs="方正仿宋_GBK"/>
          <w:kern w:val="0"/>
          <w:sz w:val="32"/>
          <w:szCs w:val="32"/>
        </w:rPr>
        <w:t>完成区委农业农村工委、区农业农村委交办的其他任务。</w:t>
      </w:r>
    </w:p>
    <w:p>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600" w:lineRule="exact"/>
        <w:ind w:left="0" w:leftChars="0" w:right="0" w:firstLine="643" w:firstLineChars="200"/>
        <w:jc w:val="both"/>
        <w:textAlignment w:val="auto"/>
        <w:rPr>
          <w:rFonts w:hint="default" w:ascii="Times New Roman" w:hAnsi="Times New Roman" w:eastAsia="方正仿宋_GBK" w:cs="Times New Roman"/>
          <w:kern w:val="0"/>
          <w:sz w:val="32"/>
          <w:szCs w:val="32"/>
        </w:rPr>
      </w:pPr>
      <w:r>
        <w:rPr>
          <w:rStyle w:val="11"/>
          <w:rFonts w:hint="eastAsia" w:ascii="楷体" w:hAnsi="楷体" w:eastAsia="楷体" w:cs="楷体"/>
          <w:kern w:val="0"/>
          <w:sz w:val="32"/>
          <w:szCs w:val="32"/>
          <w:shd w:val="clear" w:color="auto" w:fill="FFFFFF"/>
          <w:lang w:val="en-US" w:eastAsia="zh-CN" w:bidi="ar-SA"/>
        </w:rPr>
        <w:t>（二）机构设置。</w:t>
      </w:r>
      <w:r>
        <w:rPr>
          <w:rFonts w:hint="eastAsia" w:ascii="方正仿宋_GBK" w:hAnsi="方正仿宋_GBK" w:eastAsia="方正仿宋_GBK" w:cs="方正仿宋_GBK"/>
          <w:kern w:val="0"/>
          <w:sz w:val="32"/>
          <w:szCs w:val="32"/>
          <w:shd w:val="clear" w:fill="FFFFFF"/>
        </w:rPr>
        <w:t>重庆市九龙坡区农业技术推广站为重庆市九龙坡区农业农村委员会下属事业单位，属二</w:t>
      </w:r>
      <w:r>
        <w:rPr>
          <w:rFonts w:hint="eastAsia" w:ascii="方正仿宋_GBK" w:hAnsi="方正仿宋_GBK" w:eastAsia="方正仿宋_GBK" w:cs="方正仿宋_GBK"/>
          <w:kern w:val="0"/>
          <w:sz w:val="32"/>
          <w:szCs w:val="32"/>
        </w:rPr>
        <w:t>级预算单位。</w:t>
      </w:r>
    </w:p>
    <w:p>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600" w:lineRule="exact"/>
        <w:ind w:left="0" w:leftChars="0" w:right="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（三）单位构成。</w:t>
      </w:r>
      <w:r>
        <w:rPr>
          <w:rFonts w:hint="eastAsia" w:ascii="方正仿宋_GBK" w:hAnsi="方正仿宋_GBK" w:eastAsia="方正仿宋_GBK" w:cs="方正仿宋_GBK"/>
          <w:kern w:val="0"/>
          <w:sz w:val="32"/>
          <w:szCs w:val="32"/>
          <w:shd w:val="clear" w:fill="FFFFFF"/>
        </w:rPr>
        <w:t>从预算单位构成看，纳入本单位</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方正仿宋_GBK" w:hAnsi="方正仿宋_GBK" w:eastAsia="方正仿宋_GBK" w:cs="方正仿宋_GBK"/>
          <w:kern w:val="0"/>
          <w:sz w:val="32"/>
          <w:szCs w:val="32"/>
          <w:shd w:val="clear" w:fill="FFFFFF"/>
        </w:rPr>
        <w:t>年度决算编制范围的二级预算单位为重庆市九龙坡区农业技术推广站。</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default"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二、单位决算情况说明</w:t>
      </w:r>
    </w:p>
    <w:p>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600" w:lineRule="exact"/>
        <w:ind w:left="0" w:leftChars="0" w:right="0" w:firstLine="643" w:firstLineChars="200"/>
        <w:jc w:val="both"/>
        <w:textAlignment w:val="auto"/>
        <w:rPr>
          <w:rStyle w:val="11"/>
          <w:rFonts w:hint="default"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（一）收入支出决算总体情况说明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b w:val="0"/>
          <w:color w:val="0000FF"/>
          <w:kern w:val="0"/>
          <w:sz w:val="32"/>
          <w:szCs w:val="32"/>
          <w:shd w:val="clear" w:fill="FFFFFF"/>
        </w:rPr>
      </w:pPr>
      <w:r>
        <w:rPr>
          <w:rFonts w:hint="eastAsia" w:ascii="方正仿宋_GBK" w:hAnsi="方正仿宋_GBK" w:eastAsia="方正仿宋_GBK" w:cs="方正仿宋_GBK"/>
          <w:b/>
          <w:kern w:val="0"/>
          <w:sz w:val="32"/>
          <w:szCs w:val="32"/>
          <w:shd w:val="clear" w:fill="FFFFFF"/>
        </w:rPr>
        <w:t>1.</w:t>
      </w:r>
      <w:r>
        <w:rPr>
          <w:rStyle w:val="16"/>
          <w:rFonts w:hint="eastAsia" w:ascii="方正仿宋_GBK" w:hAnsi="方正仿宋_GBK" w:eastAsia="方正仿宋_GBK" w:cs="方正仿宋_GBK"/>
          <w:b/>
          <w:kern w:val="0"/>
          <w:sz w:val="32"/>
          <w:szCs w:val="32"/>
          <w:shd w:val="clear" w:fill="FFFFFF"/>
        </w:rPr>
        <w:t>总体情况。</w:t>
      </w:r>
      <w:r>
        <w:rPr>
          <w:rFonts w:hint="eastAsia" w:ascii="Times New Roman" w:hAnsi="Times New Roman" w:eastAsia="方正仿宋_GBK" w:cs="Times New Roman"/>
          <w:kern w:val="0"/>
          <w:sz w:val="32"/>
          <w:szCs w:val="32"/>
          <w:shd w:val="clear" w:color="auto" w:fill="FFFFFF"/>
          <w:lang w:val="en-US" w:eastAsia="zh-CN" w:bidi="ar-SA"/>
        </w:rPr>
        <w:t>2024年</w:t>
      </w:r>
      <w:r>
        <w:rPr>
          <w:rFonts w:hint="default" w:ascii="Times New Roman" w:hAnsi="Times New Roman" w:eastAsia="方正仿宋_GBK" w:cs="Times New Roman"/>
          <w:kern w:val="0"/>
          <w:sz w:val="32"/>
          <w:szCs w:val="32"/>
          <w:shd w:val="clear" w:color="auto" w:fill="FFFFFF"/>
          <w:lang w:val="en-US" w:eastAsia="zh-CN" w:bidi="ar-SA"/>
        </w:rPr>
        <w:t>度收入总计428.22万元，支出总计428.22万元。收、支与2023年度相比，增加43.78万元，增长11.4%，</w:t>
      </w:r>
      <w:r>
        <w:rPr>
          <w:rFonts w:hint="eastAsia" w:ascii="Times New Roman" w:hAnsi="Times New Roman" w:eastAsia="方正仿宋_GBK" w:cs="Times New Roman"/>
          <w:kern w:val="0"/>
          <w:sz w:val="32"/>
          <w:szCs w:val="32"/>
          <w:shd w:val="clear" w:color="auto" w:fill="FFFFFF"/>
          <w:lang w:val="en-US" w:eastAsia="zh-CN" w:bidi="ar-SA"/>
        </w:rPr>
        <w:t>主要原因是2024年本单位新进人员等经费</w:t>
      </w:r>
      <w:r>
        <w:rPr>
          <w:rFonts w:hint="eastAsia" w:ascii="方正仿宋_GBK" w:hAnsi="方正仿宋_GBK" w:eastAsia="方正仿宋_GBK" w:cs="方正仿宋_GBK"/>
          <w:b w:val="0"/>
          <w:color w:val="auto"/>
          <w:kern w:val="0"/>
          <w:sz w:val="32"/>
          <w:szCs w:val="32"/>
          <w:shd w:val="clear" w:fill="FFFFFF"/>
        </w:rPr>
        <w:t>增加。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方正仿宋_GBK" w:hAnsi="方正仿宋_GBK" w:eastAsia="方正仿宋_GBK" w:cs="方正仿宋_GBK"/>
          <w:b/>
          <w:kern w:val="0"/>
          <w:sz w:val="32"/>
          <w:szCs w:val="32"/>
          <w:shd w:val="clear" w:fill="FFFFFF"/>
        </w:rPr>
        <w:t>2.收入情况。</w:t>
      </w:r>
      <w:r>
        <w:rPr>
          <w:rFonts w:hint="eastAsia" w:ascii="Times New Roman" w:hAnsi="Times New Roman" w:eastAsia="方正仿宋_GBK" w:cs="Times New Roman"/>
          <w:kern w:val="0"/>
          <w:sz w:val="32"/>
          <w:szCs w:val="32"/>
          <w:shd w:val="clear" w:color="auto" w:fill="FFFFFF"/>
          <w:lang w:val="en-US" w:eastAsia="zh-CN" w:bidi="ar-SA"/>
        </w:rPr>
        <w:t>2024年度收入合计428.22万元，与2023年度相比，增加43.78万元，增长11.4%，主要原因是2024年本单位新进人员等经费增加。其中：财政拨款收入</w:t>
      </w:r>
      <w:r>
        <w:rPr>
          <w:rFonts w:hint="default" w:ascii="Times New Roman" w:hAnsi="Times New Roman" w:eastAsia="方正仿宋_GBK" w:cs="Times New Roman"/>
          <w:kern w:val="0"/>
          <w:sz w:val="32"/>
          <w:szCs w:val="32"/>
          <w:shd w:val="clear" w:color="auto" w:fill="FFFFFF"/>
          <w:lang w:val="en-US" w:eastAsia="zh-CN" w:bidi="ar-SA"/>
        </w:rPr>
        <w:t>428.22</w:t>
      </w:r>
      <w:r>
        <w:rPr>
          <w:rFonts w:hint="eastAsia" w:ascii="Times New Roman" w:hAnsi="Times New Roman" w:eastAsia="方正仿宋_GBK" w:cs="Times New Roman"/>
          <w:kern w:val="0"/>
          <w:sz w:val="32"/>
          <w:szCs w:val="32"/>
          <w:shd w:val="clear" w:color="auto" w:fill="FFFFFF"/>
          <w:lang w:val="en-US" w:eastAsia="zh-CN" w:bidi="ar-SA"/>
        </w:rPr>
        <w:t>万元，占</w:t>
      </w:r>
      <w:r>
        <w:rPr>
          <w:rFonts w:hint="default" w:ascii="Times New Roman" w:hAnsi="Times New Roman" w:eastAsia="方正仿宋_GBK" w:cs="Times New Roman"/>
          <w:kern w:val="0"/>
          <w:sz w:val="32"/>
          <w:szCs w:val="32"/>
          <w:shd w:val="clear" w:color="auto" w:fill="FFFFFF"/>
          <w:lang w:val="en-US" w:eastAsia="zh-CN" w:bidi="ar-SA"/>
        </w:rPr>
        <w:t>100.00%</w:t>
      </w:r>
      <w:r>
        <w:rPr>
          <w:rFonts w:hint="eastAsia" w:ascii="Times New Roman" w:hAnsi="Times New Roman" w:eastAsia="方正仿宋_GBK" w:cs="Times New Roman"/>
          <w:kern w:val="0"/>
          <w:sz w:val="32"/>
          <w:szCs w:val="32"/>
          <w:shd w:val="clear" w:color="auto" w:fill="FFFFFF"/>
          <w:lang w:val="en-US" w:eastAsia="zh-CN" w:bidi="ar-SA"/>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方正仿宋_GBK" w:hAnsi="方正仿宋_GBK" w:eastAsia="方正仿宋_GBK" w:cs="方正仿宋_GBK"/>
          <w:b/>
          <w:kern w:val="0"/>
          <w:sz w:val="32"/>
          <w:szCs w:val="32"/>
          <w:shd w:val="clear" w:fill="FFFFFF"/>
        </w:rPr>
        <w:t>3.支出情况。</w:t>
      </w:r>
      <w:r>
        <w:rPr>
          <w:rFonts w:hint="eastAsia" w:ascii="Times New Roman" w:hAnsi="Times New Roman" w:eastAsia="方正仿宋_GBK" w:cs="Times New Roman"/>
          <w:kern w:val="0"/>
          <w:sz w:val="32"/>
          <w:szCs w:val="32"/>
          <w:shd w:val="clear" w:color="auto" w:fill="FFFFFF"/>
          <w:lang w:val="en-US" w:eastAsia="zh-CN" w:bidi="ar-SA"/>
        </w:rPr>
        <w:t>2024年度支出合计428.22万元，与2023年度相比，增加43.78万元，增长11.4%，主要原因是2024年本单位新进人员等经费增加。其中：基本支出</w:t>
      </w:r>
      <w:r>
        <w:rPr>
          <w:rFonts w:hint="default" w:ascii="Times New Roman" w:hAnsi="Times New Roman" w:eastAsia="方正仿宋_GBK" w:cs="Times New Roman"/>
          <w:kern w:val="0"/>
          <w:sz w:val="32"/>
          <w:szCs w:val="32"/>
          <w:shd w:val="clear" w:color="auto" w:fill="FFFFFF"/>
          <w:lang w:val="en-US" w:eastAsia="zh-CN" w:bidi="ar-SA"/>
        </w:rPr>
        <w:t>428.22</w:t>
      </w:r>
      <w:r>
        <w:rPr>
          <w:rFonts w:hint="eastAsia" w:ascii="Times New Roman" w:hAnsi="Times New Roman" w:eastAsia="方正仿宋_GBK" w:cs="Times New Roman"/>
          <w:kern w:val="0"/>
          <w:sz w:val="32"/>
          <w:szCs w:val="32"/>
          <w:shd w:val="clear" w:color="auto" w:fill="FFFFFF"/>
          <w:lang w:val="en-US" w:eastAsia="zh-CN" w:bidi="ar-SA"/>
        </w:rPr>
        <w:t>万元，占</w:t>
      </w:r>
      <w:r>
        <w:rPr>
          <w:rFonts w:hint="default" w:ascii="Times New Roman" w:hAnsi="Times New Roman" w:eastAsia="方正仿宋_GBK" w:cs="Times New Roman"/>
          <w:kern w:val="0"/>
          <w:sz w:val="32"/>
          <w:szCs w:val="32"/>
          <w:shd w:val="clear" w:color="auto" w:fill="FFFFFF"/>
          <w:lang w:val="en-US" w:eastAsia="zh-CN" w:bidi="ar-SA"/>
        </w:rPr>
        <w:t>100.00%</w:t>
      </w:r>
      <w:r>
        <w:rPr>
          <w:rFonts w:hint="eastAsia" w:ascii="Times New Roman" w:hAnsi="Times New Roman" w:eastAsia="方正仿宋_GBK" w:cs="Times New Roman"/>
          <w:kern w:val="0"/>
          <w:sz w:val="32"/>
          <w:szCs w:val="32"/>
          <w:shd w:val="clear" w:color="auto" w:fill="FFFFFF"/>
          <w:lang w:val="en-US" w:eastAsia="zh-CN" w:bidi="ar-SA"/>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kern w:val="0"/>
          <w:sz w:val="32"/>
          <w:szCs w:val="32"/>
          <w:shd w:val="clear" w:fill="FFFFFF"/>
        </w:rPr>
        <w:t>4.结转结余情况。</w:t>
      </w:r>
      <w:r>
        <w:rPr>
          <w:rFonts w:hint="eastAsia" w:ascii="Times New Roman" w:hAnsi="Times New Roman" w:eastAsia="方正仿宋_GBK" w:cs="Times New Roman"/>
          <w:kern w:val="0"/>
          <w:sz w:val="32"/>
          <w:szCs w:val="32"/>
          <w:shd w:val="clear" w:color="auto" w:fill="FFFFFF"/>
          <w:lang w:val="en-US" w:eastAsia="zh-CN" w:bidi="ar-SA"/>
        </w:rPr>
        <w:t>2024年度年末结转和结余0.00万元，与2023年度相比</w:t>
      </w:r>
      <w:r>
        <w:rPr>
          <w:rFonts w:ascii="方正仿宋_GBK" w:hAnsi="方正仿宋_GBK" w:eastAsia="方正仿宋_GBK" w:cs="方正仿宋_GBK"/>
          <w:sz w:val="32"/>
          <w:szCs w:val="32"/>
          <w:shd w:val="clear" w:color="auto" w:fill="FFFFFF"/>
        </w:rPr>
        <w:t>，无增减</w:t>
      </w:r>
      <w:r>
        <w:rPr>
          <w:rFonts w:hint="eastAsia" w:ascii="方正仿宋_GBK" w:hAnsi="方正仿宋_GBK" w:eastAsia="方正仿宋_GBK" w:cs="方正仿宋_GBK"/>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楷体_GBK" w:cs="Times New Roman"/>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（二）财政拨款收入支出决算总体情况说明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r>
        <w:rPr>
          <w:rFonts w:hint="eastAsia" w:ascii="Times New Roman" w:hAnsi="Times New Roman" w:eastAsia="方正仿宋_GBK" w:cs="Times New Roman"/>
          <w:kern w:val="0"/>
          <w:sz w:val="32"/>
          <w:szCs w:val="32"/>
          <w:shd w:val="clear" w:color="auto" w:fill="FFFFFF"/>
          <w:lang w:val="en-US" w:eastAsia="zh-CN" w:bidi="ar-SA"/>
        </w:rPr>
        <w:t>2024年度财政拨款收、支总计428.22万元。与2023年相比，财政拨款收、支总计各增加43.78万元，增长11.4%。主要原因是2024</w:t>
      </w:r>
      <w:r>
        <w:rPr>
          <w:rFonts w:hint="eastAsia" w:ascii="方正仿宋_GBK" w:hAnsi="方正仿宋_GBK" w:eastAsia="方正仿宋_GBK" w:cs="方正仿宋_GBK"/>
          <w:b w:val="0"/>
          <w:color w:val="auto"/>
          <w:kern w:val="0"/>
          <w:sz w:val="32"/>
          <w:szCs w:val="32"/>
          <w:shd w:val="clear" w:fill="FFFFFF"/>
        </w:rPr>
        <w:t>年本单位新进人员等经费增加造成本年财政拨款收、支增加。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楷体_GBK" w:cs="Times New Roman"/>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（三）一般公共预算财政拨款收入支出决算情况说明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kern w:val="0"/>
          <w:sz w:val="32"/>
          <w:szCs w:val="32"/>
          <w:shd w:val="clear" w:fill="FFFFFF"/>
        </w:rPr>
        <w:t>1.收入情况。</w:t>
      </w:r>
      <w:r>
        <w:rPr>
          <w:rFonts w:hint="eastAsia" w:ascii="Times New Roman" w:hAnsi="Times New Roman" w:eastAsia="方正仿宋_GBK" w:cs="Times New Roman"/>
          <w:kern w:val="0"/>
          <w:sz w:val="32"/>
          <w:szCs w:val="32"/>
          <w:shd w:val="clear" w:color="auto" w:fill="FFFFFF"/>
          <w:lang w:val="en-US" w:eastAsia="zh-CN" w:bidi="ar-SA"/>
        </w:rPr>
        <w:t>2024年度一般公共预算财政拨款收入428.22万元，与2023年度相比，增加43.78万元，增长11.4%。主要原因是2024年本单位新进人员等经费增加。较年初预算数增加63.75万元，增长17.5%。主要原因是2024年本单位新进人员和追加退休人员死亡抚恤丧葬经费。此外，年初财政拨款结转和结余</w:t>
      </w:r>
      <w:r>
        <w:rPr>
          <w:rFonts w:hint="default" w:ascii="Times New Roman" w:hAnsi="Times New Roman" w:eastAsia="方正仿宋_GBK" w:cs="Times New Roman"/>
          <w:kern w:val="0"/>
          <w:sz w:val="32"/>
          <w:szCs w:val="32"/>
          <w:shd w:val="clear" w:color="auto" w:fill="FFFFFF"/>
          <w:lang w:val="en-US" w:eastAsia="zh-CN" w:bidi="ar-SA"/>
        </w:rPr>
        <w:t>0.00</w:t>
      </w:r>
      <w:r>
        <w:rPr>
          <w:rFonts w:hint="eastAsia" w:ascii="Times New Roman" w:hAnsi="Times New Roman" w:eastAsia="方正仿宋_GBK" w:cs="Times New Roman"/>
          <w:kern w:val="0"/>
          <w:sz w:val="32"/>
          <w:szCs w:val="32"/>
          <w:shd w:val="clear" w:color="auto" w:fill="FFFFFF"/>
          <w:lang w:val="en-US" w:eastAsia="zh-CN" w:bidi="ar-SA"/>
        </w:rPr>
        <w:t>万</w:t>
      </w:r>
      <w:r>
        <w:rPr>
          <w:rFonts w:hint="eastAsia" w:ascii="方正仿宋_GBK" w:hAnsi="方正仿宋_GBK" w:eastAsia="方正仿宋_GBK" w:cs="方正仿宋_GBK"/>
          <w:kern w:val="0"/>
          <w:sz w:val="32"/>
          <w:szCs w:val="32"/>
          <w:shd w:val="clear" w:fill="FFFFFF"/>
        </w:rPr>
        <w:t>元。</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Fonts w:hint="default" w:ascii="Times New Roman" w:hAnsi="Times New Roman" w:eastAsia="方正仿宋_GBK" w:cs="Times New Roman"/>
          <w:color w:val="auto"/>
          <w:kern w:val="0"/>
          <w:sz w:val="32"/>
          <w:szCs w:val="32"/>
          <w:shd w:val="clear" w:fill="FFFFFF"/>
        </w:rPr>
      </w:pPr>
      <w:r>
        <w:rPr>
          <w:rFonts w:hint="eastAsia" w:ascii="方正仿宋_GBK" w:hAnsi="方正仿宋_GBK" w:eastAsia="方正仿宋_GBK" w:cs="方正仿宋_GBK"/>
          <w:b/>
          <w:kern w:val="0"/>
          <w:sz w:val="32"/>
          <w:szCs w:val="32"/>
          <w:shd w:val="clear" w:fill="FFFFFF"/>
        </w:rPr>
        <w:t>2.</w:t>
      </w:r>
      <w:r>
        <w:rPr>
          <w:rFonts w:hint="eastAsia" w:ascii="方正楷体_GBK" w:hAnsi="方正楷体_GBK" w:eastAsia="方正楷体_GBK" w:cs="方正楷体_GBK"/>
          <w:b/>
          <w:kern w:val="0"/>
          <w:sz w:val="32"/>
          <w:szCs w:val="32"/>
          <w:shd w:val="clear" w:fill="FFFFFF"/>
        </w:rPr>
        <w:t>支出情况。</w:t>
      </w:r>
      <w:r>
        <w:rPr>
          <w:rFonts w:hint="eastAsia" w:ascii="Times New Roman" w:hAnsi="Times New Roman" w:eastAsia="方正仿宋_GBK" w:cs="Times New Roman"/>
          <w:kern w:val="0"/>
          <w:sz w:val="32"/>
          <w:szCs w:val="32"/>
          <w:shd w:val="clear" w:color="auto" w:fill="FFFFFF"/>
          <w:lang w:val="en-US" w:eastAsia="zh-CN" w:bidi="ar-SA"/>
        </w:rPr>
        <w:t>2024年度一般公共预算财政拨款支出428.22万元，与2023年度相比，增加43.78万元，增长11.4%。主要原因是2024年本单位新进人员等经费增加。较年初预算数增加63.75万元，增长17.5%。主要原因是2024</w:t>
      </w:r>
      <w:r>
        <w:rPr>
          <w:rFonts w:hint="eastAsia" w:ascii="方正仿宋_GBK" w:hAnsi="方正仿宋_GBK" w:eastAsia="方正仿宋_GBK" w:cs="方正仿宋_GBK"/>
          <w:b w:val="0"/>
          <w:color w:val="auto"/>
          <w:kern w:val="0"/>
          <w:sz w:val="32"/>
          <w:szCs w:val="32"/>
          <w:shd w:val="clear" w:fill="FFFFFF"/>
        </w:rPr>
        <w:t>年本单位新进人员和追加退休人员死亡抚恤丧葬经费。</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kern w:val="0"/>
          <w:sz w:val="32"/>
          <w:szCs w:val="32"/>
          <w:shd w:val="clear" w:fill="FFFFFF"/>
        </w:rPr>
        <w:t>3.</w:t>
      </w:r>
      <w:r>
        <w:rPr>
          <w:rFonts w:hint="eastAsia" w:ascii="方正楷体_GBK" w:hAnsi="方正楷体_GBK" w:eastAsia="方正楷体_GBK" w:cs="方正楷体_GBK"/>
          <w:b/>
          <w:kern w:val="0"/>
          <w:sz w:val="32"/>
          <w:szCs w:val="32"/>
          <w:shd w:val="clear" w:fill="FFFFFF"/>
        </w:rPr>
        <w:t>结转结余情况。</w:t>
      </w:r>
      <w:r>
        <w:rPr>
          <w:rFonts w:hint="eastAsia" w:ascii="Times New Roman" w:hAnsi="Times New Roman" w:eastAsia="方正仿宋_GBK" w:cs="Times New Roman"/>
          <w:kern w:val="0"/>
          <w:sz w:val="32"/>
          <w:szCs w:val="32"/>
          <w:shd w:val="clear" w:color="auto" w:fill="FFFFFF"/>
          <w:lang w:val="en-US" w:eastAsia="zh-CN" w:bidi="ar-SA"/>
        </w:rPr>
        <w:t>2024年度年末一般公共预算财政拨款结转和结余0.00万元，与2023年</w:t>
      </w:r>
      <w:r>
        <w:rPr>
          <w:rFonts w:ascii="方正仿宋_GBK" w:hAnsi="方正仿宋_GBK" w:eastAsia="方正仿宋_GBK" w:cs="方正仿宋_GBK"/>
          <w:sz w:val="32"/>
          <w:szCs w:val="32"/>
          <w:shd w:val="clear" w:color="auto" w:fill="FFFFFF"/>
        </w:rPr>
        <w:t>度相比</w:t>
      </w:r>
      <w:r>
        <w:rPr>
          <w:rFonts w:hint="eastAsia" w:ascii="方正仿宋_GBK" w:hAnsi="方正仿宋_GBK" w:eastAsia="方正仿宋_GBK" w:cs="方正仿宋_GBK"/>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b/>
          <w:kern w:val="0"/>
          <w:sz w:val="32"/>
          <w:szCs w:val="32"/>
          <w:shd w:val="clear" w:fill="FFFFFF"/>
        </w:rPr>
        <w:t>4.比较情况。</w:t>
      </w:r>
      <w:r>
        <w:rPr>
          <w:rFonts w:hint="eastAsia" w:ascii="方正仿宋_GBK" w:hAnsi="方正仿宋_GBK" w:eastAsia="方正仿宋_GBK" w:cs="方正仿宋_GBK"/>
          <w:kern w:val="0"/>
          <w:sz w:val="32"/>
          <w:szCs w:val="32"/>
          <w:shd w:val="clear" w:fill="FFFFFF"/>
        </w:rPr>
        <w:t>本单位</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eastAsia" w:ascii="方正仿宋_GBK" w:hAnsi="方正仿宋_GBK" w:eastAsia="方正仿宋_GBK" w:cs="方正仿宋_GBK"/>
          <w:kern w:val="0"/>
          <w:sz w:val="32"/>
          <w:szCs w:val="32"/>
          <w:shd w:val="clear" w:fill="FFFFFF"/>
        </w:rPr>
        <w:t>度一般公共预算财政拨款支出主要用于以下几个方面：</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b w:val="0"/>
          <w:color w:val="auto"/>
          <w:kern w:val="0"/>
          <w:sz w:val="32"/>
          <w:szCs w:val="32"/>
          <w:shd w:val="clear" w:fill="FFFFFF"/>
        </w:rPr>
      </w:pPr>
      <w:r>
        <w:rPr>
          <w:rFonts w:hint="eastAsia" w:ascii="方正仿宋_GBK" w:hAnsi="方正仿宋_GBK" w:eastAsia="方正仿宋_GBK" w:cs="方正仿宋_GBK"/>
          <w:kern w:val="0"/>
          <w:sz w:val="32"/>
          <w:szCs w:val="32"/>
          <w:shd w:val="clear" w:fill="FFFFFF"/>
        </w:rPr>
        <w:t>（1）</w:t>
      </w:r>
      <w:r>
        <w:rPr>
          <w:rFonts w:ascii="方正仿宋_GBK" w:hAnsi="方正仿宋_GBK" w:eastAsia="方正仿宋_GBK" w:cs="方正仿宋_GBK"/>
          <w:sz w:val="32"/>
          <w:szCs w:val="32"/>
          <w:shd w:val="clear" w:color="auto" w:fill="FFFFFF"/>
        </w:rPr>
        <w:t>社会保障与就业支出</w:t>
      </w:r>
      <w:r>
        <w:rPr>
          <w:rFonts w:hint="default" w:ascii="Times New Roman" w:hAnsi="Times New Roman" w:eastAsia="方正仿宋_GBK" w:cs="Times New Roman"/>
          <w:kern w:val="0"/>
          <w:sz w:val="32"/>
          <w:szCs w:val="32"/>
          <w:shd w:val="clear" w:color="auto" w:fill="FFFFFF"/>
          <w:lang w:val="en-US" w:eastAsia="zh-CN" w:bidi="ar-SA"/>
        </w:rPr>
        <w:t>143.39万元，占33.48%，较年初预算数增加39.08万元，增长37.5%，</w:t>
      </w:r>
      <w:r>
        <w:rPr>
          <w:rFonts w:hint="eastAsia" w:ascii="Times New Roman" w:hAnsi="Times New Roman" w:eastAsia="方正仿宋_GBK" w:cs="Times New Roman"/>
          <w:kern w:val="0"/>
          <w:sz w:val="32"/>
          <w:szCs w:val="32"/>
          <w:shd w:val="clear" w:color="auto" w:fill="FFFFFF"/>
          <w:lang w:val="en-US" w:eastAsia="zh-CN" w:bidi="ar-SA"/>
        </w:rPr>
        <w:t>主</w:t>
      </w:r>
      <w:r>
        <w:rPr>
          <w:rFonts w:hint="eastAsia" w:ascii="方正仿宋_GBK" w:hAnsi="方正仿宋_GBK" w:eastAsia="方正仿宋_GBK" w:cs="方正仿宋_GBK"/>
          <w:kern w:val="0"/>
          <w:sz w:val="32"/>
          <w:szCs w:val="32"/>
          <w:shd w:val="clear" w:fill="FFFFFF"/>
        </w:rPr>
        <w:t>要原因是</w:t>
      </w:r>
      <w:r>
        <w:rPr>
          <w:rFonts w:hint="eastAsia" w:ascii="方正仿宋_GBK" w:hAnsi="方正仿宋_GBK" w:eastAsia="方正仿宋_GBK" w:cs="方正仿宋_GBK"/>
          <w:b w:val="0"/>
          <w:color w:val="auto"/>
          <w:kern w:val="0"/>
          <w:sz w:val="32"/>
          <w:szCs w:val="32"/>
          <w:shd w:val="clear" w:fill="FFFFFF"/>
        </w:rPr>
        <w:t>新进人员</w:t>
      </w:r>
      <w:r>
        <w:rPr>
          <w:rFonts w:hint="eastAsia" w:ascii="方正仿宋_GBK" w:hAnsi="方正仿宋_GBK" w:eastAsia="方正仿宋_GBK" w:cs="方正仿宋_GBK"/>
          <w:b w:val="0"/>
          <w:color w:val="auto"/>
          <w:kern w:val="0"/>
          <w:sz w:val="32"/>
          <w:szCs w:val="32"/>
          <w:shd w:val="clear" w:fill="FFFFFF"/>
          <w:lang w:eastAsia="zh-CN"/>
        </w:rPr>
        <w:t>、</w:t>
      </w:r>
      <w:r>
        <w:rPr>
          <w:rFonts w:hint="eastAsia" w:ascii="方正仿宋_GBK" w:hAnsi="方正仿宋_GBK" w:eastAsia="方正仿宋_GBK" w:cs="方正仿宋_GBK"/>
          <w:b w:val="0"/>
          <w:color w:val="auto"/>
          <w:kern w:val="0"/>
          <w:sz w:val="32"/>
          <w:szCs w:val="32"/>
          <w:shd w:val="clear" w:fill="FFFFFF"/>
        </w:rPr>
        <w:t>发放退休人员死亡抚恤丧葬经费。</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b w:val="0"/>
          <w:color w:val="0000FF"/>
          <w:kern w:val="0"/>
          <w:sz w:val="32"/>
          <w:szCs w:val="32"/>
          <w:shd w:val="clear" w:fill="FFFFFF"/>
        </w:rPr>
      </w:pPr>
      <w:r>
        <w:rPr>
          <w:rFonts w:hint="eastAsia" w:ascii="方正仿宋_GBK" w:hAnsi="方正仿宋_GBK" w:eastAsia="方正仿宋_GBK" w:cs="方正仿宋_GBK"/>
          <w:kern w:val="0"/>
          <w:sz w:val="32"/>
          <w:szCs w:val="32"/>
          <w:shd w:val="clear"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cs="Times New Roman"/>
          <w:kern w:val="0"/>
          <w:sz w:val="32"/>
          <w:szCs w:val="32"/>
          <w:shd w:val="clear" w:color="auto" w:fill="FFFFFF"/>
          <w:lang w:val="en-US" w:eastAsia="zh-CN" w:bidi="ar-SA"/>
        </w:rPr>
        <w:t>17.85万元，占4.17%，较年初预算数增加0.53万元，增长3.1%，</w:t>
      </w:r>
      <w:r>
        <w:rPr>
          <w:rFonts w:hint="eastAsia" w:ascii="Times New Roman" w:hAnsi="Times New Roman" w:eastAsia="方正仿宋_GBK" w:cs="Times New Roman"/>
          <w:kern w:val="0"/>
          <w:sz w:val="32"/>
          <w:szCs w:val="32"/>
          <w:shd w:val="clear" w:color="auto" w:fill="FFFFFF"/>
          <w:lang w:val="en-US" w:eastAsia="zh-CN" w:bidi="ar-SA"/>
        </w:rPr>
        <w:t>主</w:t>
      </w:r>
      <w:r>
        <w:rPr>
          <w:rFonts w:hint="eastAsia" w:ascii="方正仿宋_GBK" w:hAnsi="方正仿宋_GBK" w:eastAsia="方正仿宋_GBK" w:cs="方正仿宋_GBK"/>
          <w:kern w:val="0"/>
          <w:sz w:val="32"/>
          <w:szCs w:val="32"/>
          <w:shd w:val="clear" w:fill="FFFFFF"/>
        </w:rPr>
        <w:t>要原因是</w:t>
      </w:r>
      <w:r>
        <w:rPr>
          <w:rFonts w:hint="eastAsia" w:ascii="方正仿宋_GBK" w:hAnsi="方正仿宋_GBK" w:eastAsia="方正仿宋_GBK" w:cs="方正仿宋_GBK"/>
          <w:b w:val="0"/>
          <w:color w:val="auto"/>
          <w:kern w:val="0"/>
          <w:sz w:val="32"/>
          <w:szCs w:val="32"/>
          <w:shd w:val="clear" w:fill="FFFFFF"/>
        </w:rPr>
        <w:t>新进人员经费增加。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b w:val="0"/>
          <w:color w:val="auto"/>
          <w:kern w:val="0"/>
          <w:sz w:val="32"/>
          <w:szCs w:val="32"/>
          <w:shd w:val="clear" w:fill="FFFFFF"/>
        </w:rPr>
      </w:pPr>
      <w:r>
        <w:rPr>
          <w:rFonts w:hint="eastAsia" w:ascii="方正仿宋_GBK" w:hAnsi="方正仿宋_GBK" w:eastAsia="方正仿宋_GBK" w:cs="方正仿宋_GBK"/>
          <w:kern w:val="0"/>
          <w:sz w:val="32"/>
          <w:szCs w:val="32"/>
          <w:shd w:val="clear" w:fill="FFFFFF"/>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cs="Times New Roman"/>
          <w:kern w:val="0"/>
          <w:sz w:val="32"/>
          <w:szCs w:val="32"/>
          <w:shd w:val="clear" w:color="auto" w:fill="FFFFFF"/>
          <w:lang w:val="en-US" w:eastAsia="zh-CN" w:bidi="ar-SA"/>
        </w:rPr>
        <w:t>245.35万元，占57.29%，较年初预算数增加23.57万元，增长10.6%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0"/>
          <w:sz w:val="32"/>
          <w:szCs w:val="32"/>
          <w:shd w:val="clear" w:fill="FFFFFF"/>
        </w:rPr>
        <w:t>主要原因是</w:t>
      </w:r>
      <w:r>
        <w:rPr>
          <w:rFonts w:hint="eastAsia" w:ascii="方正仿宋_GBK" w:hAnsi="方正仿宋_GBK" w:eastAsia="方正仿宋_GBK" w:cs="方正仿宋_GBK"/>
          <w:b w:val="0"/>
          <w:color w:val="auto"/>
          <w:kern w:val="0"/>
          <w:sz w:val="32"/>
          <w:szCs w:val="32"/>
          <w:shd w:val="clear" w:fill="FFFFFF"/>
        </w:rPr>
        <w:t>新进人员</w:t>
      </w:r>
      <w:r>
        <w:rPr>
          <w:rFonts w:hint="eastAsia" w:ascii="方正仿宋_GBK" w:hAnsi="方正仿宋_GBK" w:eastAsia="方正仿宋_GBK" w:cs="方正仿宋_GBK"/>
          <w:b w:val="0"/>
          <w:color w:val="auto"/>
          <w:kern w:val="0"/>
          <w:sz w:val="32"/>
          <w:szCs w:val="32"/>
          <w:shd w:val="clear" w:fill="FFFFFF"/>
          <w:lang w:val="en-US" w:eastAsia="zh-CN"/>
        </w:rPr>
        <w:t>等</w:t>
      </w:r>
      <w:r>
        <w:rPr>
          <w:rFonts w:hint="eastAsia" w:ascii="方正仿宋_GBK" w:hAnsi="方正仿宋_GBK" w:eastAsia="方正仿宋_GBK" w:cs="方正仿宋_GBK"/>
          <w:b w:val="0"/>
          <w:color w:val="auto"/>
          <w:kern w:val="0"/>
          <w:sz w:val="32"/>
          <w:szCs w:val="32"/>
          <w:shd w:val="clear" w:fill="FFFFFF"/>
        </w:rPr>
        <w:t>经费增加。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b w:val="0"/>
          <w:color w:val="auto"/>
          <w:kern w:val="0"/>
          <w:sz w:val="32"/>
          <w:szCs w:val="32"/>
          <w:shd w:val="clear" w:fill="FFFFFF"/>
        </w:rPr>
      </w:pPr>
      <w:r>
        <w:rPr>
          <w:rFonts w:hint="eastAsia" w:ascii="方正仿宋_GBK" w:hAnsi="方正仿宋_GBK" w:eastAsia="方正仿宋_GBK" w:cs="方正仿宋_GBK"/>
          <w:kern w:val="0"/>
          <w:sz w:val="32"/>
          <w:szCs w:val="32"/>
          <w:shd w:val="clear" w:fill="FFFFFF"/>
        </w:rPr>
        <w:t>（4）</w:t>
      </w:r>
      <w:r>
        <w:rPr>
          <w:rFonts w:ascii="方正仿宋_GBK" w:hAnsi="方正仿宋_GBK" w:eastAsia="方正仿宋_GBK" w:cs="方正仿宋_GBK"/>
          <w:sz w:val="32"/>
          <w:szCs w:val="32"/>
        </w:rPr>
        <w:t>住房保障支</w:t>
      </w:r>
      <w:r>
        <w:rPr>
          <w:rFonts w:hint="default" w:ascii="Times New Roman" w:hAnsi="Times New Roman" w:eastAsia="方正仿宋_GBK" w:cs="Times New Roman"/>
          <w:kern w:val="0"/>
          <w:sz w:val="32"/>
          <w:szCs w:val="32"/>
          <w:shd w:val="clear" w:color="auto" w:fill="FFFFFF"/>
          <w:lang w:val="en-US" w:eastAsia="zh-CN" w:bidi="ar-SA"/>
        </w:rPr>
        <w:t>出21.64万元，占5.05%，较年初预算数增加0.58万元，增长2.8%</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0"/>
          <w:sz w:val="32"/>
          <w:szCs w:val="32"/>
          <w:shd w:val="clear" w:fill="FFFFFF"/>
        </w:rPr>
        <w:t>主要原因是</w:t>
      </w:r>
      <w:r>
        <w:rPr>
          <w:rFonts w:hint="eastAsia" w:ascii="方正仿宋_GBK" w:hAnsi="方正仿宋_GBK" w:eastAsia="方正仿宋_GBK" w:cs="方正仿宋_GBK"/>
          <w:b w:val="0"/>
          <w:color w:val="auto"/>
          <w:kern w:val="0"/>
          <w:sz w:val="32"/>
          <w:szCs w:val="32"/>
          <w:shd w:val="clear" w:fill="FFFFFF"/>
        </w:rPr>
        <w:t>新进人员经费增加。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楷体_GBK" w:cs="Times New Roman"/>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（四）一般公共预算财政拨款基本支出决算情况说明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Times New Roman"/>
          <w:kern w:val="0"/>
          <w:sz w:val="32"/>
          <w:szCs w:val="32"/>
          <w:shd w:val="clear" w:color="auto" w:fill="FFFFFF"/>
          <w:lang w:val="en-US" w:eastAsia="zh-CN" w:bidi="ar-SA"/>
        </w:rPr>
        <w:t>2024年</w:t>
      </w:r>
      <w:r>
        <w:rPr>
          <w:rFonts w:hint="default" w:ascii="Times New Roman" w:hAnsi="Times New Roman" w:eastAsia="方正仿宋_GBK" w:cs="Times New Roman"/>
          <w:kern w:val="0"/>
          <w:sz w:val="32"/>
          <w:szCs w:val="32"/>
          <w:shd w:val="clear" w:color="auto" w:fill="FFFFFF"/>
          <w:lang w:val="en-US" w:eastAsia="zh-CN" w:bidi="ar-SA"/>
        </w:rPr>
        <w:t>度一般公共财政拨款基本支出428.22万元。其中：人员经费371.45万元，与2023年度相比，增加31.51万元，增长9.3%，</w:t>
      </w:r>
      <w:r>
        <w:rPr>
          <w:rFonts w:hint="eastAsia" w:ascii="Times New Roman" w:hAnsi="Times New Roman" w:eastAsia="方正仿宋_GBK" w:cs="Times New Roman"/>
          <w:kern w:val="0"/>
          <w:sz w:val="32"/>
          <w:szCs w:val="32"/>
          <w:shd w:val="clear" w:color="auto" w:fill="FFFFFF"/>
          <w:lang w:val="en-US" w:eastAsia="zh-CN" w:bidi="ar-SA"/>
        </w:rPr>
        <w:t>主要原因是2024年</w:t>
      </w:r>
      <w:r>
        <w:rPr>
          <w:rFonts w:hint="eastAsia" w:ascii="方正仿宋_GBK" w:hAnsi="方正仿宋_GBK" w:eastAsia="方正仿宋_GBK" w:cs="方正仿宋_GBK"/>
          <w:b w:val="0"/>
          <w:color w:val="auto"/>
          <w:kern w:val="0"/>
          <w:sz w:val="32"/>
          <w:szCs w:val="32"/>
          <w:shd w:val="clear" w:fill="FFFFFF"/>
        </w:rPr>
        <w:t>本单位新进人员</w:t>
      </w:r>
      <w:r>
        <w:rPr>
          <w:rFonts w:hint="eastAsia" w:ascii="方正仿宋_GBK" w:hAnsi="方正仿宋_GBK" w:eastAsia="方正仿宋_GBK" w:cs="方正仿宋_GBK"/>
          <w:b w:val="0"/>
          <w:color w:val="auto"/>
          <w:kern w:val="0"/>
          <w:sz w:val="32"/>
          <w:szCs w:val="32"/>
          <w:shd w:val="clear" w:fill="FFFFFF"/>
          <w:lang w:eastAsia="zh-CN"/>
        </w:rPr>
        <w:t>、</w:t>
      </w:r>
      <w:r>
        <w:rPr>
          <w:rFonts w:hint="eastAsia" w:ascii="方正仿宋_GBK" w:hAnsi="方正仿宋_GBK" w:eastAsia="方正仿宋_GBK" w:cs="方正仿宋_GBK"/>
          <w:b w:val="0"/>
          <w:color w:val="auto"/>
          <w:kern w:val="0"/>
          <w:sz w:val="32"/>
          <w:szCs w:val="32"/>
          <w:shd w:val="clear" w:fill="FFFFFF"/>
          <w:lang w:val="en-US" w:eastAsia="zh-CN"/>
        </w:rPr>
        <w:t>人员社保基数增加及发放</w:t>
      </w:r>
      <w:r>
        <w:rPr>
          <w:rFonts w:hint="eastAsia" w:ascii="方正仿宋_GBK" w:hAnsi="方正仿宋_GBK" w:eastAsia="方正仿宋_GBK" w:cs="方正仿宋_GBK"/>
          <w:b w:val="0"/>
          <w:color w:val="auto"/>
          <w:kern w:val="0"/>
          <w:sz w:val="32"/>
          <w:szCs w:val="32"/>
          <w:shd w:val="clear" w:fill="FFFFFF"/>
        </w:rPr>
        <w:t>退休人员死亡抚恤丧葬经费。</w:t>
      </w:r>
      <w:r>
        <w:rPr>
          <w:rFonts w:hint="eastAsia" w:ascii="方正仿宋_GBK" w:hAnsi="方正仿宋_GBK" w:eastAsia="方正仿宋_GBK" w:cs="方正仿宋_GBK"/>
          <w:kern w:val="0"/>
          <w:sz w:val="32"/>
          <w:szCs w:val="32"/>
          <w:shd w:val="clear" w:fill="FFFFFF"/>
        </w:rPr>
        <w:t>人员经费用途主要包括基本工资、津贴补贴、</w:t>
      </w:r>
      <w:r>
        <w:rPr>
          <w:rFonts w:hint="eastAsia" w:ascii="方正仿宋_GBK" w:hAnsi="方正仿宋_GBK" w:eastAsia="方正仿宋_GBK" w:cs="方正仿宋_GBK"/>
          <w:b w:val="0"/>
          <w:kern w:val="0"/>
          <w:sz w:val="32"/>
          <w:szCs w:val="32"/>
          <w:shd w:val="clear" w:fill="FFFFFF"/>
        </w:rPr>
        <w:t>绩效工资、</w:t>
      </w:r>
      <w:r>
        <w:rPr>
          <w:rFonts w:hint="eastAsia" w:ascii="方正仿宋_GBK" w:hAnsi="方正仿宋_GBK" w:eastAsia="方正仿宋_GBK" w:cs="方正仿宋_GBK"/>
          <w:kern w:val="0"/>
          <w:sz w:val="32"/>
          <w:szCs w:val="32"/>
          <w:shd w:val="clear" w:fill="FFFFFF"/>
        </w:rPr>
        <w:t>社会保障缴费等。公用经</w:t>
      </w:r>
      <w:r>
        <w:rPr>
          <w:rFonts w:hint="eastAsia" w:ascii="Times New Roman" w:hAnsi="Times New Roman" w:eastAsia="方正仿宋_GBK" w:cs="Times New Roman"/>
          <w:kern w:val="0"/>
          <w:sz w:val="32"/>
          <w:szCs w:val="32"/>
          <w:shd w:val="clear" w:color="auto" w:fill="FFFFFF"/>
          <w:lang w:val="en-US" w:eastAsia="zh-CN" w:bidi="ar-SA"/>
        </w:rPr>
        <w:t>费</w:t>
      </w:r>
      <w:r>
        <w:rPr>
          <w:rFonts w:hint="default" w:ascii="Times New Roman" w:hAnsi="Times New Roman" w:eastAsia="方正仿宋_GBK" w:cs="Times New Roman"/>
          <w:kern w:val="0"/>
          <w:sz w:val="32"/>
          <w:szCs w:val="32"/>
          <w:shd w:val="clear" w:color="auto" w:fill="FFFFFF"/>
          <w:lang w:val="en-US" w:eastAsia="zh-CN" w:bidi="ar-SA"/>
        </w:rPr>
        <w:t>56.78</w:t>
      </w:r>
      <w:r>
        <w:rPr>
          <w:rFonts w:hint="eastAsia" w:ascii="Times New Roman" w:hAnsi="Times New Roman" w:eastAsia="方正仿宋_GBK" w:cs="Times New Roman"/>
          <w:kern w:val="0"/>
          <w:sz w:val="32"/>
          <w:szCs w:val="32"/>
          <w:shd w:val="clear" w:color="auto" w:fill="FFFFFF"/>
          <w:lang w:val="en-US" w:eastAsia="zh-CN" w:bidi="ar-SA"/>
        </w:rPr>
        <w:t>万元，较上年决算数增加</w:t>
      </w:r>
      <w:r>
        <w:rPr>
          <w:rFonts w:hint="default" w:ascii="Times New Roman" w:hAnsi="Times New Roman" w:eastAsia="方正仿宋_GBK" w:cs="Times New Roman"/>
          <w:kern w:val="0"/>
          <w:sz w:val="32"/>
          <w:szCs w:val="32"/>
          <w:shd w:val="clear" w:color="auto" w:fill="FFFFFF"/>
          <w:lang w:val="en-US" w:eastAsia="zh-CN" w:bidi="ar-SA"/>
        </w:rPr>
        <w:t>12.28</w:t>
      </w:r>
      <w:r>
        <w:rPr>
          <w:rFonts w:hint="eastAsia" w:ascii="Times New Roman" w:hAnsi="Times New Roman" w:eastAsia="方正仿宋_GBK" w:cs="Times New Roman"/>
          <w:kern w:val="0"/>
          <w:sz w:val="32"/>
          <w:szCs w:val="32"/>
          <w:shd w:val="clear" w:color="auto" w:fill="FFFFFF"/>
          <w:lang w:val="en-US" w:eastAsia="zh-CN" w:bidi="ar-SA"/>
        </w:rPr>
        <w:t>万元，增长</w:t>
      </w:r>
      <w:r>
        <w:rPr>
          <w:rFonts w:hint="default" w:ascii="Times New Roman" w:hAnsi="Times New Roman" w:eastAsia="方正仿宋_GBK" w:cs="Times New Roman"/>
          <w:kern w:val="0"/>
          <w:sz w:val="32"/>
          <w:szCs w:val="32"/>
          <w:shd w:val="clear" w:color="auto" w:fill="FFFFFF"/>
          <w:lang w:val="en-US" w:eastAsia="zh-CN" w:bidi="ar-SA"/>
        </w:rPr>
        <w:t>27.59%</w:t>
      </w:r>
      <w:r>
        <w:rPr>
          <w:rFonts w:hint="eastAsia" w:ascii="Times New Roman" w:hAnsi="Times New Roman" w:eastAsia="方正仿宋_GBK" w:cs="Times New Roman"/>
          <w:kern w:val="0"/>
          <w:sz w:val="32"/>
          <w:szCs w:val="32"/>
          <w:shd w:val="clear" w:color="auto" w:fill="FFFFFF"/>
          <w:lang w:val="en-US" w:eastAsia="zh-CN" w:bidi="ar-SA"/>
        </w:rPr>
        <w:t>，主要</w:t>
      </w:r>
      <w:r>
        <w:rPr>
          <w:rFonts w:hint="eastAsia" w:ascii="方正仿宋_GBK" w:hAnsi="方正仿宋_GBK" w:eastAsia="方正仿宋_GBK" w:cs="方正仿宋_GBK"/>
          <w:kern w:val="0"/>
          <w:sz w:val="32"/>
          <w:szCs w:val="32"/>
          <w:shd w:val="clear" w:fill="FFFFFF"/>
        </w:rPr>
        <w:t>原因是为保障本单位正常运转，完成日常工作任务</w:t>
      </w:r>
      <w:r>
        <w:rPr>
          <w:rFonts w:hint="eastAsia" w:ascii="方正仿宋_GBK" w:hAnsi="方正仿宋_GBK" w:eastAsia="方正仿宋_GBK" w:cs="方正仿宋_GBK"/>
          <w:kern w:val="0"/>
          <w:sz w:val="32"/>
          <w:szCs w:val="32"/>
          <w:shd w:val="clear" w:fill="FFFFFF"/>
          <w:lang w:val="en-US" w:eastAsia="zh-CN"/>
        </w:rPr>
        <w:t>统筹使用全委</w:t>
      </w:r>
      <w:r>
        <w:rPr>
          <w:rFonts w:hint="eastAsia" w:ascii="方正仿宋_GBK" w:hAnsi="方正仿宋_GBK" w:eastAsia="方正仿宋_GBK" w:cs="方正仿宋_GBK"/>
          <w:kern w:val="0"/>
          <w:sz w:val="32"/>
          <w:szCs w:val="32"/>
          <w:shd w:val="clear" w:fill="FFFFFF"/>
        </w:rPr>
        <w:t>公用经费。公用经费用途主要包括办公费、邮电费、福利费、办公用房水电费、办公用房物业管理费、 维修（护）费等。</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Fonts w:hint="default" w:ascii="Times New Roman" w:hAnsi="Times New Roman" w:eastAsia="方正楷体_GBK" w:cs="Times New Roman"/>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（五）政府性基金预算收支决算情况说明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default" w:ascii="Times New Roman" w:hAnsi="Times New Roman" w:eastAsia="宋体" w:cs="Times New Roman"/>
          <w:kern w:val="0"/>
          <w:sz w:val="24"/>
          <w:szCs w:val="24"/>
          <w:shd w:val="clear" w:fill="FFFFFF"/>
        </w:rPr>
      </w:pPr>
      <w:r>
        <w:rPr>
          <w:rFonts w:hint="eastAsia" w:ascii="方正仿宋_GBK" w:hAnsi="方正仿宋_GBK" w:eastAsia="方正仿宋_GBK" w:cs="方正仿宋_GBK"/>
          <w:kern w:val="0"/>
          <w:sz w:val="32"/>
          <w:szCs w:val="32"/>
          <w:shd w:val="clear" w:fill="FFFFFF"/>
        </w:rPr>
        <w:t>本单位</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eastAsia" w:ascii="方正仿宋_GBK" w:hAnsi="方正仿宋_GBK" w:eastAsia="方正仿宋_GBK" w:cs="方正仿宋_GBK"/>
          <w:kern w:val="0"/>
          <w:sz w:val="32"/>
          <w:szCs w:val="32"/>
          <w:shd w:val="clear" w:fill="FFFFFF"/>
        </w:rPr>
        <w:t>度无政府性基金预算财政拨款收支。</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Style w:val="11"/>
          <w:rFonts w:hint="default"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（六）国有资本经营预算财政拨款支出决算情况说明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eastAsia" w:ascii="方正仿宋_GBK" w:hAnsi="方正仿宋_GBK" w:eastAsia="方正仿宋_GBK" w:cs="方正仿宋_GBK"/>
          <w:kern w:val="0"/>
          <w:sz w:val="32"/>
          <w:szCs w:val="32"/>
          <w:shd w:val="clear" w:fill="FFFFFF"/>
        </w:rPr>
        <w:t>度无国有资本经营预算财政拨款支出。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default"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三、</w:t>
      </w:r>
      <w:r>
        <w:rPr>
          <w:rStyle w:val="11"/>
          <w:rFonts w:hint="default" w:ascii="黑体" w:hAnsi="黑体" w:eastAsia="黑体" w:cs="黑体"/>
          <w:kern w:val="0"/>
          <w:sz w:val="32"/>
          <w:szCs w:val="32"/>
          <w:shd w:val="clear" w:color="auto" w:fill="FFFFFF"/>
          <w:lang w:val="en-US" w:eastAsia="zh-CN" w:bidi="ar-SA"/>
        </w:rPr>
        <w:t>“</w:t>
      </w:r>
      <w:r>
        <w:rPr>
          <w:rStyle w:val="11"/>
          <w:rFonts w:hint="eastAsia" w:ascii="黑体" w:hAnsi="黑体" w:eastAsia="黑体" w:cs="黑体"/>
          <w:kern w:val="0"/>
          <w:sz w:val="32"/>
          <w:szCs w:val="32"/>
          <w:shd w:val="clear" w:color="auto" w:fill="FFFFFF"/>
          <w:lang w:val="en-US" w:eastAsia="zh-CN" w:bidi="ar-SA"/>
        </w:rPr>
        <w:t>三公</w:t>
      </w:r>
      <w:r>
        <w:rPr>
          <w:rStyle w:val="11"/>
          <w:rFonts w:hint="default" w:ascii="黑体" w:hAnsi="黑体" w:eastAsia="黑体" w:cs="黑体"/>
          <w:kern w:val="0"/>
          <w:sz w:val="32"/>
          <w:szCs w:val="32"/>
          <w:shd w:val="clear" w:color="auto" w:fill="FFFFFF"/>
          <w:lang w:val="en-US" w:eastAsia="zh-CN" w:bidi="ar-SA"/>
        </w:rPr>
        <w:t>”</w:t>
      </w:r>
      <w:r>
        <w:rPr>
          <w:rStyle w:val="11"/>
          <w:rFonts w:hint="eastAsia" w:ascii="黑体" w:hAnsi="黑体" w:eastAsia="黑体" w:cs="黑体"/>
          <w:kern w:val="0"/>
          <w:sz w:val="32"/>
          <w:szCs w:val="32"/>
          <w:shd w:val="clear" w:color="auto" w:fill="FFFFFF"/>
          <w:lang w:val="en-US" w:eastAsia="zh-CN" w:bidi="ar-SA"/>
        </w:rPr>
        <w:t>经费情况说明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Style w:val="11"/>
          <w:rFonts w:hint="default"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（一）</w:t>
      </w:r>
      <w:r>
        <w:rPr>
          <w:rStyle w:val="11"/>
          <w:rFonts w:hint="default" w:ascii="楷体" w:hAnsi="楷体" w:eastAsia="楷体" w:cs="楷体"/>
          <w:kern w:val="0"/>
          <w:sz w:val="32"/>
          <w:szCs w:val="32"/>
          <w:shd w:val="clear" w:color="auto" w:fill="FFFFFF"/>
          <w:lang w:val="en-US" w:eastAsia="zh-CN" w:bidi="ar-SA"/>
        </w:rPr>
        <w:t>“</w:t>
      </w:r>
      <w:r>
        <w:rPr>
          <w:rStyle w:val="11"/>
          <w:rFonts w:hint="eastAsia" w:ascii="楷体" w:hAnsi="楷体" w:eastAsia="楷体" w:cs="楷体"/>
          <w:kern w:val="0"/>
          <w:sz w:val="32"/>
          <w:szCs w:val="32"/>
          <w:shd w:val="clear" w:color="auto" w:fill="FFFFFF"/>
          <w:lang w:val="en-US" w:eastAsia="zh-CN" w:bidi="ar-SA"/>
        </w:rPr>
        <w:t>三公</w:t>
      </w:r>
      <w:r>
        <w:rPr>
          <w:rStyle w:val="11"/>
          <w:rFonts w:hint="default" w:ascii="楷体" w:hAnsi="楷体" w:eastAsia="楷体" w:cs="楷体"/>
          <w:kern w:val="0"/>
          <w:sz w:val="32"/>
          <w:szCs w:val="32"/>
          <w:shd w:val="clear" w:color="auto" w:fill="FFFFFF"/>
          <w:lang w:val="en-US" w:eastAsia="zh-CN" w:bidi="ar-SA"/>
        </w:rPr>
        <w:t>”</w:t>
      </w:r>
      <w:r>
        <w:rPr>
          <w:rStyle w:val="11"/>
          <w:rFonts w:hint="eastAsia" w:ascii="楷体" w:hAnsi="楷体" w:eastAsia="楷体" w:cs="楷体"/>
          <w:kern w:val="0"/>
          <w:sz w:val="32"/>
          <w:szCs w:val="32"/>
          <w:shd w:val="clear" w:color="auto" w:fill="FFFFFF"/>
          <w:lang w:val="en-US" w:eastAsia="zh-CN" w:bidi="ar-SA"/>
        </w:rPr>
        <w:t>经费支出总体情况说明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2024年</w:t>
      </w:r>
      <w:r>
        <w:rPr>
          <w:rFonts w:hint="default" w:ascii="Times New Roman" w:hAnsi="Times New Roman" w:eastAsia="方正仿宋_GBK" w:cs="Times New Roman"/>
          <w:kern w:val="0"/>
          <w:sz w:val="32"/>
          <w:szCs w:val="32"/>
          <w:shd w:val="clear" w:color="auto" w:fill="FFFFFF"/>
          <w:lang w:val="en-US" w:eastAsia="zh-CN" w:bidi="ar-SA"/>
        </w:rPr>
        <w:t>度“三公”经费支出共计0.77万元，较年初预算数减少0.98万元，下降56.0%，</w:t>
      </w:r>
      <w:r>
        <w:rPr>
          <w:rFonts w:hint="eastAsia" w:ascii="Times New Roman" w:hAnsi="Times New Roman" w:eastAsia="方正仿宋_GBK" w:cs="Times New Roman"/>
          <w:kern w:val="0"/>
          <w:sz w:val="32"/>
          <w:szCs w:val="32"/>
          <w:shd w:val="clear" w:color="auto" w:fill="FFFFFF"/>
          <w:lang w:val="en-US" w:eastAsia="zh-CN" w:bidi="ar-SA"/>
        </w:rPr>
        <w:t>主要原因是严格按照各项规定执行，厉行节约控制各项经费支出。较上年支出数减</w:t>
      </w:r>
      <w:r>
        <w:rPr>
          <w:rFonts w:hint="eastAsia" w:ascii="Times New Roman" w:hAnsi="Times New Roman" w:eastAsia="方正仿宋_GBK" w:cs="Times New Roman"/>
          <w:kern w:val="0"/>
          <w:sz w:val="32"/>
          <w:szCs w:val="32"/>
          <w:shd w:val="clear" w:color="auto" w:fill="FFFFFF"/>
          <w:lang w:val="en-US" w:eastAsia="zh-CN" w:bidi="ar-SA"/>
        </w:rPr>
        <w:t>少0.56万元，下降42.1%，主要原因是厉行节约，减少“三公”经费支出。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Style w:val="11"/>
          <w:rFonts w:hint="default"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（二）</w:t>
      </w:r>
      <w:r>
        <w:rPr>
          <w:rStyle w:val="11"/>
          <w:rFonts w:hint="default" w:ascii="楷体" w:hAnsi="楷体" w:eastAsia="楷体" w:cs="楷体"/>
          <w:kern w:val="0"/>
          <w:sz w:val="32"/>
          <w:szCs w:val="32"/>
          <w:shd w:val="clear" w:color="auto" w:fill="FFFFFF"/>
          <w:lang w:val="en-US" w:eastAsia="zh-CN" w:bidi="ar-SA"/>
        </w:rPr>
        <w:t>“</w:t>
      </w:r>
      <w:r>
        <w:rPr>
          <w:rStyle w:val="11"/>
          <w:rFonts w:hint="eastAsia" w:ascii="楷体" w:hAnsi="楷体" w:eastAsia="楷体" w:cs="楷体"/>
          <w:kern w:val="0"/>
          <w:sz w:val="32"/>
          <w:szCs w:val="32"/>
          <w:shd w:val="clear" w:color="auto" w:fill="FFFFFF"/>
          <w:lang w:val="en-US" w:eastAsia="zh-CN" w:bidi="ar-SA"/>
        </w:rPr>
        <w:t>三公</w:t>
      </w:r>
      <w:r>
        <w:rPr>
          <w:rStyle w:val="11"/>
          <w:rFonts w:hint="default" w:ascii="楷体" w:hAnsi="楷体" w:eastAsia="楷体" w:cs="楷体"/>
          <w:kern w:val="0"/>
          <w:sz w:val="32"/>
          <w:szCs w:val="32"/>
          <w:shd w:val="clear" w:color="auto" w:fill="FFFFFF"/>
          <w:lang w:val="en-US" w:eastAsia="zh-CN" w:bidi="ar-SA"/>
        </w:rPr>
        <w:t>”</w:t>
      </w:r>
      <w:r>
        <w:rPr>
          <w:rStyle w:val="11"/>
          <w:rFonts w:hint="eastAsia" w:ascii="楷体" w:hAnsi="楷体" w:eastAsia="楷体" w:cs="楷体"/>
          <w:kern w:val="0"/>
          <w:sz w:val="32"/>
          <w:szCs w:val="32"/>
          <w:shd w:val="clear" w:color="auto" w:fill="FFFFFF"/>
          <w:lang w:val="en-US" w:eastAsia="zh-CN" w:bidi="ar-SA"/>
        </w:rPr>
        <w:t>经费分项支出情况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年度本单位因公出国（境）费用</w:t>
      </w:r>
      <w:r>
        <w:rPr>
          <w:rFonts w:hint="default" w:ascii="Times New Roman" w:hAnsi="Times New Roman" w:eastAsia="方正仿宋_GBK" w:cs="Times New Roman"/>
          <w:kern w:val="0"/>
          <w:sz w:val="32"/>
          <w:szCs w:val="32"/>
          <w:shd w:val="clear" w:color="auto" w:fill="FFFFFF"/>
          <w:lang w:val="en-US" w:eastAsia="zh-CN" w:bidi="ar-SA"/>
        </w:rPr>
        <w:t>0.00</w:t>
      </w:r>
      <w:r>
        <w:rPr>
          <w:rFonts w:hint="eastAsia" w:ascii="Times New Roman" w:hAnsi="Times New Roman" w:eastAsia="方正仿宋_GBK" w:cs="Times New Roman"/>
          <w:kern w:val="0"/>
          <w:sz w:val="32"/>
          <w:szCs w:val="32"/>
          <w:shd w:val="clear" w:color="auto" w:fill="FFFFFF"/>
          <w:lang w:val="en-US" w:eastAsia="zh-CN" w:bidi="ar-SA"/>
        </w:rPr>
        <w:t>万元，主要是本单位</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年无因公出国（境）的安排，未发生支出。费用支出较年初预算数和上年支出数无增减。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公务车购置费</w:t>
      </w:r>
      <w:r>
        <w:rPr>
          <w:rFonts w:hint="default" w:ascii="Times New Roman" w:hAnsi="Times New Roman" w:eastAsia="方正仿宋_GBK" w:cs="Times New Roman"/>
          <w:kern w:val="0"/>
          <w:sz w:val="32"/>
          <w:szCs w:val="32"/>
          <w:shd w:val="clear" w:color="auto" w:fill="FFFFFF"/>
          <w:lang w:val="en-US" w:eastAsia="zh-CN" w:bidi="ar-SA"/>
        </w:rPr>
        <w:t>0.00</w:t>
      </w:r>
      <w:r>
        <w:rPr>
          <w:rFonts w:hint="eastAsia" w:ascii="Times New Roman" w:hAnsi="Times New Roman" w:eastAsia="方正仿宋_GBK" w:cs="Times New Roman"/>
          <w:kern w:val="0"/>
          <w:sz w:val="32"/>
          <w:szCs w:val="32"/>
          <w:shd w:val="clear" w:color="auto" w:fill="FFFFFF"/>
          <w:lang w:val="en-US" w:eastAsia="zh-CN" w:bidi="ar-SA"/>
        </w:rPr>
        <w:t>万元，主要是本单位</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年度未发生公务车购置费。费用</w:t>
      </w:r>
      <w:bookmarkStart w:id="0" w:name="_GoBack"/>
      <w:bookmarkEnd w:id="0"/>
      <w:r>
        <w:rPr>
          <w:rFonts w:hint="eastAsia" w:ascii="Times New Roman" w:hAnsi="Times New Roman" w:eastAsia="方正仿宋_GBK" w:cs="Times New Roman"/>
          <w:kern w:val="0"/>
          <w:sz w:val="32"/>
          <w:szCs w:val="32"/>
          <w:shd w:val="clear" w:color="auto" w:fill="FFFFFF"/>
          <w:lang w:val="en-US" w:eastAsia="zh-CN" w:bidi="ar-SA"/>
        </w:rPr>
        <w:t>支出较年初预算数和上年支出数无增减。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公务车运行维护费</w:t>
      </w:r>
      <w:r>
        <w:rPr>
          <w:rFonts w:hint="default" w:ascii="Times New Roman" w:hAnsi="Times New Roman" w:eastAsia="方正仿宋_GBK" w:cs="Times New Roman"/>
          <w:kern w:val="0"/>
          <w:sz w:val="32"/>
          <w:szCs w:val="32"/>
          <w:shd w:val="clear" w:color="auto" w:fill="FFFFFF"/>
          <w:lang w:val="en-US" w:eastAsia="zh-CN" w:bidi="ar-SA"/>
        </w:rPr>
        <w:t>0.00</w:t>
      </w:r>
      <w:r>
        <w:rPr>
          <w:rFonts w:hint="eastAsia" w:ascii="Times New Roman" w:hAnsi="Times New Roman" w:eastAsia="方正仿宋_GBK" w:cs="Times New Roman"/>
          <w:kern w:val="0"/>
          <w:sz w:val="32"/>
          <w:szCs w:val="32"/>
          <w:shd w:val="clear" w:color="auto" w:fill="FFFFFF"/>
          <w:lang w:val="en-US" w:eastAsia="zh-CN" w:bidi="ar-SA"/>
        </w:rPr>
        <w:t>万元，主要是本单位</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年度未发生公务车运行维护费。费用支出较年初预算数和上年支出数无增减。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公务接待费</w:t>
      </w:r>
      <w:r>
        <w:rPr>
          <w:rFonts w:hint="default" w:ascii="Times New Roman" w:hAnsi="Times New Roman" w:eastAsia="方正仿宋_GBK" w:cs="Times New Roman"/>
          <w:kern w:val="0"/>
          <w:sz w:val="32"/>
          <w:szCs w:val="32"/>
          <w:shd w:val="clear" w:color="auto" w:fill="FFFFFF"/>
          <w:lang w:val="en-US" w:eastAsia="zh-CN" w:bidi="ar-SA"/>
        </w:rPr>
        <w:t>0.77</w:t>
      </w:r>
      <w:r>
        <w:rPr>
          <w:rFonts w:hint="eastAsia" w:ascii="Times New Roman" w:hAnsi="Times New Roman" w:eastAsia="方正仿宋_GBK" w:cs="Times New Roman"/>
          <w:kern w:val="0"/>
          <w:sz w:val="32"/>
          <w:szCs w:val="32"/>
          <w:shd w:val="clear" w:color="auto" w:fill="FFFFFF"/>
          <w:lang w:val="en-US" w:eastAsia="zh-CN" w:bidi="ar-SA"/>
        </w:rPr>
        <w:t>万元，主要是用于接待考察调研单位等。</w:t>
      </w:r>
      <w:r>
        <w:rPr>
          <w:rFonts w:hint="default" w:ascii="Times New Roman" w:hAnsi="Times New Roman" w:eastAsia="方正仿宋_GBK" w:cs="Times New Roman"/>
          <w:kern w:val="0"/>
          <w:sz w:val="32"/>
          <w:szCs w:val="32"/>
          <w:shd w:val="clear" w:color="auto" w:fill="FFFFFF"/>
          <w:lang w:val="en-US" w:eastAsia="zh-CN" w:bidi="ar-SA"/>
        </w:rPr>
        <w:t>费用支出较年初预算数减少</w:t>
      </w:r>
      <w:r>
        <w:rPr>
          <w:rFonts w:hint="eastAsia" w:ascii="Times New Roman" w:hAnsi="Times New Roman" w:eastAsia="方正仿宋_GBK" w:cs="Times New Roman"/>
          <w:kern w:val="0"/>
          <w:sz w:val="32"/>
          <w:szCs w:val="32"/>
          <w:shd w:val="clear" w:color="auto" w:fill="FFFFFF"/>
          <w:lang w:val="en-US" w:eastAsia="zh-CN" w:bidi="ar-SA"/>
        </w:rPr>
        <w:t>0.98万元，下降56.0%，主要原因是严格执行公务接待支出管理规定，厉行节约。</w:t>
      </w:r>
      <w:r>
        <w:rPr>
          <w:rFonts w:hint="default" w:ascii="Times New Roman" w:hAnsi="Times New Roman" w:eastAsia="方正仿宋_GBK" w:cs="Times New Roman"/>
          <w:kern w:val="0"/>
          <w:sz w:val="32"/>
          <w:szCs w:val="32"/>
          <w:shd w:val="clear" w:color="auto" w:fill="FFFFFF"/>
          <w:lang w:val="en-US" w:eastAsia="zh-CN" w:bidi="ar-SA"/>
        </w:rPr>
        <w:t>较上年支出数减</w:t>
      </w:r>
      <w:r>
        <w:rPr>
          <w:rFonts w:hint="eastAsia" w:ascii="Times New Roman" w:hAnsi="Times New Roman" w:eastAsia="方正仿宋_GBK" w:cs="Times New Roman"/>
          <w:kern w:val="0"/>
          <w:sz w:val="32"/>
          <w:szCs w:val="32"/>
          <w:shd w:val="clear" w:color="auto" w:fill="FFFFFF"/>
          <w:lang w:val="en-US" w:eastAsia="zh-CN" w:bidi="ar-SA"/>
        </w:rPr>
        <w:t>少0.56万元，下降42.1%，主要原因是严格遵守公务接待开支范围和开支标准，控制陪餐人数，降低费用支出。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Style w:val="11"/>
          <w:rFonts w:hint="default"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（三）</w:t>
      </w:r>
      <w:r>
        <w:rPr>
          <w:rStyle w:val="11"/>
          <w:rFonts w:hint="default" w:ascii="楷体" w:hAnsi="楷体" w:eastAsia="楷体" w:cs="楷体"/>
          <w:kern w:val="0"/>
          <w:sz w:val="32"/>
          <w:szCs w:val="32"/>
          <w:shd w:val="clear" w:color="auto" w:fill="FFFFFF"/>
          <w:lang w:val="en-US" w:eastAsia="zh-CN" w:bidi="ar-SA"/>
        </w:rPr>
        <w:t>“</w:t>
      </w:r>
      <w:r>
        <w:rPr>
          <w:rStyle w:val="11"/>
          <w:rFonts w:hint="eastAsia" w:ascii="楷体" w:hAnsi="楷体" w:eastAsia="楷体" w:cs="楷体"/>
          <w:kern w:val="0"/>
          <w:sz w:val="32"/>
          <w:szCs w:val="32"/>
          <w:shd w:val="clear" w:color="auto" w:fill="FFFFFF"/>
          <w:lang w:val="en-US" w:eastAsia="zh-CN" w:bidi="ar-SA"/>
        </w:rPr>
        <w:t>三公</w:t>
      </w:r>
      <w:r>
        <w:rPr>
          <w:rStyle w:val="11"/>
          <w:rFonts w:hint="default" w:ascii="楷体" w:hAnsi="楷体" w:eastAsia="楷体" w:cs="楷体"/>
          <w:kern w:val="0"/>
          <w:sz w:val="32"/>
          <w:szCs w:val="32"/>
          <w:shd w:val="clear" w:color="auto" w:fill="FFFFFF"/>
          <w:lang w:val="en-US" w:eastAsia="zh-CN" w:bidi="ar-SA"/>
        </w:rPr>
        <w:t>”</w:t>
      </w:r>
      <w:r>
        <w:rPr>
          <w:rStyle w:val="11"/>
          <w:rFonts w:hint="eastAsia" w:ascii="楷体" w:hAnsi="楷体" w:eastAsia="楷体" w:cs="楷体"/>
          <w:kern w:val="0"/>
          <w:sz w:val="32"/>
          <w:szCs w:val="32"/>
          <w:shd w:val="clear" w:color="auto" w:fill="FFFFFF"/>
          <w:lang w:val="en-US" w:eastAsia="zh-CN" w:bidi="ar-SA"/>
        </w:rPr>
        <w:t>经费实物量情况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年度本单位因公出国（境）共计</w:t>
      </w:r>
      <w:r>
        <w:rPr>
          <w:rFonts w:hint="default" w:ascii="Times New Roman" w:hAnsi="Times New Roman" w:eastAsia="方正仿宋_GBK" w:cs="Times New Roman"/>
          <w:kern w:val="0"/>
          <w:sz w:val="32"/>
          <w:szCs w:val="32"/>
          <w:shd w:val="clear" w:color="auto" w:fill="FFFFFF"/>
          <w:lang w:val="en-US" w:eastAsia="zh-CN" w:bidi="ar-SA"/>
        </w:rPr>
        <w:t>0</w:t>
      </w:r>
      <w:r>
        <w:rPr>
          <w:rFonts w:hint="eastAsia" w:ascii="Times New Roman" w:hAnsi="Times New Roman" w:eastAsia="方正仿宋_GBK" w:cs="Times New Roman"/>
          <w:kern w:val="0"/>
          <w:sz w:val="32"/>
          <w:szCs w:val="32"/>
          <w:shd w:val="clear" w:color="auto" w:fill="FFFFFF"/>
          <w:lang w:val="en-US" w:eastAsia="zh-CN" w:bidi="ar-SA"/>
        </w:rPr>
        <w:t>个团组，</w:t>
      </w:r>
      <w:r>
        <w:rPr>
          <w:rFonts w:hint="default" w:ascii="Times New Roman" w:hAnsi="Times New Roman" w:eastAsia="方正仿宋_GBK" w:cs="Times New Roman"/>
          <w:kern w:val="0"/>
          <w:sz w:val="32"/>
          <w:szCs w:val="32"/>
          <w:shd w:val="clear" w:color="auto" w:fill="FFFFFF"/>
          <w:lang w:val="en-US" w:eastAsia="zh-CN" w:bidi="ar-SA"/>
        </w:rPr>
        <w:t>0</w:t>
      </w:r>
      <w:r>
        <w:rPr>
          <w:rFonts w:hint="eastAsia" w:ascii="Times New Roman" w:hAnsi="Times New Roman" w:eastAsia="方正仿宋_GBK" w:cs="Times New Roman"/>
          <w:kern w:val="0"/>
          <w:sz w:val="32"/>
          <w:szCs w:val="32"/>
          <w:shd w:val="clear" w:color="auto" w:fill="FFFFFF"/>
          <w:lang w:val="en-US" w:eastAsia="zh-CN" w:bidi="ar-SA"/>
        </w:rPr>
        <w:t>人；公务用车购置</w:t>
      </w:r>
      <w:r>
        <w:rPr>
          <w:rFonts w:hint="default" w:ascii="Times New Roman" w:hAnsi="Times New Roman" w:eastAsia="方正仿宋_GBK" w:cs="Times New Roman"/>
          <w:kern w:val="0"/>
          <w:sz w:val="32"/>
          <w:szCs w:val="32"/>
          <w:shd w:val="clear" w:color="auto" w:fill="FFFFFF"/>
          <w:lang w:val="en-US" w:eastAsia="zh-CN" w:bidi="ar-SA"/>
        </w:rPr>
        <w:t>0</w:t>
      </w:r>
      <w:r>
        <w:rPr>
          <w:rFonts w:hint="eastAsia" w:ascii="Times New Roman" w:hAnsi="Times New Roman" w:eastAsia="方正仿宋_GBK" w:cs="Times New Roman"/>
          <w:kern w:val="0"/>
          <w:sz w:val="32"/>
          <w:szCs w:val="32"/>
          <w:shd w:val="clear" w:color="auto" w:fill="FFFFFF"/>
          <w:lang w:val="en-US" w:eastAsia="zh-CN" w:bidi="ar-SA"/>
        </w:rPr>
        <w:t>辆，公务车保有量为</w:t>
      </w:r>
      <w:r>
        <w:rPr>
          <w:rFonts w:hint="default" w:ascii="Times New Roman" w:hAnsi="Times New Roman" w:eastAsia="方正仿宋_GBK" w:cs="Times New Roman"/>
          <w:kern w:val="0"/>
          <w:sz w:val="32"/>
          <w:szCs w:val="32"/>
          <w:shd w:val="clear" w:color="auto" w:fill="FFFFFF"/>
          <w:lang w:val="en-US" w:eastAsia="zh-CN" w:bidi="ar-SA"/>
        </w:rPr>
        <w:t>0</w:t>
      </w:r>
      <w:r>
        <w:rPr>
          <w:rFonts w:hint="eastAsia" w:ascii="Times New Roman" w:hAnsi="Times New Roman" w:eastAsia="方正仿宋_GBK" w:cs="Times New Roman"/>
          <w:kern w:val="0"/>
          <w:sz w:val="32"/>
          <w:szCs w:val="32"/>
          <w:shd w:val="clear" w:color="auto" w:fill="FFFFFF"/>
          <w:lang w:val="en-US" w:eastAsia="zh-CN" w:bidi="ar-SA"/>
        </w:rPr>
        <w:t>辆；国内公务接待</w:t>
      </w:r>
      <w:r>
        <w:rPr>
          <w:rFonts w:hint="default" w:ascii="Times New Roman" w:hAnsi="Times New Roman" w:eastAsia="方正仿宋_GBK" w:cs="Times New Roman"/>
          <w:kern w:val="0"/>
          <w:sz w:val="32"/>
          <w:szCs w:val="32"/>
          <w:shd w:val="clear" w:color="auto" w:fill="FFFFFF"/>
          <w:lang w:val="en-US" w:eastAsia="zh-CN" w:bidi="ar-SA"/>
        </w:rPr>
        <w:t>6</w:t>
      </w:r>
      <w:r>
        <w:rPr>
          <w:rFonts w:hint="eastAsia" w:ascii="Times New Roman" w:hAnsi="Times New Roman" w:eastAsia="方正仿宋_GBK" w:cs="Times New Roman"/>
          <w:kern w:val="0"/>
          <w:sz w:val="32"/>
          <w:szCs w:val="32"/>
          <w:shd w:val="clear" w:color="auto" w:fill="FFFFFF"/>
          <w:lang w:val="en-US" w:eastAsia="zh-CN" w:bidi="ar-SA"/>
        </w:rPr>
        <w:t>批次</w:t>
      </w:r>
      <w:r>
        <w:rPr>
          <w:rFonts w:hint="default" w:ascii="Times New Roman" w:hAnsi="Times New Roman" w:eastAsia="方正仿宋_GBK" w:cs="Times New Roman"/>
          <w:kern w:val="0"/>
          <w:sz w:val="32"/>
          <w:szCs w:val="32"/>
          <w:shd w:val="clear" w:color="auto" w:fill="FFFFFF"/>
          <w:lang w:val="en-US" w:eastAsia="zh-CN" w:bidi="ar-SA"/>
        </w:rPr>
        <w:t>84</w:t>
      </w:r>
      <w:r>
        <w:rPr>
          <w:rFonts w:hint="eastAsia" w:ascii="Times New Roman" w:hAnsi="Times New Roman" w:eastAsia="方正仿宋_GBK" w:cs="Times New Roman"/>
          <w:kern w:val="0"/>
          <w:sz w:val="32"/>
          <w:szCs w:val="32"/>
          <w:shd w:val="clear" w:color="auto" w:fill="FFFFFF"/>
          <w:lang w:val="en-US" w:eastAsia="zh-CN" w:bidi="ar-SA"/>
        </w:rPr>
        <w:t>人，其中：国内外事接待</w:t>
      </w:r>
      <w:r>
        <w:rPr>
          <w:rFonts w:hint="default" w:ascii="Times New Roman" w:hAnsi="Times New Roman" w:eastAsia="方正仿宋_GBK" w:cs="Times New Roman"/>
          <w:kern w:val="0"/>
          <w:sz w:val="32"/>
          <w:szCs w:val="32"/>
          <w:shd w:val="clear" w:color="auto" w:fill="FFFFFF"/>
          <w:lang w:val="en-US" w:eastAsia="zh-CN" w:bidi="ar-SA"/>
        </w:rPr>
        <w:t>0</w:t>
      </w:r>
      <w:r>
        <w:rPr>
          <w:rFonts w:hint="eastAsia" w:ascii="Times New Roman" w:hAnsi="Times New Roman" w:eastAsia="方正仿宋_GBK" w:cs="Times New Roman"/>
          <w:kern w:val="0"/>
          <w:sz w:val="32"/>
          <w:szCs w:val="32"/>
          <w:shd w:val="clear" w:color="auto" w:fill="FFFFFF"/>
          <w:lang w:val="en-US" w:eastAsia="zh-CN" w:bidi="ar-SA"/>
        </w:rPr>
        <w:t>批次，</w:t>
      </w:r>
      <w:r>
        <w:rPr>
          <w:rFonts w:hint="default" w:ascii="Times New Roman" w:hAnsi="Times New Roman" w:eastAsia="方正仿宋_GBK" w:cs="Times New Roman"/>
          <w:kern w:val="0"/>
          <w:sz w:val="32"/>
          <w:szCs w:val="32"/>
          <w:shd w:val="clear" w:color="auto" w:fill="FFFFFF"/>
          <w:lang w:val="en-US" w:eastAsia="zh-CN" w:bidi="ar-SA"/>
        </w:rPr>
        <w:t>0</w:t>
      </w:r>
      <w:r>
        <w:rPr>
          <w:rFonts w:hint="eastAsia" w:ascii="Times New Roman" w:hAnsi="Times New Roman" w:eastAsia="方正仿宋_GBK" w:cs="Times New Roman"/>
          <w:kern w:val="0"/>
          <w:sz w:val="32"/>
          <w:szCs w:val="32"/>
          <w:shd w:val="clear" w:color="auto" w:fill="FFFFFF"/>
          <w:lang w:val="en-US" w:eastAsia="zh-CN" w:bidi="ar-SA"/>
        </w:rPr>
        <w:t>人；国（境）外公务接待</w:t>
      </w:r>
      <w:r>
        <w:rPr>
          <w:rFonts w:hint="default" w:ascii="Times New Roman" w:hAnsi="Times New Roman" w:eastAsia="方正仿宋_GBK" w:cs="Times New Roman"/>
          <w:kern w:val="0"/>
          <w:sz w:val="32"/>
          <w:szCs w:val="32"/>
          <w:shd w:val="clear" w:color="auto" w:fill="FFFFFF"/>
          <w:lang w:val="en-US" w:eastAsia="zh-CN" w:bidi="ar-SA"/>
        </w:rPr>
        <w:t>0</w:t>
      </w:r>
      <w:r>
        <w:rPr>
          <w:rFonts w:hint="eastAsia" w:ascii="Times New Roman" w:hAnsi="Times New Roman" w:eastAsia="方正仿宋_GBK" w:cs="Times New Roman"/>
          <w:kern w:val="0"/>
          <w:sz w:val="32"/>
          <w:szCs w:val="32"/>
          <w:shd w:val="clear" w:color="auto" w:fill="FFFFFF"/>
          <w:lang w:val="en-US" w:eastAsia="zh-CN" w:bidi="ar-SA"/>
        </w:rPr>
        <w:t>批次，</w:t>
      </w:r>
      <w:r>
        <w:rPr>
          <w:rFonts w:hint="default" w:ascii="Times New Roman" w:hAnsi="Times New Roman" w:eastAsia="方正仿宋_GBK" w:cs="Times New Roman"/>
          <w:kern w:val="0"/>
          <w:sz w:val="32"/>
          <w:szCs w:val="32"/>
          <w:shd w:val="clear" w:color="auto" w:fill="FFFFFF"/>
          <w:lang w:val="en-US" w:eastAsia="zh-CN" w:bidi="ar-SA"/>
        </w:rPr>
        <w:t>0</w:t>
      </w:r>
      <w:r>
        <w:rPr>
          <w:rFonts w:hint="eastAsia" w:ascii="Times New Roman" w:hAnsi="Times New Roman" w:eastAsia="方正仿宋_GBK" w:cs="Times New Roman"/>
          <w:kern w:val="0"/>
          <w:sz w:val="32"/>
          <w:szCs w:val="32"/>
          <w:shd w:val="clear" w:color="auto" w:fill="FFFFFF"/>
          <w:lang w:val="en-US" w:eastAsia="zh-CN" w:bidi="ar-SA"/>
        </w:rPr>
        <w:t>人。</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年本单位人均接待费</w:t>
      </w:r>
      <w:r>
        <w:rPr>
          <w:rFonts w:hint="default" w:ascii="Times New Roman" w:hAnsi="Times New Roman" w:eastAsia="方正仿宋_GBK" w:cs="Times New Roman"/>
          <w:kern w:val="0"/>
          <w:sz w:val="32"/>
          <w:szCs w:val="32"/>
          <w:shd w:val="clear" w:color="auto" w:fill="FFFFFF"/>
          <w:lang w:val="en-US" w:eastAsia="zh-CN" w:bidi="ar-SA"/>
        </w:rPr>
        <w:t>91.6</w:t>
      </w:r>
      <w:r>
        <w:rPr>
          <w:rFonts w:hint="eastAsia" w:ascii="Times New Roman" w:hAnsi="Times New Roman" w:eastAsia="方正仿宋_GBK" w:cs="Times New Roman"/>
          <w:kern w:val="0"/>
          <w:sz w:val="32"/>
          <w:szCs w:val="32"/>
          <w:shd w:val="clear" w:color="auto" w:fill="FFFFFF"/>
          <w:lang w:val="en-US" w:eastAsia="zh-CN" w:bidi="ar-SA"/>
        </w:rPr>
        <w:t>2元，车均购置费</w:t>
      </w:r>
      <w:r>
        <w:rPr>
          <w:rFonts w:hint="default" w:ascii="Times New Roman" w:hAnsi="Times New Roman" w:eastAsia="方正仿宋_GBK" w:cs="Times New Roman"/>
          <w:kern w:val="0"/>
          <w:sz w:val="32"/>
          <w:szCs w:val="32"/>
          <w:shd w:val="clear" w:color="auto" w:fill="FFFFFF"/>
          <w:lang w:val="en-US" w:eastAsia="zh-CN" w:bidi="ar-SA"/>
        </w:rPr>
        <w:t>0.00</w:t>
      </w:r>
      <w:r>
        <w:rPr>
          <w:rFonts w:hint="eastAsia" w:ascii="Times New Roman" w:hAnsi="Times New Roman" w:eastAsia="方正仿宋_GBK" w:cs="Times New Roman"/>
          <w:kern w:val="0"/>
          <w:sz w:val="32"/>
          <w:szCs w:val="32"/>
          <w:shd w:val="clear" w:color="auto" w:fill="FFFFFF"/>
          <w:lang w:val="en-US" w:eastAsia="zh-CN" w:bidi="ar-SA"/>
        </w:rPr>
        <w:t>万元，车均维护费</w:t>
      </w:r>
      <w:r>
        <w:rPr>
          <w:rFonts w:hint="default" w:ascii="Times New Roman" w:hAnsi="Times New Roman" w:eastAsia="方正仿宋_GBK" w:cs="Times New Roman"/>
          <w:kern w:val="0"/>
          <w:sz w:val="32"/>
          <w:szCs w:val="32"/>
          <w:shd w:val="clear" w:color="auto" w:fill="FFFFFF"/>
          <w:lang w:val="en-US" w:eastAsia="zh-CN" w:bidi="ar-SA"/>
        </w:rPr>
        <w:t>0.00</w:t>
      </w:r>
      <w:r>
        <w:rPr>
          <w:rFonts w:hint="eastAsia" w:ascii="方正仿宋_GBK" w:hAnsi="方正仿宋_GBK" w:eastAsia="方正仿宋_GBK" w:cs="方正仿宋_GBK"/>
          <w:kern w:val="0"/>
          <w:sz w:val="32"/>
          <w:szCs w:val="32"/>
          <w:shd w:val="clear" w:fill="FFFFFF"/>
        </w:rPr>
        <w:t>万元。</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default" w:ascii="黑体" w:hAnsi="黑体" w:eastAsia="黑体" w:cs="黑体"/>
          <w:kern w:val="0"/>
          <w:sz w:val="32"/>
          <w:szCs w:val="32"/>
          <w:shd w:val="clear" w:color="auto" w:fill="FFFFFF"/>
          <w:lang w:val="en-US" w:eastAsia="zh-CN" w:bidi="ar-SA"/>
        </w:rPr>
      </w:pPr>
      <w:r>
        <w:rPr>
          <w:rStyle w:val="16"/>
          <w:rFonts w:hint="default" w:ascii="Times New Roman" w:hAnsi="Times New Roman" w:eastAsia="方正楷体_GBK" w:cs="Times New Roman"/>
          <w:b/>
          <w:kern w:val="0"/>
          <w:sz w:val="32"/>
          <w:szCs w:val="32"/>
          <w:shd w:val="clear" w:fill="FFFFFF"/>
        </w:rPr>
        <w:t xml:space="preserve"> </w:t>
      </w:r>
      <w:r>
        <w:rPr>
          <w:rStyle w:val="11"/>
          <w:rFonts w:hint="eastAsia" w:ascii="黑体" w:hAnsi="黑体" w:eastAsia="黑体" w:cs="黑体"/>
          <w:kern w:val="0"/>
          <w:sz w:val="32"/>
          <w:szCs w:val="32"/>
          <w:shd w:val="clear" w:color="auto" w:fill="FFFFFF"/>
          <w:lang w:val="en-US" w:eastAsia="zh-CN" w:bidi="ar-SA"/>
        </w:rPr>
        <w:t>四、其他需要说明的事项</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Style w:val="11"/>
          <w:rFonts w:hint="default"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（一）一般公共预算财政拨款会议费和培训费情况说明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ascii="方正仿宋_GBK" w:hAnsi="方正仿宋_GBK" w:eastAsia="方正仿宋_GBK" w:cs="方正仿宋_GBK"/>
          <w:sz w:val="32"/>
          <w:szCs w:val="32"/>
          <w:shd w:val="clear" w:color="auto" w:fill="FFFFFF"/>
        </w:rPr>
        <w:t>本年度会议费支</w:t>
      </w:r>
      <w:r>
        <w:rPr>
          <w:rFonts w:hint="default" w:ascii="Times New Roman" w:hAnsi="Times New Roman" w:eastAsia="方正仿宋_GBK" w:cs="Times New Roman"/>
          <w:kern w:val="0"/>
          <w:sz w:val="32"/>
          <w:szCs w:val="32"/>
          <w:shd w:val="clear" w:color="auto" w:fill="FFFFFF"/>
          <w:lang w:val="en-US" w:eastAsia="zh-CN" w:bidi="ar-SA"/>
        </w:rPr>
        <w:t>出0.10万元，与2023年度相比，减少0.15万元，下降60.0%，</w:t>
      </w:r>
      <w:r>
        <w:rPr>
          <w:rFonts w:hint="eastAsia" w:ascii="Times New Roman" w:hAnsi="Times New Roman" w:eastAsia="方正仿宋_GBK" w:cs="Times New Roman"/>
          <w:kern w:val="0"/>
          <w:sz w:val="32"/>
          <w:szCs w:val="32"/>
          <w:shd w:val="clear" w:color="auto" w:fill="FFFFFF"/>
          <w:lang w:val="en-US" w:eastAsia="zh-CN" w:bidi="ar-SA"/>
        </w:rPr>
        <w:t>主要原</w:t>
      </w:r>
      <w:r>
        <w:rPr>
          <w:rFonts w:hint="eastAsia" w:ascii="方正仿宋_GBK" w:hAnsi="方正仿宋_GBK" w:eastAsia="方正仿宋_GBK" w:cs="方正仿宋_GBK"/>
          <w:kern w:val="0"/>
          <w:sz w:val="32"/>
          <w:szCs w:val="32"/>
          <w:shd w:val="clear" w:fill="FFFFFF"/>
        </w:rPr>
        <w:t>因是本单位厉行节约，严格控制会议费支出。本</w:t>
      </w:r>
      <w:r>
        <w:rPr>
          <w:rFonts w:ascii="方正仿宋_GBK" w:hAnsi="方正仿宋_GBK" w:eastAsia="方正仿宋_GBK" w:cs="方正仿宋_GBK"/>
          <w:sz w:val="32"/>
          <w:szCs w:val="32"/>
          <w:shd w:val="clear" w:color="auto" w:fill="FFFFFF"/>
        </w:rPr>
        <w:t>年度培训费支</w:t>
      </w:r>
      <w:r>
        <w:rPr>
          <w:rFonts w:hint="default" w:ascii="Times New Roman" w:hAnsi="Times New Roman" w:eastAsia="方正仿宋_GBK" w:cs="Times New Roman"/>
          <w:kern w:val="0"/>
          <w:sz w:val="32"/>
          <w:szCs w:val="32"/>
          <w:shd w:val="clear" w:color="auto" w:fill="FFFFFF"/>
          <w:lang w:val="en-US" w:eastAsia="zh-CN" w:bidi="ar-SA"/>
        </w:rPr>
        <w:t>出0.55万元，与2023年度相比，增加0.48万元，增长685.7%，</w:t>
      </w:r>
      <w:r>
        <w:rPr>
          <w:rFonts w:hint="eastAsia" w:ascii="Times New Roman" w:hAnsi="Times New Roman" w:eastAsia="方正仿宋_GBK" w:cs="Times New Roman"/>
          <w:kern w:val="0"/>
          <w:sz w:val="32"/>
          <w:szCs w:val="32"/>
          <w:shd w:val="clear" w:color="auto" w:fill="FFFFFF"/>
          <w:lang w:val="en-US" w:eastAsia="zh-CN" w:bidi="ar-SA"/>
        </w:rPr>
        <w:t>主要</w:t>
      </w:r>
      <w:r>
        <w:rPr>
          <w:rFonts w:hint="eastAsia" w:ascii="方正仿宋_GBK" w:hAnsi="方正仿宋_GBK" w:eastAsia="方正仿宋_GBK" w:cs="方正仿宋_GBK"/>
          <w:kern w:val="0"/>
          <w:sz w:val="32"/>
          <w:szCs w:val="32"/>
          <w:shd w:val="clear" w:fill="FFFFFF"/>
        </w:rPr>
        <w:t>原因是工作需要开展业务培训造成本年增长。</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楷体_GBK" w:cs="Times New Roman"/>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（二）机关运行经费情况说明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FF0000"/>
          <w:kern w:val="0"/>
          <w:sz w:val="32"/>
          <w:szCs w:val="32"/>
          <w:shd w:val="clear" w:fill="FFFFFF"/>
        </w:rPr>
      </w:pPr>
      <w:r>
        <w:rPr>
          <w:rFonts w:hint="eastAsia" w:ascii="方正仿宋_GBK" w:hAnsi="方正仿宋_GBK" w:eastAsia="方正仿宋_GBK" w:cs="方正仿宋_GBK"/>
          <w:kern w:val="0"/>
          <w:sz w:val="32"/>
          <w:szCs w:val="32"/>
          <w:shd w:val="clear" w:fill="FFFFFF"/>
        </w:rPr>
        <w:t>按照单位决算列报口径，我单位不在机关运行经费统计范围之内。</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楷体_GBK" w:cs="Times New Roman"/>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（三）国有资产占用情况说明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本单位是重庆市九龙坡区农业农村委员会下属事业单位，国有资产占有使用情况在重庆市九龙坡区农业农村委员会（本级）统一反映。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default"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（四）政府采购支出情况说明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eastAsia" w:ascii="Times New Roman" w:hAnsi="Times New Roman" w:eastAsia="方正仿宋_GBK" w:cs="Times New Roman"/>
          <w:kern w:val="0"/>
          <w:sz w:val="32"/>
          <w:szCs w:val="32"/>
          <w:shd w:val="clear" w:color="auto" w:fill="FFFFFF"/>
          <w:lang w:val="en-US" w:eastAsia="zh-CN" w:bidi="ar-SA"/>
        </w:rPr>
        <w:t>2024年</w:t>
      </w:r>
      <w:r>
        <w:rPr>
          <w:rFonts w:hint="eastAsia" w:ascii="方正仿宋_GBK" w:hAnsi="方正仿宋_GBK" w:eastAsia="方正仿宋_GBK" w:cs="方正仿宋_GBK"/>
          <w:kern w:val="0"/>
          <w:sz w:val="32"/>
          <w:szCs w:val="32"/>
          <w:shd w:val="clear" w:fill="FFFFFF"/>
          <w:lang w:val="en-US" w:eastAsia="zh-CN"/>
        </w:rPr>
        <w:t>度我单位未发生政府采购事项，无相关经费支出。</w:t>
      </w:r>
      <w:r>
        <w:rPr>
          <w:rFonts w:hint="eastAsia" w:ascii="方正仿宋_GBK" w:hAnsi="方正仿宋_GBK" w:eastAsia="方正仿宋_GBK" w:cs="方正仿宋_GBK"/>
          <w:kern w:val="0"/>
          <w:sz w:val="32"/>
          <w:szCs w:val="32"/>
          <w:shd w:val="clear" w:fill="FFFFFF"/>
        </w:rPr>
        <w:t>本单位是重庆市九龙坡区农业农村委员会下属事业单位，政府采购预算由重庆市九龙坡区农业农村委员会（本级）统一编制。</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eastAsia"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五、预算绩效管理情况说明</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本单位是重庆市九龙坡区农业农村委员会下属事业单位，项目支出预算由重庆市九龙坡区农业农村委员会统一编制，故本单位无绩效目标设置情况。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eastAsia"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六、专业名词解释</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color w:val="FF0000"/>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宋体" w:cs="Times New Roman"/>
          <w:kern w:val="0"/>
          <w:sz w:val="24"/>
          <w:szCs w:val="24"/>
          <w:shd w:val="clear" w:fill="FFFFFF"/>
        </w:rPr>
      </w:pPr>
      <w:r>
        <w:rPr>
          <w:rStyle w:val="11"/>
          <w:rFonts w:hint="eastAsia" w:ascii="楷体" w:hAnsi="楷体" w:eastAsia="楷体" w:cs="楷体"/>
          <w:kern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财政拨款收入</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事业收入</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经营收入</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财政拨款收入</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事业收入</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经营收入</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其他收入</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等不足以安排当年支出的情况下，使用以前年度积累的非财政拨款结余弥补本年度收支缺口的资金。</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工资福利支出</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和</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对个人和家庭的补助</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；公用经费指政府收支分类经济科目中除</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工资福利支出</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和</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对个人和家庭的补助</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外的其他支出。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（十二）</w:t>
      </w:r>
      <w:r>
        <w:rPr>
          <w:rStyle w:val="11"/>
          <w:rFonts w:hint="default" w:ascii="楷体" w:hAnsi="楷体" w:eastAsia="楷体" w:cs="楷体"/>
          <w:kern w:val="0"/>
          <w:sz w:val="32"/>
          <w:szCs w:val="32"/>
          <w:shd w:val="clear" w:color="auto" w:fill="FFFFFF"/>
          <w:lang w:val="en-US" w:eastAsia="zh-CN" w:bidi="ar-SA"/>
        </w:rPr>
        <w:t>“</w:t>
      </w:r>
      <w:r>
        <w:rPr>
          <w:rStyle w:val="11"/>
          <w:rFonts w:hint="eastAsia" w:ascii="楷体" w:hAnsi="楷体" w:eastAsia="楷体" w:cs="楷体"/>
          <w:kern w:val="0"/>
          <w:sz w:val="32"/>
          <w:szCs w:val="32"/>
          <w:shd w:val="clear" w:color="auto" w:fill="FFFFFF"/>
          <w:lang w:val="en-US" w:eastAsia="zh-CN" w:bidi="ar-SA"/>
        </w:rPr>
        <w:t>三公</w:t>
      </w:r>
      <w:r>
        <w:rPr>
          <w:rStyle w:val="11"/>
          <w:rFonts w:hint="default" w:ascii="楷体" w:hAnsi="楷体" w:eastAsia="楷体" w:cs="楷体"/>
          <w:kern w:val="0"/>
          <w:sz w:val="32"/>
          <w:szCs w:val="32"/>
          <w:shd w:val="clear" w:color="auto" w:fill="FFFFFF"/>
          <w:lang w:val="en-US" w:eastAsia="zh-CN" w:bidi="ar-SA"/>
        </w:rPr>
        <w:t>”</w:t>
      </w:r>
      <w:r>
        <w:rPr>
          <w:rStyle w:val="11"/>
          <w:rFonts w:hint="eastAsia" w:ascii="楷体" w:hAnsi="楷体" w:eastAsia="楷体" w:cs="楷体"/>
          <w:kern w:val="0"/>
          <w:sz w:val="32"/>
          <w:szCs w:val="32"/>
          <w:shd w:val="clear" w:color="auto" w:fill="FFFFFF"/>
          <w:lang w:val="en-US" w:eastAsia="zh-CN" w:bidi="ar-SA"/>
        </w:rPr>
        <w:t>经费：</w:t>
      </w:r>
      <w:r>
        <w:rPr>
          <w:rFonts w:hint="eastAsia" w:ascii="方正仿宋_GBK" w:hAnsi="方正仿宋_GBK" w:eastAsia="方正仿宋_GBK" w:cs="方正仿宋_GBK"/>
          <w:kern w:val="0"/>
          <w:sz w:val="32"/>
          <w:szCs w:val="32"/>
          <w:shd w:val="clear"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黑体_GBK" w:cs="Times New Roman"/>
          <w:b/>
          <w:kern w:val="0"/>
          <w:sz w:val="32"/>
          <w:szCs w:val="32"/>
          <w:shd w:val="clear" w:fill="FFFFFF"/>
        </w:rPr>
      </w:pPr>
      <w:r>
        <w:rPr>
          <w:rStyle w:val="11"/>
          <w:rFonts w:hint="eastAsia" w:ascii="黑体" w:hAnsi="黑体" w:eastAsia="黑体" w:cs="黑体"/>
          <w:kern w:val="0"/>
          <w:sz w:val="32"/>
          <w:szCs w:val="32"/>
          <w:shd w:val="clear" w:color="auto" w:fill="FFFFFF"/>
          <w:lang w:val="en-US" w:eastAsia="zh-CN" w:bidi="ar-SA"/>
        </w:rPr>
        <w:t>七、决算公开联系方式及信息反馈渠道</w:t>
      </w:r>
    </w:p>
    <w:p>
      <w:pPr>
        <w:pStyle w:val="13"/>
        <w:keepNext w:val="0"/>
        <w:keepLines w:val="0"/>
        <w:pageBreakBefore w:val="0"/>
        <w:widowControl w:val="0"/>
        <w:suppressLineNumbers w:val="0"/>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Times New Roman" w:hAnsi="Times New Roman" w:eastAsia="方正仿宋_GBK" w:cs="Times New Roman"/>
          <w:kern w:val="0"/>
          <w:sz w:val="32"/>
          <w:szCs w:val="32"/>
          <w:shd w:val="clear" w:color="auto" w:fill="FFFFFF"/>
          <w:lang w:val="en-US" w:eastAsia="zh-CN" w:bidi="ar-SA"/>
        </w:rPr>
        <w:t>023-68827534</w:t>
      </w:r>
    </w:p>
    <w:p>
      <w:pPr>
        <w:adjustRightInd w:val="0"/>
        <w:snapToGrid w:val="0"/>
        <w:spacing w:line="600" w:lineRule="exact"/>
        <w:ind w:firstLine="640" w:firstLineChars="2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附件：1.收入支出决算总表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pPr>
        <w:adjustRightInd w:val="0"/>
        <w:snapToGrid w:val="0"/>
        <w:spacing w:line="600" w:lineRule="exact"/>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 xml:space="preserve">          7.政府性基金预算财政拨款收入支出决算表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pPr>
        <w:rPr>
          <w:rFonts w:hint="default" w:cs="宋体"/>
          <w:sz w:val="21"/>
          <w:szCs w:val="21"/>
        </w:r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重庆市九龙坡区农业技术推广站</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428.22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245.35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428.22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428.22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428.22</w:t>
            </w:r>
            <w:r>
              <w:rPr>
                <w:rFonts w:ascii="Times New Roman" w:hAnsi="Times New Roman"/>
                <w:color w:val="000000"/>
                <w:sz w:val="20"/>
                <w:u w:color="auto"/>
              </w:rPr>
              <w:t xml:space="preserve"> </w:t>
            </w:r>
          </w:p>
        </w:tc>
      </w:tr>
    </w:tbl>
    <w:p>
      <w:pPr>
        <w:spacing w:line="240" w:lineRule="exact"/>
        <w:rPr>
          <w:rFonts w:hint="eastAsia" w:eastAsia="宋体" w:cs="宋体"/>
          <w:sz w:val="20"/>
          <w:szCs w:val="20"/>
          <w:lang w:eastAsia="zh-CN"/>
        </w:rPr>
      </w:pPr>
      <w:r>
        <w:rPr>
          <w:rFonts w:cs="宋体"/>
          <w:sz w:val="20"/>
          <w:szCs w:val="20"/>
        </w:rPr>
        <w:t>备注：1.本表反映单位本年度的总收支和年末结转结余情况。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spacing w:line="240" w:lineRule="exact"/>
        <w:rPr>
          <w:rFonts w:hint="eastAsia" w:eastAsia="宋体" w:cs="宋体"/>
          <w:sz w:val="20"/>
          <w:szCs w:val="20"/>
          <w:lang w:eastAsia="zh-CN"/>
        </w:rPr>
      </w:pPr>
    </w:p>
    <w:tbl>
      <w:tblPr>
        <w:tblStyle w:val="9"/>
        <w:tblW w:w="15323" w:type="dxa"/>
        <w:tblInd w:w="0" w:type="dxa"/>
        <w:tblLayout w:type="fixed"/>
        <w:tblCellMar>
          <w:top w:w="0" w:type="dxa"/>
          <w:left w:w="0" w:type="dxa"/>
          <w:bottom w:w="0" w:type="dxa"/>
          <w:right w:w="0" w:type="dxa"/>
        </w:tblCellMar>
      </w:tblPr>
      <w:tblGrid>
        <w:gridCol w:w="1292"/>
        <w:gridCol w:w="138"/>
        <w:gridCol w:w="2917"/>
        <w:gridCol w:w="547"/>
        <w:gridCol w:w="1036"/>
        <w:gridCol w:w="804"/>
        <w:gridCol w:w="647"/>
        <w:gridCol w:w="1120"/>
        <w:gridCol w:w="135"/>
        <w:gridCol w:w="1440"/>
        <w:gridCol w:w="50"/>
        <w:gridCol w:w="1408"/>
        <w:gridCol w:w="149"/>
        <w:gridCol w:w="1147"/>
        <w:gridCol w:w="546"/>
        <w:gridCol w:w="805"/>
        <w:gridCol w:w="1086"/>
        <w:gridCol w:w="56"/>
      </w:tblGrid>
      <w:tr>
        <w:tblPrEx>
          <w:tblCellMar>
            <w:top w:w="0" w:type="dxa"/>
            <w:left w:w="0" w:type="dxa"/>
            <w:bottom w:w="0" w:type="dxa"/>
            <w:right w:w="0" w:type="dxa"/>
          </w:tblCellMar>
        </w:tblPrEx>
        <w:trPr>
          <w:gridAfter w:val="1"/>
          <w:wAfter w:w="56" w:type="dxa"/>
          <w:trHeight w:val="536" w:hRule="atLeast"/>
        </w:trPr>
        <w:tc>
          <w:tcPr>
            <w:tcW w:w="15267" w:type="dxa"/>
            <w:gridSpan w:val="1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gridAfter w:val="1"/>
          <w:wAfter w:w="56" w:type="dxa"/>
          <w:trHeight w:val="328" w:hRule="atLeast"/>
        </w:trPr>
        <w:tc>
          <w:tcPr>
            <w:tcW w:w="5930"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重庆市九龙坡区农业技术推广站</w:t>
            </w:r>
          </w:p>
        </w:tc>
        <w:tc>
          <w:tcPr>
            <w:tcW w:w="1451"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5"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8"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gridAfter w:val="1"/>
          <w:wAfter w:w="56" w:type="dxa"/>
          <w:trHeight w:val="283" w:hRule="atLeast"/>
        </w:trPr>
        <w:tc>
          <w:tcPr>
            <w:tcW w:w="5930" w:type="dxa"/>
            <w:gridSpan w:val="5"/>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5"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8"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gridAfter w:val="1"/>
          <w:wAfter w:w="56" w:type="dxa"/>
          <w:trHeight w:val="431" w:hRule="atLeast"/>
        </w:trPr>
        <w:tc>
          <w:tcPr>
            <w:tcW w:w="4347"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cs="宋体"/>
                <w:b/>
                <w:color w:val="000000"/>
                <w:sz w:val="20"/>
                <w:szCs w:val="20"/>
              </w:rPr>
            </w:pPr>
            <w:r>
              <w:rPr>
                <w:rFonts w:cs="宋体"/>
                <w:b/>
                <w:color w:val="000000"/>
                <w:sz w:val="20"/>
                <w:szCs w:val="20"/>
              </w:rPr>
              <w:t>项目</w:t>
            </w:r>
          </w:p>
        </w:tc>
        <w:tc>
          <w:tcPr>
            <w:tcW w:w="15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cs="宋体"/>
                <w:b/>
                <w:color w:val="000000"/>
                <w:sz w:val="20"/>
                <w:szCs w:val="20"/>
              </w:rPr>
            </w:pPr>
            <w:r>
              <w:rPr>
                <w:rFonts w:cs="宋体"/>
                <w:b/>
                <w:color w:val="000000"/>
                <w:sz w:val="20"/>
                <w:szCs w:val="20"/>
              </w:rPr>
              <w:t>本年收入合计</w:t>
            </w:r>
          </w:p>
        </w:tc>
        <w:tc>
          <w:tcPr>
            <w:tcW w:w="14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cs="宋体"/>
                <w:b/>
                <w:color w:val="000000"/>
                <w:sz w:val="20"/>
                <w:szCs w:val="20"/>
              </w:rPr>
            </w:pPr>
            <w:r>
              <w:rPr>
                <w:rFonts w:cs="宋体"/>
                <w:b/>
                <w:color w:val="000000"/>
                <w:sz w:val="20"/>
                <w:szCs w:val="20"/>
              </w:rPr>
              <w:t>财政拨款收入</w:t>
            </w:r>
          </w:p>
        </w:tc>
        <w:tc>
          <w:tcPr>
            <w:tcW w:w="12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cs="宋体"/>
                <w:b/>
                <w:color w:val="000000"/>
                <w:sz w:val="20"/>
                <w:szCs w:val="20"/>
              </w:rPr>
            </w:pPr>
            <w:r>
              <w:rPr>
                <w:rFonts w:cs="宋体"/>
                <w:b/>
                <w:color w:val="000000"/>
                <w:sz w:val="20"/>
                <w:szCs w:val="20"/>
              </w:rPr>
              <w:t>上级补助收入</w:t>
            </w:r>
          </w:p>
        </w:tc>
        <w:tc>
          <w:tcPr>
            <w:tcW w:w="28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cs="宋体"/>
                <w:b/>
                <w:color w:val="000000"/>
                <w:sz w:val="20"/>
                <w:szCs w:val="20"/>
              </w:rPr>
            </w:pPr>
            <w:r>
              <w:rPr>
                <w:rFonts w:cs="宋体"/>
                <w:b/>
                <w:color w:val="000000"/>
                <w:sz w:val="20"/>
                <w:szCs w:val="20"/>
              </w:rPr>
              <w:t>事业收入</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cs="宋体"/>
                <w:b/>
                <w:color w:val="000000"/>
                <w:sz w:val="20"/>
                <w:szCs w:val="20"/>
              </w:rPr>
            </w:pPr>
            <w:r>
              <w:rPr>
                <w:rFonts w:cs="宋体"/>
                <w:b/>
                <w:color w:val="000000"/>
                <w:sz w:val="20"/>
                <w:szCs w:val="20"/>
              </w:rPr>
              <w:t>经营收入</w:t>
            </w:r>
          </w:p>
        </w:tc>
        <w:tc>
          <w:tcPr>
            <w:tcW w:w="13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cs="宋体"/>
                <w:b/>
                <w:color w:val="000000"/>
                <w:sz w:val="20"/>
                <w:szCs w:val="20"/>
              </w:rPr>
            </w:pPr>
            <w:r>
              <w:rPr>
                <w:rFonts w:cs="宋体"/>
                <w:b/>
                <w:color w:val="000000"/>
                <w:sz w:val="20"/>
                <w:szCs w:val="20"/>
              </w:rPr>
              <w:t>附属单位上缴收入</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gridAfter w:val="1"/>
          <w:wAfter w:w="56" w:type="dxa"/>
          <w:trHeight w:val="334" w:hRule="atLeast"/>
        </w:trPr>
        <w:tc>
          <w:tcPr>
            <w:tcW w:w="1430" w:type="dxa"/>
            <w:gridSpan w:val="2"/>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cs="宋体"/>
                <w:b/>
                <w:color w:val="000000"/>
                <w:sz w:val="20"/>
                <w:szCs w:val="20"/>
              </w:rPr>
            </w:pPr>
            <w:r>
              <w:rPr>
                <w:rFonts w:cs="宋体"/>
                <w:b/>
                <w:color w:val="000000"/>
                <w:sz w:val="20"/>
                <w:szCs w:val="20"/>
              </w:rPr>
              <w:t>项目（按“项”级功能分类科目）</w:t>
            </w: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4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cs="宋体"/>
                <w:b/>
                <w:color w:val="000000"/>
                <w:sz w:val="20"/>
                <w:szCs w:val="20"/>
              </w:rPr>
            </w:pPr>
            <w:r>
              <w:rPr>
                <w:rFonts w:cs="宋体"/>
                <w:b/>
                <w:color w:val="000000"/>
                <w:sz w:val="20"/>
                <w:szCs w:val="20"/>
              </w:rPr>
              <w:t>小计</w:t>
            </w:r>
          </w:p>
        </w:tc>
        <w:tc>
          <w:tcPr>
            <w:tcW w:w="14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cs="宋体"/>
                <w:b/>
                <w:color w:val="000000"/>
                <w:sz w:val="20"/>
                <w:szCs w:val="20"/>
              </w:rPr>
            </w:pPr>
            <w:r>
              <w:rPr>
                <w:rFonts w:cs="宋体"/>
                <w:b/>
                <w:color w:val="000000"/>
                <w:sz w:val="20"/>
                <w:szCs w:val="20"/>
              </w:rPr>
              <w:t>其中：教育收费</w:t>
            </w: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r>
      <w:tr>
        <w:tblPrEx>
          <w:tblCellMar>
            <w:top w:w="0" w:type="dxa"/>
            <w:left w:w="0" w:type="dxa"/>
            <w:bottom w:w="0" w:type="dxa"/>
            <w:right w:w="0" w:type="dxa"/>
          </w:tblCellMar>
        </w:tblPrEx>
        <w:trPr>
          <w:gridAfter w:val="1"/>
          <w:wAfter w:w="56" w:type="dxa"/>
          <w:trHeight w:val="334" w:hRule="atLeast"/>
        </w:trPr>
        <w:tc>
          <w:tcPr>
            <w:tcW w:w="1430" w:type="dxa"/>
            <w:gridSpan w:val="2"/>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4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4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r>
      <w:tr>
        <w:tblPrEx>
          <w:tblCellMar>
            <w:top w:w="0" w:type="dxa"/>
            <w:left w:w="0" w:type="dxa"/>
            <w:bottom w:w="0" w:type="dxa"/>
            <w:right w:w="0" w:type="dxa"/>
          </w:tblCellMar>
        </w:tblPrEx>
        <w:trPr>
          <w:gridAfter w:val="1"/>
          <w:wAfter w:w="56" w:type="dxa"/>
          <w:trHeight w:val="334" w:hRule="atLeast"/>
        </w:trPr>
        <w:tc>
          <w:tcPr>
            <w:tcW w:w="1430" w:type="dxa"/>
            <w:gridSpan w:val="2"/>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4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4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r>
      <w:tr>
        <w:tblPrEx>
          <w:tblCellMar>
            <w:top w:w="0" w:type="dxa"/>
            <w:left w:w="0" w:type="dxa"/>
            <w:bottom w:w="0" w:type="dxa"/>
            <w:right w:w="0" w:type="dxa"/>
          </w:tblCellMar>
        </w:tblPrEx>
        <w:trPr>
          <w:gridAfter w:val="1"/>
          <w:wAfter w:w="56" w:type="dxa"/>
          <w:trHeight w:val="312" w:hRule="atLeast"/>
        </w:trPr>
        <w:tc>
          <w:tcPr>
            <w:tcW w:w="1430" w:type="dxa"/>
            <w:gridSpan w:val="2"/>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4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4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3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cs="宋体"/>
                <w:b/>
                <w:color w:val="000000"/>
                <w:sz w:val="20"/>
                <w:szCs w:val="20"/>
              </w:rPr>
            </w:pPr>
          </w:p>
        </w:tc>
      </w:tr>
      <w:tr>
        <w:tblPrEx>
          <w:tblCellMar>
            <w:top w:w="0" w:type="dxa"/>
            <w:left w:w="0" w:type="dxa"/>
            <w:bottom w:w="0" w:type="dxa"/>
            <w:right w:w="0" w:type="dxa"/>
          </w:tblCellMar>
        </w:tblPrEx>
        <w:trPr>
          <w:gridAfter w:val="1"/>
          <w:wAfter w:w="56" w:type="dxa"/>
          <w:trHeight w:val="338" w:hRule="atLeast"/>
        </w:trPr>
        <w:tc>
          <w:tcPr>
            <w:tcW w:w="43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cs="宋体"/>
                <w:b/>
                <w:color w:val="000000"/>
                <w:sz w:val="20"/>
                <w:szCs w:val="20"/>
              </w:rPr>
            </w:pPr>
            <w:r>
              <w:rPr>
                <w:rFonts w:cs="宋体"/>
                <w:b/>
                <w:color w:val="000000"/>
                <w:sz w:val="20"/>
                <w:szCs w:val="20"/>
              </w:rPr>
              <w:t>合计</w:t>
            </w:r>
          </w:p>
        </w:tc>
        <w:tc>
          <w:tcPr>
            <w:tcW w:w="158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428.22</w:t>
            </w:r>
            <w:r>
              <w:rPr>
                <w:rFonts w:ascii="Times New Roman" w:hAnsi="Times New Roman"/>
                <w:b/>
                <w:color w:val="000000"/>
                <w:sz w:val="20"/>
                <w:u w:color="auto"/>
              </w:rPr>
              <w:t xml:space="preserve"> </w:t>
            </w:r>
          </w:p>
        </w:tc>
        <w:tc>
          <w:tcPr>
            <w:tcW w:w="14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428.22</w:t>
            </w:r>
            <w:r>
              <w:rPr>
                <w:rFonts w:ascii="Times New Roman" w:hAnsi="Times New Roman"/>
                <w:b/>
                <w:color w:val="000000"/>
                <w:sz w:val="20"/>
                <w:u w:color="auto"/>
              </w:rPr>
              <w:t xml:space="preserve"> </w:t>
            </w:r>
          </w:p>
        </w:tc>
        <w:tc>
          <w:tcPr>
            <w:tcW w:w="12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gridAfter w:val="1"/>
          <w:wAfter w:w="56" w:type="dxa"/>
          <w:trHeight w:val="348" w:hRule="atLeast"/>
        </w:trPr>
        <w:tc>
          <w:tcPr>
            <w:tcW w:w="143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208</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社会保障和就业支出</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143.39</w:t>
            </w:r>
            <w:r>
              <w:rPr>
                <w:rFonts w:ascii="Times New Roman" w:hAnsi="Times New Roman"/>
                <w:b/>
                <w:color w:val="000000"/>
                <w:sz w:val="20"/>
                <w:u w:color="auto"/>
              </w:rPr>
              <w:t xml:space="preserve"> </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143.39</w:t>
            </w:r>
            <w:r>
              <w:rPr>
                <w:rFonts w:ascii="Times New Roman" w:hAnsi="Times New Roman"/>
                <w:b/>
                <w:color w:val="000000"/>
                <w:sz w:val="20"/>
                <w:u w:color="auto"/>
              </w:rPr>
              <w:t xml:space="preserve"> </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gridAfter w:val="1"/>
          <w:wAfter w:w="56" w:type="dxa"/>
          <w:trHeight w:val="348" w:hRule="atLeast"/>
        </w:trPr>
        <w:tc>
          <w:tcPr>
            <w:tcW w:w="143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20805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行政事业单位养老支出</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u w:color="auto"/>
              </w:rPr>
              <w:t xml:space="preserve"> </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u w:color="auto"/>
              </w:rPr>
              <w:t xml:space="preserve"> </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gridAfter w:val="1"/>
          <w:wAfter w:w="56" w:type="dxa"/>
          <w:trHeight w:val="348" w:hRule="atLeast"/>
        </w:trPr>
        <w:tc>
          <w:tcPr>
            <w:tcW w:w="143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20"/>
                <w:szCs w:val="20"/>
              </w:rPr>
              <w:t>2080505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18"/>
                <w:szCs w:val="18"/>
              </w:rPr>
              <w:t>机关事业单位基本养老保险缴费支出</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36.78</w:t>
            </w:r>
            <w:r>
              <w:rPr>
                <w:rFonts w:ascii="Times New Roman" w:hAnsi="Times New Roman"/>
                <w:color w:val="000000"/>
                <w:sz w:val="20"/>
                <w:u w:color="auto"/>
              </w:rPr>
              <w:t xml:space="preserve"> </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36.78</w:t>
            </w:r>
            <w:r>
              <w:rPr>
                <w:rFonts w:ascii="Times New Roman" w:hAnsi="Times New Roman"/>
                <w:color w:val="000000"/>
                <w:sz w:val="20"/>
                <w:u w:color="auto"/>
              </w:rPr>
              <w:t xml:space="preserve"> </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gridAfter w:val="1"/>
          <w:wAfter w:w="56" w:type="dxa"/>
          <w:trHeight w:val="348" w:hRule="atLeast"/>
        </w:trPr>
        <w:tc>
          <w:tcPr>
            <w:tcW w:w="143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20"/>
                <w:szCs w:val="20"/>
              </w:rPr>
              <w:t>2080506</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20"/>
                <w:szCs w:val="20"/>
              </w:rPr>
              <w:t>机关事业单位职业年金缴费支出</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18.64</w:t>
            </w:r>
            <w:r>
              <w:rPr>
                <w:rFonts w:ascii="Times New Roman" w:hAnsi="Times New Roman"/>
                <w:color w:val="000000"/>
                <w:sz w:val="20"/>
                <w:u w:color="auto"/>
              </w:rPr>
              <w:t xml:space="preserve"> </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18.64</w:t>
            </w:r>
            <w:r>
              <w:rPr>
                <w:rFonts w:ascii="Times New Roman" w:hAnsi="Times New Roman"/>
                <w:color w:val="000000"/>
                <w:sz w:val="20"/>
                <w:u w:color="auto"/>
              </w:rPr>
              <w:t xml:space="preserve"> </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gridAfter w:val="1"/>
          <w:wAfter w:w="56" w:type="dxa"/>
          <w:trHeight w:val="348" w:hRule="atLeast"/>
        </w:trPr>
        <w:tc>
          <w:tcPr>
            <w:tcW w:w="143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20"/>
                <w:szCs w:val="20"/>
              </w:rPr>
              <w:t>2080599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20"/>
                <w:szCs w:val="20"/>
              </w:rPr>
              <w:t>其他行政事业单位养老支出</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78.39</w:t>
            </w:r>
            <w:r>
              <w:rPr>
                <w:rFonts w:ascii="Times New Roman" w:hAnsi="Times New Roman"/>
                <w:color w:val="000000"/>
                <w:sz w:val="20"/>
                <w:u w:color="auto"/>
              </w:rPr>
              <w:t xml:space="preserve"> </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78.39</w:t>
            </w:r>
            <w:r>
              <w:rPr>
                <w:rFonts w:ascii="Times New Roman" w:hAnsi="Times New Roman"/>
                <w:color w:val="000000"/>
                <w:sz w:val="20"/>
                <w:u w:color="auto"/>
              </w:rPr>
              <w:t xml:space="preserve"> </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gridAfter w:val="1"/>
          <w:wAfter w:w="56" w:type="dxa"/>
          <w:trHeight w:val="348" w:hRule="atLeast"/>
        </w:trPr>
        <w:tc>
          <w:tcPr>
            <w:tcW w:w="143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20808</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抚恤</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gridAfter w:val="1"/>
          <w:wAfter w:w="56" w:type="dxa"/>
          <w:trHeight w:val="318" w:hRule="atLeast"/>
        </w:trPr>
        <w:tc>
          <w:tcPr>
            <w:tcW w:w="143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20"/>
                <w:szCs w:val="20"/>
              </w:rPr>
              <w:t>2080801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20"/>
                <w:szCs w:val="20"/>
              </w:rPr>
              <w:t>死亡抚恤</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gridAfter w:val="1"/>
          <w:wAfter w:w="56" w:type="dxa"/>
          <w:trHeight w:val="303" w:hRule="atLeast"/>
        </w:trPr>
        <w:tc>
          <w:tcPr>
            <w:tcW w:w="143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210</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卫生健康支出</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gridAfter w:val="1"/>
          <w:wAfter w:w="56" w:type="dxa"/>
          <w:trHeight w:val="318" w:hRule="atLeast"/>
        </w:trPr>
        <w:tc>
          <w:tcPr>
            <w:tcW w:w="143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21011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行政事业单位医疗</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gridAfter w:val="1"/>
          <w:wAfter w:w="56" w:type="dxa"/>
          <w:trHeight w:val="318" w:hRule="atLeast"/>
        </w:trPr>
        <w:tc>
          <w:tcPr>
            <w:tcW w:w="143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20"/>
                <w:szCs w:val="20"/>
              </w:rPr>
              <w:t>2101102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20"/>
                <w:szCs w:val="20"/>
              </w:rPr>
              <w:t>事业单位医疗</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10.82</w:t>
            </w:r>
            <w:r>
              <w:rPr>
                <w:rFonts w:ascii="Times New Roman" w:hAnsi="Times New Roman"/>
                <w:color w:val="000000"/>
                <w:sz w:val="20"/>
                <w:u w:color="auto"/>
              </w:rPr>
              <w:t xml:space="preserve"> </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10.82</w:t>
            </w:r>
            <w:r>
              <w:rPr>
                <w:rFonts w:ascii="Times New Roman" w:hAnsi="Times New Roman"/>
                <w:color w:val="000000"/>
                <w:sz w:val="20"/>
                <w:u w:color="auto"/>
              </w:rPr>
              <w:t xml:space="preserve"> </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gridAfter w:val="1"/>
          <w:wAfter w:w="56" w:type="dxa"/>
          <w:trHeight w:val="318" w:hRule="atLeast"/>
        </w:trPr>
        <w:tc>
          <w:tcPr>
            <w:tcW w:w="143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20"/>
                <w:szCs w:val="20"/>
              </w:rPr>
              <w:t>2101199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20"/>
                <w:szCs w:val="20"/>
              </w:rPr>
              <w:t>其他行政事业单位医疗支出</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gridAfter w:val="1"/>
          <w:wAfter w:w="56" w:type="dxa"/>
          <w:trHeight w:val="288" w:hRule="atLeast"/>
        </w:trPr>
        <w:tc>
          <w:tcPr>
            <w:tcW w:w="143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213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农林水支出</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245.35</w:t>
            </w:r>
            <w:r>
              <w:rPr>
                <w:rFonts w:ascii="Times New Roman" w:hAnsi="Times New Roman"/>
                <w:b/>
                <w:color w:val="000000"/>
                <w:sz w:val="20"/>
                <w:u w:color="auto"/>
              </w:rPr>
              <w:t xml:space="preserve"> </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245.35</w:t>
            </w:r>
            <w:r>
              <w:rPr>
                <w:rFonts w:ascii="Times New Roman" w:hAnsi="Times New Roman"/>
                <w:b/>
                <w:color w:val="000000"/>
                <w:sz w:val="20"/>
                <w:u w:color="auto"/>
              </w:rPr>
              <w:t xml:space="preserve"> </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gridAfter w:val="1"/>
          <w:wAfter w:w="56" w:type="dxa"/>
          <w:trHeight w:val="288" w:hRule="atLeast"/>
        </w:trPr>
        <w:tc>
          <w:tcPr>
            <w:tcW w:w="143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21301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农业农村</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245.35</w:t>
            </w:r>
            <w:r>
              <w:rPr>
                <w:rFonts w:ascii="Times New Roman" w:hAnsi="Times New Roman"/>
                <w:b/>
                <w:color w:val="000000"/>
                <w:sz w:val="20"/>
                <w:u w:color="auto"/>
              </w:rPr>
              <w:t xml:space="preserve"> </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245.35</w:t>
            </w:r>
            <w:r>
              <w:rPr>
                <w:rFonts w:ascii="Times New Roman" w:hAnsi="Times New Roman"/>
                <w:b/>
                <w:color w:val="000000"/>
                <w:sz w:val="20"/>
                <w:u w:color="auto"/>
              </w:rPr>
              <w:t xml:space="preserve"> </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gridAfter w:val="1"/>
          <w:wAfter w:w="56" w:type="dxa"/>
          <w:trHeight w:val="273" w:hRule="atLeast"/>
        </w:trPr>
        <w:tc>
          <w:tcPr>
            <w:tcW w:w="143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20"/>
                <w:szCs w:val="20"/>
              </w:rPr>
              <w:t>2130104</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20"/>
                <w:szCs w:val="20"/>
              </w:rPr>
              <w:t>事业运行</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245.35</w:t>
            </w:r>
            <w:r>
              <w:rPr>
                <w:rFonts w:ascii="Times New Roman" w:hAnsi="Times New Roman"/>
                <w:color w:val="000000"/>
                <w:sz w:val="20"/>
                <w:u w:color="auto"/>
              </w:rPr>
              <w:t xml:space="preserve"> </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245.35</w:t>
            </w:r>
            <w:r>
              <w:rPr>
                <w:rFonts w:ascii="Times New Roman" w:hAnsi="Times New Roman"/>
                <w:color w:val="000000"/>
                <w:sz w:val="20"/>
                <w:u w:color="auto"/>
              </w:rPr>
              <w:t xml:space="preserve"> </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gridAfter w:val="1"/>
          <w:wAfter w:w="56" w:type="dxa"/>
          <w:trHeight w:val="303" w:hRule="atLeast"/>
        </w:trPr>
        <w:tc>
          <w:tcPr>
            <w:tcW w:w="143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221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住房保障支出</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21.64</w:t>
            </w:r>
            <w:r>
              <w:rPr>
                <w:rFonts w:ascii="Times New Roman" w:hAnsi="Times New Roman"/>
                <w:b/>
                <w:color w:val="000000"/>
                <w:sz w:val="20"/>
                <w:u w:color="auto"/>
              </w:rPr>
              <w:t xml:space="preserve"> </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21.64</w:t>
            </w:r>
            <w:r>
              <w:rPr>
                <w:rFonts w:ascii="Times New Roman" w:hAnsi="Times New Roman"/>
                <w:b/>
                <w:color w:val="000000"/>
                <w:sz w:val="20"/>
                <w:u w:color="auto"/>
              </w:rPr>
              <w:t xml:space="preserve"> </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gridAfter w:val="1"/>
          <w:wAfter w:w="56" w:type="dxa"/>
          <w:trHeight w:val="288" w:hRule="atLeast"/>
        </w:trPr>
        <w:tc>
          <w:tcPr>
            <w:tcW w:w="143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22102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b/>
                <w:color w:val="000000"/>
                <w:sz w:val="20"/>
                <w:szCs w:val="20"/>
              </w:rPr>
              <w:t>住房改革支出</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21.64</w:t>
            </w:r>
            <w:r>
              <w:rPr>
                <w:rFonts w:ascii="Times New Roman" w:hAnsi="Times New Roman"/>
                <w:b/>
                <w:color w:val="000000"/>
                <w:sz w:val="20"/>
                <w:u w:color="auto"/>
              </w:rPr>
              <w:t xml:space="preserve"> </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21.64</w:t>
            </w:r>
            <w:r>
              <w:rPr>
                <w:rFonts w:ascii="Times New Roman" w:hAnsi="Times New Roman"/>
                <w:b/>
                <w:color w:val="000000"/>
                <w:sz w:val="20"/>
                <w:u w:color="auto"/>
              </w:rPr>
              <w:t xml:space="preserve"> </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gridAfter w:val="1"/>
          <w:wAfter w:w="56" w:type="dxa"/>
          <w:trHeight w:val="258" w:hRule="atLeast"/>
        </w:trPr>
        <w:tc>
          <w:tcPr>
            <w:tcW w:w="1430" w:type="dxa"/>
            <w:gridSpan w:val="2"/>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20"/>
                <w:szCs w:val="20"/>
              </w:rPr>
              <w:t>2210201</w:t>
            </w:r>
          </w:p>
        </w:tc>
        <w:tc>
          <w:tcPr>
            <w:tcW w:w="29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20"/>
                <w:szCs w:val="20"/>
              </w:rPr>
              <w:t>住房公积金</w:t>
            </w:r>
          </w:p>
        </w:tc>
        <w:tc>
          <w:tcPr>
            <w:tcW w:w="1583"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20.05</w:t>
            </w:r>
            <w:r>
              <w:rPr>
                <w:rFonts w:ascii="Times New Roman" w:hAnsi="Times New Roman"/>
                <w:color w:val="000000"/>
                <w:sz w:val="20"/>
                <w:u w:color="auto"/>
              </w:rPr>
              <w:t xml:space="preserve"> </w:t>
            </w:r>
          </w:p>
        </w:tc>
        <w:tc>
          <w:tcPr>
            <w:tcW w:w="1451"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20.05</w:t>
            </w:r>
            <w:r>
              <w:rPr>
                <w:rFonts w:ascii="Times New Roman" w:hAnsi="Times New Roman"/>
                <w:color w:val="000000"/>
                <w:sz w:val="20"/>
                <w:u w:color="auto"/>
              </w:rPr>
              <w:t xml:space="preserve"> </w:t>
            </w:r>
          </w:p>
        </w:tc>
        <w:tc>
          <w:tcPr>
            <w:tcW w:w="1255"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gridAfter w:val="1"/>
          <w:wAfter w:w="56" w:type="dxa"/>
          <w:trHeight w:val="90" w:hRule="atLeast"/>
        </w:trPr>
        <w:tc>
          <w:tcPr>
            <w:tcW w:w="143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20"/>
                <w:szCs w:val="20"/>
              </w:rPr>
              <w:t>2210203</w:t>
            </w:r>
          </w:p>
        </w:tc>
        <w:tc>
          <w:tcPr>
            <w:tcW w:w="29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textAlignment w:val="center"/>
              <w:rPr>
                <w:rFonts w:hint="default" w:cs="宋体"/>
                <w:color w:val="000000"/>
                <w:sz w:val="20"/>
                <w:szCs w:val="20"/>
              </w:rPr>
            </w:pPr>
            <w:r>
              <w:rPr>
                <w:rFonts w:cs="宋体"/>
                <w:color w:val="000000"/>
                <w:sz w:val="20"/>
                <w:szCs w:val="20"/>
              </w:rPr>
              <w:t>购房补贴</w:t>
            </w:r>
          </w:p>
        </w:tc>
        <w:tc>
          <w:tcPr>
            <w:tcW w:w="158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145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125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gridAfter w:val="1"/>
          <w:wAfter w:w="56" w:type="dxa"/>
          <w:trHeight w:val="313" w:hRule="atLeast"/>
        </w:trPr>
        <w:tc>
          <w:tcPr>
            <w:tcW w:w="5930" w:type="dxa"/>
            <w:gridSpan w:val="5"/>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color w:val="000000"/>
                <w:sz w:val="20"/>
                <w:szCs w:val="20"/>
              </w:rPr>
            </w:pPr>
            <w:r>
              <w:rPr>
                <w:rFonts w:cs="宋体"/>
                <w:sz w:val="20"/>
                <w:szCs w:val="20"/>
              </w:rPr>
              <w:t>备注：1.本表反映单位本年度取得的各项收入情况。</w:t>
            </w:r>
          </w:p>
        </w:tc>
        <w:tc>
          <w:tcPr>
            <w:tcW w:w="1451" w:type="dxa"/>
            <w:gridSpan w:val="2"/>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p>
        </w:tc>
        <w:tc>
          <w:tcPr>
            <w:tcW w:w="1255" w:type="dxa"/>
            <w:gridSpan w:val="2"/>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p>
        </w:tc>
        <w:tc>
          <w:tcPr>
            <w:tcW w:w="1440" w:type="dxa"/>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p>
        </w:tc>
        <w:tc>
          <w:tcPr>
            <w:tcW w:w="1458" w:type="dxa"/>
            <w:gridSpan w:val="2"/>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p>
        </w:tc>
        <w:tc>
          <w:tcPr>
            <w:tcW w:w="1296" w:type="dxa"/>
            <w:gridSpan w:val="2"/>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p>
        </w:tc>
        <w:tc>
          <w:tcPr>
            <w:tcW w:w="1351" w:type="dxa"/>
            <w:gridSpan w:val="2"/>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p>
        </w:tc>
        <w:tc>
          <w:tcPr>
            <w:tcW w:w="1086" w:type="dxa"/>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gridAfter w:val="1"/>
          <w:wAfter w:w="56" w:type="dxa"/>
          <w:trHeight w:val="313" w:hRule="atLeast"/>
        </w:trPr>
        <w:tc>
          <w:tcPr>
            <w:tcW w:w="593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center"/>
              <w:rPr>
                <w:rFonts w:cs="宋体"/>
                <w:sz w:val="20"/>
                <w:szCs w:val="20"/>
              </w:rPr>
            </w:pPr>
            <w:r>
              <w:rPr>
                <w:rFonts w:cs="宋体"/>
                <w:sz w:val="20"/>
                <w:szCs w:val="20"/>
              </w:rPr>
              <w:t>2.本套报表金额单位转换时可能存在尾数误差。</w:t>
            </w:r>
          </w:p>
        </w:tc>
        <w:tc>
          <w:tcPr>
            <w:tcW w:w="1451"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p>
        </w:tc>
        <w:tc>
          <w:tcPr>
            <w:tcW w:w="1255"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p>
        </w:tc>
        <w:tc>
          <w:tcPr>
            <w:tcW w:w="1458"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p>
        </w:tc>
        <w:tc>
          <w:tcPr>
            <w:tcW w:w="129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p>
        </w:tc>
        <w:tc>
          <w:tcPr>
            <w:tcW w:w="1351"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p>
        </w:tc>
        <w:tc>
          <w:tcPr>
            <w:tcW w:w="1086"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534" w:hRule="atLeast"/>
        </w:trPr>
        <w:tc>
          <w:tcPr>
            <w:tcW w:w="15323" w:type="dxa"/>
            <w:gridSpan w:val="1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ind w:left="600" w:hanging="964" w:hangingChars="300"/>
              <w:jc w:val="center"/>
              <w:rPr>
                <w:rFonts w:cs="宋体"/>
                <w:sz w:val="20"/>
                <w:szCs w:val="20"/>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4" w:type="dxa"/>
            <w:gridSpan w:val="6"/>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重庆市九龙坡区农业技术推广站 </w:t>
            </w:r>
          </w:p>
        </w:tc>
        <w:tc>
          <w:tcPr>
            <w:tcW w:w="1767"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5"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3"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7"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4" w:type="dxa"/>
            <w:gridSpan w:val="6"/>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7"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5"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3"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7"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20" w:lineRule="exact"/>
              <w:jc w:val="center"/>
              <w:textAlignment w:val="bottom"/>
              <w:rPr>
                <w:rFonts w:hint="default" w:cs="宋体"/>
                <w:b/>
                <w:color w:val="000000"/>
                <w:sz w:val="20"/>
                <w:szCs w:val="20"/>
              </w:rPr>
            </w:pPr>
            <w:r>
              <w:rPr>
                <w:rFonts w:cs="宋体"/>
                <w:b/>
                <w:color w:val="000000"/>
                <w:sz w:val="20"/>
                <w:szCs w:val="20"/>
              </w:rPr>
              <w:t>项目</w:t>
            </w:r>
          </w:p>
        </w:tc>
        <w:tc>
          <w:tcPr>
            <w:tcW w:w="1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cs="宋体"/>
                <w:b/>
                <w:color w:val="000000"/>
                <w:sz w:val="20"/>
                <w:szCs w:val="20"/>
              </w:rPr>
            </w:pPr>
            <w:r>
              <w:rPr>
                <w:rFonts w:cs="宋体"/>
                <w:b/>
                <w:color w:val="000000"/>
                <w:sz w:val="20"/>
                <w:szCs w:val="20"/>
              </w:rPr>
              <w:t>本年支出合计</w:t>
            </w:r>
          </w:p>
        </w:tc>
        <w:tc>
          <w:tcPr>
            <w:tcW w:w="17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cs="宋体"/>
                <w:b/>
                <w:color w:val="000000"/>
                <w:sz w:val="20"/>
                <w:szCs w:val="20"/>
              </w:rPr>
            </w:pPr>
            <w:r>
              <w:rPr>
                <w:rFonts w:cs="宋体"/>
                <w:b/>
                <w:color w:val="000000"/>
                <w:sz w:val="20"/>
                <w:szCs w:val="20"/>
              </w:rPr>
              <w:t>基本支出</w:t>
            </w:r>
          </w:p>
        </w:tc>
        <w:tc>
          <w:tcPr>
            <w:tcW w:w="16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cs="宋体"/>
                <w:b/>
                <w:color w:val="000000"/>
                <w:sz w:val="20"/>
                <w:szCs w:val="20"/>
              </w:rPr>
            </w:pPr>
            <w:r>
              <w:rPr>
                <w:rFonts w:cs="宋体"/>
                <w:b/>
                <w:color w:val="000000"/>
                <w:sz w:val="20"/>
                <w:szCs w:val="20"/>
              </w:rPr>
              <w:t>项目支出</w:t>
            </w:r>
          </w:p>
        </w:tc>
        <w:tc>
          <w:tcPr>
            <w:tcW w:w="15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cs="宋体"/>
                <w:b/>
                <w:color w:val="000000"/>
                <w:sz w:val="20"/>
                <w:szCs w:val="20"/>
              </w:rPr>
            </w:pPr>
            <w:r>
              <w:rPr>
                <w:rFonts w:cs="宋体"/>
                <w:b/>
                <w:color w:val="000000"/>
                <w:sz w:val="20"/>
                <w:szCs w:val="20"/>
              </w:rPr>
              <w:t>上缴上级支出</w:t>
            </w:r>
          </w:p>
        </w:tc>
        <w:tc>
          <w:tcPr>
            <w:tcW w:w="16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cs="宋体"/>
                <w:b/>
                <w:color w:val="000000"/>
                <w:sz w:val="20"/>
                <w:szCs w:val="20"/>
              </w:rPr>
            </w:pPr>
            <w:r>
              <w:rPr>
                <w:rFonts w:cs="宋体"/>
                <w:b/>
                <w:color w:val="000000"/>
                <w:sz w:val="20"/>
                <w:szCs w:val="20"/>
              </w:rPr>
              <w:t>经营支出</w:t>
            </w:r>
          </w:p>
        </w:tc>
        <w:tc>
          <w:tcPr>
            <w:tcW w:w="19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gridSpan w:val="3"/>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7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6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5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9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3602" w:type="dxa"/>
            <w:gridSpan w:val="3"/>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7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6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5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9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3602" w:type="dxa"/>
            <w:gridSpan w:val="3"/>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7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6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5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9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3602" w:type="dxa"/>
            <w:gridSpan w:val="3"/>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7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6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5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c>
          <w:tcPr>
            <w:tcW w:w="19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cs="宋体"/>
                <w:b/>
                <w:color w:val="000000"/>
                <w:sz w:val="20"/>
                <w:szCs w:val="20"/>
              </w:rPr>
            </w:pPr>
            <w:r>
              <w:rPr>
                <w:rFonts w:cs="宋体"/>
                <w:b/>
                <w:color w:val="000000"/>
                <w:sz w:val="20"/>
                <w:szCs w:val="20"/>
              </w:rPr>
              <w:t>合计</w:t>
            </w:r>
          </w:p>
        </w:tc>
        <w:tc>
          <w:tcPr>
            <w:tcW w:w="18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428.22</w:t>
            </w:r>
            <w:r>
              <w:rPr>
                <w:rFonts w:ascii="Times New Roman" w:hAnsi="Times New Roman"/>
                <w:b/>
                <w:color w:val="000000"/>
                <w:sz w:val="20"/>
                <w:u w:color="auto"/>
              </w:rPr>
              <w:t xml:space="preserve"> </w:t>
            </w:r>
          </w:p>
        </w:tc>
        <w:tc>
          <w:tcPr>
            <w:tcW w:w="176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428.22</w:t>
            </w:r>
            <w:r>
              <w:rPr>
                <w:rFonts w:ascii="Times New Roman" w:hAnsi="Times New Roman"/>
                <w:b/>
                <w:color w:val="000000"/>
                <w:sz w:val="20"/>
                <w:u w:color="auto"/>
              </w:rPr>
              <w:t xml:space="preserve"> </w:t>
            </w:r>
          </w:p>
        </w:tc>
        <w:tc>
          <w:tcPr>
            <w:tcW w:w="162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77"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208</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社会保障和就业支出</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143.39</w:t>
            </w:r>
            <w:r>
              <w:rPr>
                <w:rFonts w:ascii="Times New Roman" w:hAnsi="Times New Roman"/>
                <w:b/>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143.39</w:t>
            </w:r>
            <w:r>
              <w:rPr>
                <w:rFonts w:ascii="Times New Roman" w:hAnsi="Times New Roman"/>
                <w:b/>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2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20805</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行政事业单位养老支出</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7"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2080505</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36.78</w:t>
            </w:r>
            <w:r>
              <w:rPr>
                <w:rFonts w:ascii="Times New Roman" w:hAnsi="Times New Roman"/>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36.78</w:t>
            </w:r>
            <w:r>
              <w:rPr>
                <w:rFonts w:ascii="Times New Roman" w:hAnsi="Times New Roman"/>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9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2080506</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机关事业单位职业年金缴费支出</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18.64</w:t>
            </w:r>
            <w:r>
              <w:rPr>
                <w:rFonts w:ascii="Times New Roman" w:hAnsi="Times New Roman"/>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18.64</w:t>
            </w:r>
            <w:r>
              <w:rPr>
                <w:rFonts w:ascii="Times New Roman" w:hAnsi="Times New Roman"/>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9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2080599</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其他行政事业单位养老支出</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78.39</w:t>
            </w:r>
            <w:r>
              <w:rPr>
                <w:rFonts w:ascii="Times New Roman" w:hAnsi="Times New Roman"/>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78.39</w:t>
            </w:r>
            <w:r>
              <w:rPr>
                <w:rFonts w:ascii="Times New Roman" w:hAnsi="Times New Roman"/>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5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20808</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抚恤</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2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2080801</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死亡抚恤</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5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210</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卫生健康支出</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37"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21011</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行政事业单位医疗</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37"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2101102</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事业单位医疗</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10.82</w:t>
            </w:r>
            <w:r>
              <w:rPr>
                <w:rFonts w:ascii="Times New Roman" w:hAnsi="Times New Roman"/>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10.82</w:t>
            </w:r>
            <w:r>
              <w:rPr>
                <w:rFonts w:ascii="Times New Roman" w:hAnsi="Times New Roman"/>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9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2101199</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其他行政事业单位医疗支出</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2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213</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农林水支出</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245.35</w:t>
            </w:r>
            <w:r>
              <w:rPr>
                <w:rFonts w:ascii="Times New Roman" w:hAnsi="Times New Roman"/>
                <w:b/>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245.35</w:t>
            </w:r>
            <w:r>
              <w:rPr>
                <w:rFonts w:ascii="Times New Roman" w:hAnsi="Times New Roman"/>
                <w:b/>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9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21301</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农业农村</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245.35</w:t>
            </w:r>
            <w:r>
              <w:rPr>
                <w:rFonts w:ascii="Times New Roman" w:hAnsi="Times New Roman"/>
                <w:b/>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245.35</w:t>
            </w:r>
            <w:r>
              <w:rPr>
                <w:rFonts w:ascii="Times New Roman" w:hAnsi="Times New Roman"/>
                <w:b/>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77"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2130104</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事业运行</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245.35</w:t>
            </w:r>
            <w:r>
              <w:rPr>
                <w:rFonts w:ascii="Times New Roman" w:hAnsi="Times New Roman"/>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245.35</w:t>
            </w:r>
            <w:r>
              <w:rPr>
                <w:rFonts w:ascii="Times New Roman" w:hAnsi="Times New Roman"/>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2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221</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住房保障支出</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21.64</w:t>
            </w:r>
            <w:r>
              <w:rPr>
                <w:rFonts w:ascii="Times New Roman" w:hAnsi="Times New Roman"/>
                <w:b/>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21.64</w:t>
            </w:r>
            <w:r>
              <w:rPr>
                <w:rFonts w:ascii="Times New Roman" w:hAnsi="Times New Roman"/>
                <w:b/>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2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22102</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b/>
                <w:color w:val="000000"/>
                <w:sz w:val="20"/>
                <w:szCs w:val="20"/>
              </w:rPr>
              <w:t>住房改革支出</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21.64</w:t>
            </w:r>
            <w:r>
              <w:rPr>
                <w:rFonts w:ascii="Times New Roman" w:hAnsi="Times New Roman"/>
                <w:b/>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21.64</w:t>
            </w:r>
            <w:r>
              <w:rPr>
                <w:rFonts w:ascii="Times New Roman" w:hAnsi="Times New Roman"/>
                <w:b/>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2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2210201</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住房公积金</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20.05</w:t>
            </w:r>
            <w:r>
              <w:rPr>
                <w:rFonts w:ascii="Times New Roman" w:hAnsi="Times New Roman"/>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20.05</w:t>
            </w:r>
            <w:r>
              <w:rPr>
                <w:rFonts w:ascii="Times New Roman" w:hAnsi="Times New Roman"/>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2210203</w:t>
            </w:r>
          </w:p>
        </w:tc>
        <w:tc>
          <w:tcPr>
            <w:tcW w:w="360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20" w:lineRule="exact"/>
              <w:textAlignment w:val="center"/>
              <w:rPr>
                <w:rFonts w:hint="default" w:cs="宋体"/>
                <w:color w:val="000000"/>
                <w:sz w:val="20"/>
                <w:szCs w:val="20"/>
              </w:rPr>
            </w:pPr>
            <w:r>
              <w:rPr>
                <w:rFonts w:cs="宋体"/>
                <w:color w:val="000000"/>
                <w:sz w:val="20"/>
                <w:szCs w:val="20"/>
              </w:rPr>
              <w:t>购房补贴</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16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E/>
        <w:autoSpaceDN/>
        <w:bidi w:val="0"/>
        <w:adjustRightInd/>
        <w:snapToGrid/>
        <w:spacing w:line="220" w:lineRule="exact"/>
        <w:rPr>
          <w:rFonts w:hint="eastAsia" w:eastAsia="宋体" w:cs="宋体"/>
          <w:sz w:val="20"/>
          <w:szCs w:val="20"/>
          <w:lang w:eastAsia="zh-CN"/>
        </w:rPr>
      </w:pPr>
      <w:r>
        <w:rPr>
          <w:rFonts w:cs="宋体"/>
          <w:sz w:val="20"/>
          <w:szCs w:val="20"/>
        </w:rPr>
        <w:t>备注：1.本表反映单位本年度各项支出情况。</w:t>
      </w:r>
    </w:p>
    <w:p>
      <w:pPr>
        <w:keepNext w:val="0"/>
        <w:keepLines w:val="0"/>
        <w:pageBreakBefore w:val="0"/>
        <w:widowControl/>
        <w:kinsoku/>
        <w:overflowPunct/>
        <w:topLinePunct w:val="0"/>
        <w:autoSpaceDE/>
        <w:autoSpaceDN/>
        <w:bidi w:val="0"/>
        <w:adjustRightInd/>
        <w:snapToGrid/>
        <w:spacing w:line="220" w:lineRule="exact"/>
        <w:rPr>
          <w:rFonts w:hint="eastAsia" w:eastAsia="宋体" w:cs="宋体"/>
          <w:sz w:val="20"/>
          <w:szCs w:val="20"/>
          <w:lang w:eastAsia="zh-CN"/>
        </w:rPr>
      </w:pPr>
      <w:r>
        <w:rPr>
          <w:rFonts w:cs="宋体"/>
          <w:sz w:val="20"/>
          <w:szCs w:val="20"/>
        </w:rPr>
        <w:t xml:space="preserve">      2.本套报表金额单位转换时可能存在尾数误差。</w:t>
      </w:r>
    </w:p>
    <w:p>
      <w:pPr>
        <w:keepNext w:val="0"/>
        <w:keepLines w:val="0"/>
        <w:pageBreakBefore w:val="0"/>
        <w:widowControl/>
        <w:kinsoku/>
        <w:overflowPunct/>
        <w:topLinePunct w:val="0"/>
        <w:autoSpaceDE/>
        <w:autoSpaceDN/>
        <w:bidi w:val="0"/>
        <w:adjustRightInd/>
        <w:snapToGrid/>
        <w:spacing w:line="220" w:lineRule="exact"/>
        <w:rPr>
          <w:rFonts w:hint="eastAsia" w:eastAsia="宋体" w:cs="宋体"/>
          <w:sz w:val="20"/>
          <w:szCs w:val="20"/>
          <w:lang w:eastAsia="zh-CN"/>
        </w:rPr>
      </w:pPr>
    </w:p>
    <w:p>
      <w:pPr>
        <w:rPr>
          <w:rFonts w:hint="default" w:cs="宋体"/>
          <w:sz w:val="21"/>
          <w:szCs w:val="21"/>
        </w:rPr>
      </w:pPr>
    </w:p>
    <w:tbl>
      <w:tblPr>
        <w:tblStyle w:val="9"/>
        <w:tblW w:w="15297" w:type="dxa"/>
        <w:tblInd w:w="0" w:type="dxa"/>
        <w:tblLayout w:type="fixed"/>
        <w:tblCellMar>
          <w:top w:w="0" w:type="dxa"/>
          <w:left w:w="0" w:type="dxa"/>
          <w:bottom w:w="0" w:type="dxa"/>
          <w:right w:w="0" w:type="dxa"/>
        </w:tblCellMar>
      </w:tblPr>
      <w:tblGrid>
        <w:gridCol w:w="2967"/>
        <w:gridCol w:w="1521"/>
        <w:gridCol w:w="3179"/>
        <w:gridCol w:w="1694"/>
        <w:gridCol w:w="2006"/>
        <w:gridCol w:w="2010"/>
        <w:gridCol w:w="1920"/>
      </w:tblGrid>
      <w:tr>
        <w:tblPrEx>
          <w:tblCellMar>
            <w:top w:w="0" w:type="dxa"/>
            <w:left w:w="0" w:type="dxa"/>
            <w:bottom w:w="0" w:type="dxa"/>
            <w:right w:w="0" w:type="dxa"/>
          </w:tblCellMar>
        </w:tblPrEx>
        <w:trPr>
          <w:trHeight w:val="90" w:hRule="atLeast"/>
        </w:trPr>
        <w:tc>
          <w:tcPr>
            <w:tcW w:w="15297"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重庆市九龙坡区农业技术推广站</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00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01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00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01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80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63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2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w:t>
            </w:r>
            <w:r>
              <w:rPr>
                <w:rFonts w:hint="eastAsia" w:cs="宋体"/>
                <w:b/>
                <w:color w:val="000000"/>
                <w:sz w:val="18"/>
                <w:szCs w:val="18"/>
                <w:lang w:val="en-US" w:eastAsia="zh-CN"/>
              </w:rPr>
              <w:t xml:space="preserve">      </w:t>
            </w:r>
            <w:r>
              <w:rPr>
                <w:rFonts w:cs="宋体"/>
                <w:b/>
                <w:color w:val="000000"/>
                <w:sz w:val="18"/>
                <w:szCs w:val="18"/>
              </w:rPr>
              <w:t>财政拨款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w:t>
            </w:r>
            <w:r>
              <w:rPr>
                <w:rFonts w:hint="eastAsia" w:cs="宋体"/>
                <w:b/>
                <w:color w:val="000000"/>
                <w:sz w:val="18"/>
                <w:szCs w:val="18"/>
                <w:lang w:val="en-US" w:eastAsia="zh-CN"/>
              </w:rPr>
              <w:t xml:space="preserve">    </w:t>
            </w:r>
            <w:r>
              <w:rPr>
                <w:rFonts w:cs="宋体"/>
                <w:b/>
                <w:color w:val="000000"/>
                <w:sz w:val="18"/>
                <w:szCs w:val="18"/>
              </w:rPr>
              <w:t>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428.22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143.39</w:t>
            </w: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143.39</w:t>
            </w: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w:t>
            </w: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w:t>
            </w: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245.35</w:t>
            </w: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245.35</w:t>
            </w: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w:t>
            </w: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w:t>
            </w: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428.22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428.22</w:t>
            </w: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428.22</w:t>
            </w: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428.22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428.22</w:t>
            </w:r>
            <w:r>
              <w:rPr>
                <w:rFonts w:ascii="Times New Roman" w:hAnsi="Times New Roman"/>
                <w:color w:val="000000"/>
                <w:sz w:val="18"/>
                <w:u w:color="auto"/>
              </w:rPr>
              <w:t xml:space="preserve"> </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428.22</w:t>
            </w:r>
            <w:r>
              <w:rPr>
                <w:rFonts w:ascii="Times New Roman" w:hAnsi="Times New Roman"/>
                <w:color w:val="000000"/>
                <w:sz w:val="18"/>
                <w:u w:color="auto"/>
              </w:rPr>
              <w:t xml:space="preserve"> </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eastAsia" w:eastAsia="宋体" w:cs="宋体"/>
          <w:sz w:val="20"/>
          <w:szCs w:val="20"/>
          <w:lang w:eastAsia="zh-CN"/>
        </w:rPr>
      </w:pPr>
      <w:r>
        <w:rPr>
          <w:rFonts w:cs="宋体"/>
          <w:sz w:val="20"/>
          <w:szCs w:val="20"/>
        </w:rPr>
        <w:t>备注：1.本表反映单位本年度一般公共预算财政拨款、政府性基金预算财政拨款及国有资本经营预算财政拨款的总收支和年末结转结余情况。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spacing w:line="240" w:lineRule="exact"/>
        <w:rPr>
          <w:rFonts w:hint="eastAsia" w:eastAsia="宋体" w:cs="宋体"/>
          <w:sz w:val="20"/>
          <w:szCs w:val="20"/>
          <w:lang w:eastAsia="zh-CN"/>
        </w:rPr>
      </w:pPr>
    </w:p>
    <w:p>
      <w:pPr>
        <w:spacing w:line="240" w:lineRule="exact"/>
        <w:rPr>
          <w:rFonts w:hint="default" w:cs="宋体"/>
          <w:sz w:val="20"/>
          <w:szCs w:val="20"/>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7"/>
        <w:gridCol w:w="3296"/>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重庆市九龙坡区农业技术推广站</w:t>
            </w: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428.22</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428.22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143.39</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143.39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36.78</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18.64</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78.39</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78.39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10.82</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245.35</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245.35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245.35</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245.35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245.35</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245.35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21.64</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21.64</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20.05</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备注：1.本表反映单位本年度一般公共预算财政拨款支出情况。</w:t>
      </w:r>
    </w:p>
    <w:p>
      <w:pPr>
        <w:rPr>
          <w:rFonts w:hint="eastAsia" w:eastAsia="宋体" w:cs="宋体"/>
          <w:sz w:val="20"/>
          <w:szCs w:val="20"/>
          <w:lang w:eastAsia="zh-CN"/>
        </w:rPr>
      </w:pPr>
      <w:r>
        <w:rPr>
          <w:rFonts w:cs="宋体"/>
          <w:sz w:val="20"/>
          <w:szCs w:val="20"/>
        </w:rPr>
        <w:t xml:space="preserve">      2.本套报表金额单位转换时可能存在尾数误差。</w:t>
      </w:r>
    </w:p>
    <w:p>
      <w:pPr>
        <w:rPr>
          <w:rFonts w:hint="eastAsia" w:eastAsia="宋体" w:cs="宋体"/>
          <w:sz w:val="20"/>
          <w:szCs w:val="20"/>
          <w:lang w:eastAsia="zh-CN"/>
        </w:rPr>
      </w:pPr>
    </w:p>
    <w:p>
      <w:pPr>
        <w:rPr>
          <w:rFonts w:hint="eastAsia" w:eastAsia="宋体" w:cs="宋体"/>
          <w:sz w:val="20"/>
          <w:szCs w:val="20"/>
          <w:lang w:eastAsia="zh-CN"/>
        </w:rPr>
      </w:pPr>
    </w:p>
    <w:p>
      <w:pPr>
        <w:ind w:firstLine="630" w:firstLineChars="300"/>
        <w:rPr>
          <w:rFonts w:hint="default" w:cs="宋体"/>
          <w:sz w:val="21"/>
          <w:szCs w:val="21"/>
        </w:rPr>
      </w:pPr>
      <w:r>
        <w:rPr>
          <w:rFonts w:cs="宋体"/>
          <w:sz w:val="21"/>
          <w:szCs w:val="21"/>
        </w:rPr>
        <w:br w:type="page"/>
      </w:r>
    </w:p>
    <w:tbl>
      <w:tblPr>
        <w:tblStyle w:val="9"/>
        <w:tblW w:w="15303" w:type="dxa"/>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tblPrEx>
          <w:tblCellMar>
            <w:top w:w="0" w:type="dxa"/>
            <w:left w:w="0" w:type="dxa"/>
            <w:bottom w:w="0" w:type="dxa"/>
            <w:right w:w="0" w:type="dxa"/>
          </w:tblCellMar>
        </w:tblPrEx>
        <w:trPr>
          <w:trHeight w:val="90" w:hRule="atLeast"/>
        </w:trPr>
        <w:tc>
          <w:tcPr>
            <w:tcW w:w="15303"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重庆市九龙坡区农业技术推广站</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277.76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93.69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410" w:hRule="atLeast"/>
        </w:trPr>
        <w:tc>
          <w:tcPr>
            <w:tcW w:w="361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371.45</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r>
        <w:rPr>
          <w:rFonts w:cs="宋体"/>
          <w:sz w:val="20"/>
          <w:szCs w:val="20"/>
        </w:rPr>
        <w:t>备注：1.本表反映单位本年度一般公共预算财政拨款基本支出明细情况。</w:t>
      </w:r>
    </w:p>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r>
        <w:rPr>
          <w:rFonts w:cs="宋体"/>
          <w:sz w:val="20"/>
          <w:szCs w:val="20"/>
        </w:rPr>
        <w:t xml:space="preserve">      2.本套报表金额单位转换时可能存在尾数误差。</w:t>
      </w:r>
    </w:p>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p>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1"/>
          <w:szCs w:val="21"/>
        </w:rPr>
        <w:br w:type="page"/>
      </w:r>
    </w:p>
    <w:tbl>
      <w:tblPr>
        <w:tblStyle w:val="9"/>
        <w:tblW w:w="15323" w:type="dxa"/>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tblPrEx>
          <w:tblCellMar>
            <w:top w:w="0" w:type="dxa"/>
            <w:left w:w="0" w:type="dxa"/>
            <w:bottom w:w="0" w:type="dxa"/>
            <w:right w:w="0" w:type="dxa"/>
          </w:tblCellMar>
        </w:tblPrEx>
        <w:trPr>
          <w:trHeight w:val="64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p>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重庆市九龙坡区农业技术推广站</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备注：本表反映单位本年度政府性基金预算财政拨款收入支出及结转和结余情况。本单位无政府性基金收支，故本表无数据。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p>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重庆市九龙坡区农业技术推广站</w:t>
            </w: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2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eastAsia" w:eastAsia="宋体" w:cs="宋体"/>
          <w:sz w:val="20"/>
          <w:szCs w:val="20"/>
          <w:lang w:eastAsia="zh-CN"/>
        </w:rPr>
      </w:pPr>
      <w:r>
        <w:rPr>
          <w:rFonts w:cs="宋体"/>
          <w:sz w:val="20"/>
          <w:szCs w:val="20"/>
        </w:rPr>
        <w:t>备注：本表反映单位本年度国有资本经营预算财政拨款支出情况。本单位无国有资本经营收支，故本表无数据。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hint="default" w:cs="宋体"/>
          <w:sz w:val="21"/>
          <w:szCs w:val="21"/>
        </w:rPr>
        <w:br w:type="page"/>
      </w:r>
    </w:p>
    <w:tbl>
      <w:tblPr>
        <w:tblStyle w:val="9"/>
        <w:tblW w:w="15237" w:type="dxa"/>
        <w:tblInd w:w="0" w:type="dxa"/>
        <w:tblLayout w:type="fixed"/>
        <w:tblCellMar>
          <w:top w:w="0" w:type="dxa"/>
          <w:left w:w="170" w:type="dxa"/>
          <w:bottom w:w="0" w:type="dxa"/>
          <w:right w:w="170" w:type="dxa"/>
        </w:tblCellMar>
      </w:tblPr>
      <w:tblGrid>
        <w:gridCol w:w="3179"/>
        <w:gridCol w:w="2415"/>
        <w:gridCol w:w="2376"/>
        <w:gridCol w:w="3674"/>
        <w:gridCol w:w="3593"/>
      </w:tblGrid>
      <w:tr>
        <w:tblPrEx>
          <w:tblCellMar>
            <w:top w:w="0" w:type="dxa"/>
            <w:left w:w="170" w:type="dxa"/>
            <w:bottom w:w="0" w:type="dxa"/>
            <w:right w:w="170" w:type="dxa"/>
          </w:tblCellMar>
        </w:tblPrEx>
        <w:trPr>
          <w:trHeight w:val="343" w:hRule="atLeast"/>
        </w:trPr>
        <w:tc>
          <w:tcPr>
            <w:tcW w:w="15237" w:type="dxa"/>
            <w:gridSpan w:val="5"/>
            <w:shd w:val="clear" w:color="auto" w:fill="auto"/>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p>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6"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5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重庆市九龙坡区农业技术推广站</w:t>
            </w:r>
          </w:p>
        </w:tc>
        <w:tc>
          <w:tcPr>
            <w:tcW w:w="23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5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5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eastAsia" w:eastAsia="宋体" w:cs="宋体"/>
          <w:sz w:val="18"/>
          <w:szCs w:val="18"/>
          <w:lang w:eastAsia="zh-CN"/>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p>
    <w:p>
      <w:pPr>
        <w:rPr>
          <w:rFonts w:hint="eastAsia" w:eastAsia="宋体" w:cs="宋体"/>
          <w:sz w:val="18"/>
          <w:szCs w:val="18"/>
          <w:lang w:val="en-US" w:eastAsia="zh-CN"/>
        </w:rPr>
      </w:pP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BQAAAAIAIdO4kCjmKK6MwIAAGc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NDhiMmJlZjk3NWJlNjY2Njk4NDFiNDk3OGE4NmEifQ=="/>
  </w:docVars>
  <w:rsids>
    <w:rsidRoot w:val="00B03CCD"/>
    <w:rsid w:val="000D7BCC"/>
    <w:rsid w:val="00280308"/>
    <w:rsid w:val="00550ABE"/>
    <w:rsid w:val="007B419D"/>
    <w:rsid w:val="009B67B8"/>
    <w:rsid w:val="00B03CCD"/>
    <w:rsid w:val="011A6415"/>
    <w:rsid w:val="014147C5"/>
    <w:rsid w:val="01474EBF"/>
    <w:rsid w:val="019020B1"/>
    <w:rsid w:val="01A3044E"/>
    <w:rsid w:val="01F3521E"/>
    <w:rsid w:val="02056D00"/>
    <w:rsid w:val="031C3115"/>
    <w:rsid w:val="03A52548"/>
    <w:rsid w:val="03E3214F"/>
    <w:rsid w:val="04446191"/>
    <w:rsid w:val="044C50BA"/>
    <w:rsid w:val="04FC7A2D"/>
    <w:rsid w:val="0536621F"/>
    <w:rsid w:val="05E71467"/>
    <w:rsid w:val="06247E33"/>
    <w:rsid w:val="06A2550B"/>
    <w:rsid w:val="06F80EE2"/>
    <w:rsid w:val="06FD221B"/>
    <w:rsid w:val="07001CCA"/>
    <w:rsid w:val="075321D2"/>
    <w:rsid w:val="075678DB"/>
    <w:rsid w:val="07932335"/>
    <w:rsid w:val="08051BCA"/>
    <w:rsid w:val="080A21BB"/>
    <w:rsid w:val="08BA052C"/>
    <w:rsid w:val="08DB07BA"/>
    <w:rsid w:val="092211F1"/>
    <w:rsid w:val="098305D0"/>
    <w:rsid w:val="09B72B6E"/>
    <w:rsid w:val="0A0C7F04"/>
    <w:rsid w:val="0A227275"/>
    <w:rsid w:val="0A5C4B69"/>
    <w:rsid w:val="0A9D4A2F"/>
    <w:rsid w:val="0B9335CE"/>
    <w:rsid w:val="0BA10C97"/>
    <w:rsid w:val="0C1A575C"/>
    <w:rsid w:val="0C554661"/>
    <w:rsid w:val="0C7927C4"/>
    <w:rsid w:val="0C9B098C"/>
    <w:rsid w:val="0CE80A8F"/>
    <w:rsid w:val="0D472B48"/>
    <w:rsid w:val="0D673E11"/>
    <w:rsid w:val="0DB50EFE"/>
    <w:rsid w:val="0DD25DDB"/>
    <w:rsid w:val="0DDA54E4"/>
    <w:rsid w:val="0DE1104A"/>
    <w:rsid w:val="0E3A5F83"/>
    <w:rsid w:val="0E9478E1"/>
    <w:rsid w:val="0F836721"/>
    <w:rsid w:val="103645A3"/>
    <w:rsid w:val="107B59E5"/>
    <w:rsid w:val="10AA219D"/>
    <w:rsid w:val="11003CB0"/>
    <w:rsid w:val="11124E18"/>
    <w:rsid w:val="111445C7"/>
    <w:rsid w:val="1158083A"/>
    <w:rsid w:val="11F03528"/>
    <w:rsid w:val="12771554"/>
    <w:rsid w:val="12827CE4"/>
    <w:rsid w:val="129973FF"/>
    <w:rsid w:val="12C921C4"/>
    <w:rsid w:val="12DA353E"/>
    <w:rsid w:val="13850DCB"/>
    <w:rsid w:val="13871C70"/>
    <w:rsid w:val="13A71CB4"/>
    <w:rsid w:val="13AF1D43"/>
    <w:rsid w:val="13BA3EDE"/>
    <w:rsid w:val="13CE1647"/>
    <w:rsid w:val="14200702"/>
    <w:rsid w:val="143921C5"/>
    <w:rsid w:val="144F3F11"/>
    <w:rsid w:val="1580711B"/>
    <w:rsid w:val="161B1AFD"/>
    <w:rsid w:val="16562CDC"/>
    <w:rsid w:val="16D80EBF"/>
    <w:rsid w:val="16DC5D9D"/>
    <w:rsid w:val="17C4730D"/>
    <w:rsid w:val="189B0D0B"/>
    <w:rsid w:val="18E03A42"/>
    <w:rsid w:val="18FC42C5"/>
    <w:rsid w:val="19313430"/>
    <w:rsid w:val="194A1770"/>
    <w:rsid w:val="19B906A4"/>
    <w:rsid w:val="19BC4734"/>
    <w:rsid w:val="1A1F744B"/>
    <w:rsid w:val="1AB10093"/>
    <w:rsid w:val="1B501DE7"/>
    <w:rsid w:val="1B6F15B6"/>
    <w:rsid w:val="1B70226D"/>
    <w:rsid w:val="1B7966EB"/>
    <w:rsid w:val="1BAA2EDC"/>
    <w:rsid w:val="1BC027C5"/>
    <w:rsid w:val="1CC57360"/>
    <w:rsid w:val="1CE157EE"/>
    <w:rsid w:val="1D014A01"/>
    <w:rsid w:val="1D022362"/>
    <w:rsid w:val="1D091B60"/>
    <w:rsid w:val="1D6D1692"/>
    <w:rsid w:val="1D794AE5"/>
    <w:rsid w:val="1D7E5355"/>
    <w:rsid w:val="1DD26311"/>
    <w:rsid w:val="1DE57DAF"/>
    <w:rsid w:val="1E4933E2"/>
    <w:rsid w:val="1EF67CA4"/>
    <w:rsid w:val="1F213FD9"/>
    <w:rsid w:val="1FCD26AF"/>
    <w:rsid w:val="20642787"/>
    <w:rsid w:val="20C83310"/>
    <w:rsid w:val="20EC77A3"/>
    <w:rsid w:val="21556F04"/>
    <w:rsid w:val="216838F8"/>
    <w:rsid w:val="22403BD3"/>
    <w:rsid w:val="23D05F06"/>
    <w:rsid w:val="24AF1021"/>
    <w:rsid w:val="24B92327"/>
    <w:rsid w:val="24D3717D"/>
    <w:rsid w:val="2533755C"/>
    <w:rsid w:val="26396DF4"/>
    <w:rsid w:val="266B763B"/>
    <w:rsid w:val="26B36A05"/>
    <w:rsid w:val="27167136"/>
    <w:rsid w:val="27B23302"/>
    <w:rsid w:val="27D424D7"/>
    <w:rsid w:val="285722C3"/>
    <w:rsid w:val="28DC1FF8"/>
    <w:rsid w:val="29310A5F"/>
    <w:rsid w:val="29B1316C"/>
    <w:rsid w:val="29C37A35"/>
    <w:rsid w:val="2A076083"/>
    <w:rsid w:val="2A306CA5"/>
    <w:rsid w:val="2A73162E"/>
    <w:rsid w:val="2AFA2E94"/>
    <w:rsid w:val="2B167953"/>
    <w:rsid w:val="2B200583"/>
    <w:rsid w:val="2B4104F9"/>
    <w:rsid w:val="2B8209DE"/>
    <w:rsid w:val="2C6762A3"/>
    <w:rsid w:val="2D5F4C37"/>
    <w:rsid w:val="2D8D7A26"/>
    <w:rsid w:val="2E2F69B7"/>
    <w:rsid w:val="2F416403"/>
    <w:rsid w:val="2F572F3B"/>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C68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BDF00EF"/>
    <w:rsid w:val="3C5A5928"/>
    <w:rsid w:val="3C6A5B02"/>
    <w:rsid w:val="3D2757A1"/>
    <w:rsid w:val="3D3D4FC4"/>
    <w:rsid w:val="3DC81109"/>
    <w:rsid w:val="3DDF3AB1"/>
    <w:rsid w:val="3DE60B7E"/>
    <w:rsid w:val="3E1D0952"/>
    <w:rsid w:val="3E42660A"/>
    <w:rsid w:val="3E7555B1"/>
    <w:rsid w:val="3EA72472"/>
    <w:rsid w:val="3EDE1208"/>
    <w:rsid w:val="3F0527E5"/>
    <w:rsid w:val="3F16459E"/>
    <w:rsid w:val="3F4A6687"/>
    <w:rsid w:val="4004000C"/>
    <w:rsid w:val="401F6105"/>
    <w:rsid w:val="406B4279"/>
    <w:rsid w:val="411B6CE5"/>
    <w:rsid w:val="412070D7"/>
    <w:rsid w:val="41314E40"/>
    <w:rsid w:val="415C674B"/>
    <w:rsid w:val="41CD1F82"/>
    <w:rsid w:val="4234796D"/>
    <w:rsid w:val="426C1EA8"/>
    <w:rsid w:val="42E86A87"/>
    <w:rsid w:val="43136432"/>
    <w:rsid w:val="435B1214"/>
    <w:rsid w:val="443A3B12"/>
    <w:rsid w:val="44487B36"/>
    <w:rsid w:val="44EF6BE8"/>
    <w:rsid w:val="45A30364"/>
    <w:rsid w:val="45B3505F"/>
    <w:rsid w:val="460D71AA"/>
    <w:rsid w:val="465B470D"/>
    <w:rsid w:val="469D6AD4"/>
    <w:rsid w:val="46FE414E"/>
    <w:rsid w:val="47674801"/>
    <w:rsid w:val="47BE6D02"/>
    <w:rsid w:val="47DD25E2"/>
    <w:rsid w:val="48225EF7"/>
    <w:rsid w:val="48A36D47"/>
    <w:rsid w:val="495C4A24"/>
    <w:rsid w:val="49A21DF3"/>
    <w:rsid w:val="49C811E4"/>
    <w:rsid w:val="4A216E30"/>
    <w:rsid w:val="4A293BC8"/>
    <w:rsid w:val="4B7951CB"/>
    <w:rsid w:val="4B7C315C"/>
    <w:rsid w:val="4B9300D7"/>
    <w:rsid w:val="4B99567B"/>
    <w:rsid w:val="4BAB7F90"/>
    <w:rsid w:val="4BD53EDA"/>
    <w:rsid w:val="4BE11807"/>
    <w:rsid w:val="4C484CE5"/>
    <w:rsid w:val="4DAC4ACA"/>
    <w:rsid w:val="4DD06F63"/>
    <w:rsid w:val="4DFA0C6B"/>
    <w:rsid w:val="4E043596"/>
    <w:rsid w:val="4E0D4427"/>
    <w:rsid w:val="4E7C3473"/>
    <w:rsid w:val="4E9B0C57"/>
    <w:rsid w:val="4EA8523F"/>
    <w:rsid w:val="4F186D58"/>
    <w:rsid w:val="4F224836"/>
    <w:rsid w:val="4F231B40"/>
    <w:rsid w:val="5081757D"/>
    <w:rsid w:val="50E05E04"/>
    <w:rsid w:val="51760217"/>
    <w:rsid w:val="51E36677"/>
    <w:rsid w:val="51F01F7D"/>
    <w:rsid w:val="522F6E0C"/>
    <w:rsid w:val="52463BA1"/>
    <w:rsid w:val="527D515E"/>
    <w:rsid w:val="529F078E"/>
    <w:rsid w:val="53990623"/>
    <w:rsid w:val="53C0244D"/>
    <w:rsid w:val="53DD4D4E"/>
    <w:rsid w:val="53E578CE"/>
    <w:rsid w:val="53EA10F5"/>
    <w:rsid w:val="541768A0"/>
    <w:rsid w:val="543B029D"/>
    <w:rsid w:val="54977029"/>
    <w:rsid w:val="554E5773"/>
    <w:rsid w:val="555A3CBC"/>
    <w:rsid w:val="558C3B8A"/>
    <w:rsid w:val="55DF5E57"/>
    <w:rsid w:val="55EF4EA6"/>
    <w:rsid w:val="56530F5D"/>
    <w:rsid w:val="56961DA2"/>
    <w:rsid w:val="56EE372E"/>
    <w:rsid w:val="570D735E"/>
    <w:rsid w:val="57B175E4"/>
    <w:rsid w:val="5842572D"/>
    <w:rsid w:val="598A28E2"/>
    <w:rsid w:val="598A4139"/>
    <w:rsid w:val="5A6279C1"/>
    <w:rsid w:val="5AD563E4"/>
    <w:rsid w:val="5C1336B7"/>
    <w:rsid w:val="5C263CE4"/>
    <w:rsid w:val="5C5D2777"/>
    <w:rsid w:val="5C722D7F"/>
    <w:rsid w:val="5D290C69"/>
    <w:rsid w:val="5DC17CC6"/>
    <w:rsid w:val="5EFA176D"/>
    <w:rsid w:val="5F0247F9"/>
    <w:rsid w:val="5F2D4A41"/>
    <w:rsid w:val="5F5019B7"/>
    <w:rsid w:val="601C34ED"/>
    <w:rsid w:val="60342FED"/>
    <w:rsid w:val="60A511FB"/>
    <w:rsid w:val="61025A59"/>
    <w:rsid w:val="613D5BBC"/>
    <w:rsid w:val="61536C39"/>
    <w:rsid w:val="615A1372"/>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A05D65"/>
    <w:rsid w:val="66EE5541"/>
    <w:rsid w:val="67086152"/>
    <w:rsid w:val="67653599"/>
    <w:rsid w:val="687E45FE"/>
    <w:rsid w:val="692172FD"/>
    <w:rsid w:val="6A3829EE"/>
    <w:rsid w:val="6A924CB7"/>
    <w:rsid w:val="6AE0292E"/>
    <w:rsid w:val="6B474EF5"/>
    <w:rsid w:val="6BC27679"/>
    <w:rsid w:val="6BC54EFE"/>
    <w:rsid w:val="6C0737CC"/>
    <w:rsid w:val="6C560CAE"/>
    <w:rsid w:val="6CD15296"/>
    <w:rsid w:val="6CD46CE0"/>
    <w:rsid w:val="6D903FF5"/>
    <w:rsid w:val="6DA955B8"/>
    <w:rsid w:val="6DE346AB"/>
    <w:rsid w:val="6F172810"/>
    <w:rsid w:val="6FAC614A"/>
    <w:rsid w:val="6FFB2E76"/>
    <w:rsid w:val="70AB70D6"/>
    <w:rsid w:val="70DE5507"/>
    <w:rsid w:val="711854AD"/>
    <w:rsid w:val="71B73330"/>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89E769B"/>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8F7773"/>
    <w:rsid w:val="7CE56AF6"/>
    <w:rsid w:val="7CF02E5B"/>
    <w:rsid w:val="7D213FB2"/>
    <w:rsid w:val="7D7642A1"/>
    <w:rsid w:val="7D9615AC"/>
    <w:rsid w:val="7F040687"/>
    <w:rsid w:val="7FF723E4"/>
    <w:rsid w:val="D3753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6">
    <w:name w:val="39"/>
    <w:basedOn w:val="10"/>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8636</Words>
  <Characters>11103</Characters>
  <Lines>161</Lines>
  <Paragraphs>45</Paragraphs>
  <TotalTime>4</TotalTime>
  <ScaleCrop>false</ScaleCrop>
  <LinksUpToDate>false</LinksUpToDate>
  <CharactersWithSpaces>12177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UOS</cp:lastModifiedBy>
  <cp:lastPrinted>2025-10-23T22:21:00Z</cp:lastPrinted>
  <dcterms:modified xsi:type="dcterms:W3CDTF">2025-10-29T14:57:24Z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BB46EABDBB2749749395447164B066B3_12</vt:lpwstr>
  </property>
</Properties>
</file>