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right="0"/>
        <w:jc w:val="center"/>
        <w:rPr>
          <w:rFonts w:hint="eastAsia" w:ascii="Times New Roman" w:hAnsi="Times New Roman" w:eastAsia="方正小标宋_GBK" w:cs="方正小标宋_GBK"/>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重庆市九龙坡区农业农村委员会（本级）</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0" w:firstLineChars="0"/>
        <w:jc w:val="center"/>
        <w:textAlignment w:val="auto"/>
        <w:rPr>
          <w:rFonts w:hint="eastAsia" w:ascii="Times New Roman" w:hAnsi="Times New Roman" w:eastAsia="方正小标宋_GBK" w:cs="方正小标宋_GBK"/>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2024年度</w:t>
      </w:r>
      <w:r>
        <w:rPr>
          <w:rFonts w:hint="eastAsia" w:ascii="方正小标宋_GBK" w:hAnsi="方正小标宋_GBK" w:eastAsia="方正小标宋_GBK" w:cs="方正小标宋_GBK"/>
          <w:color w:val="000000"/>
          <w:kern w:val="2"/>
          <w:sz w:val="44"/>
          <w:szCs w:val="44"/>
          <w:shd w:val="clear" w:fill="FFFFFF"/>
          <w:lang w:val="en-US" w:eastAsia="zh-CN"/>
        </w:rPr>
        <w:t>单位</w:t>
      </w:r>
      <w:r>
        <w:rPr>
          <w:rFonts w:hint="eastAsia" w:ascii="方正小标宋_GBK" w:hAnsi="方正小标宋_GBK" w:eastAsia="方正小标宋_GBK" w:cs="方正小标宋_GBK"/>
          <w:color w:val="000000"/>
          <w:kern w:val="2"/>
          <w:sz w:val="44"/>
          <w:szCs w:val="44"/>
          <w:shd w:val="clear" w:fill="FFFFFF"/>
        </w:rPr>
        <w:t>决算情况说明</w:t>
      </w:r>
    </w:p>
    <w:p>
      <w:pPr>
        <w:pStyle w:val="14"/>
        <w:keepNext w:val="0"/>
        <w:keepLines w:val="0"/>
        <w:pageBreakBefore w:val="0"/>
        <w:widowControl w:val="0"/>
        <w:suppressLineNumbers w:val="0"/>
        <w:kinsoku/>
        <w:wordWrap/>
        <w:overflowPunct/>
        <w:topLinePunct w:val="0"/>
        <w:bidi w:val="0"/>
        <w:spacing w:before="0" w:beforeAutospacing="0" w:after="0" w:afterAutospacing="0" w:line="560" w:lineRule="exact"/>
        <w:ind w:left="0" w:leftChars="0" w:right="0" w:rightChars="0"/>
        <w:jc w:val="left"/>
        <w:textAlignment w:val="auto"/>
        <w:rPr>
          <w:rFonts w:hint="default" w:ascii="Times New Roman" w:hAnsi="Times New Roman" w:eastAsia="宋体" w:cs="Times New Roman"/>
          <w:b/>
          <w:kern w:val="0"/>
          <w:sz w:val="24"/>
          <w:szCs w:val="24"/>
          <w:shd w:val="clear" w:fill="FFFFFF"/>
        </w:rPr>
      </w:pPr>
      <w:r>
        <w:rPr>
          <w:rFonts w:hint="default" w:ascii="Times New Roman" w:hAnsi="Times New Roman" w:eastAsia="宋体" w:cs="Times New Roman"/>
          <w:b/>
          <w:kern w:val="0"/>
          <w:sz w:val="24"/>
          <w:szCs w:val="24"/>
          <w:shd w:val="clear" w:fill="FFFFFF"/>
        </w:rPr>
        <w:t xml:space="preserve"> </w:t>
      </w:r>
    </w:p>
    <w:p>
      <w:pPr>
        <w:pStyle w:val="14"/>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黑体" w:hAnsi="黑体" w:eastAsia="黑体" w:cs="黑体"/>
          <w:kern w:val="0"/>
          <w:sz w:val="32"/>
          <w:szCs w:val="32"/>
          <w:shd w:val="clear" w:color="auto" w:fill="FFFFFF"/>
          <w:lang w:val="en-US" w:eastAsia="zh-CN" w:bidi="ar-SA"/>
        </w:rPr>
      </w:pPr>
      <w:r>
        <w:rPr>
          <w:rStyle w:val="12"/>
          <w:rFonts w:hint="eastAsia" w:ascii="黑体" w:hAnsi="黑体" w:eastAsia="黑体" w:cs="黑体"/>
          <w:kern w:val="0"/>
          <w:sz w:val="32"/>
          <w:szCs w:val="32"/>
          <w:shd w:val="clear" w:color="auto" w:fill="FFFFFF"/>
          <w:lang w:val="en-US" w:eastAsia="zh-CN" w:bidi="ar-SA"/>
        </w:rPr>
        <w:t>一、部门基本情况</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kern w:val="0"/>
          <w:sz w:val="32"/>
          <w:szCs w:val="32"/>
          <w:shd w:val="clear" w:color="auto" w:fill="FFFFFF"/>
          <w:lang w:val="en-US" w:eastAsia="zh-CN" w:bidi="ar-SA"/>
        </w:rPr>
        <w:t>（一）职能职责。</w:t>
      </w:r>
      <w:r>
        <w:rPr>
          <w:rFonts w:hint="eastAsia" w:ascii="方正仿宋_GBK" w:hAnsi="方正仿宋_GBK" w:eastAsia="方正仿宋_GBK" w:cs="方正仿宋_GBK"/>
          <w:kern w:val="0"/>
          <w:sz w:val="32"/>
          <w:szCs w:val="32"/>
        </w:rPr>
        <w:t>我委是区政府一个综合性职能部门，主要职责是统筹推进发展农村社会事业、农村公共服务、农村文化、农村基础设施和乡村治理，牵头组织改善农村人居环境；负责农产品质量安全监管；负责种植业、畜牧业、渔业、农业机械化等农业各产业的监督管理，</w:t>
      </w:r>
      <w:r>
        <w:rPr>
          <w:rFonts w:hint="eastAsia" w:ascii="方正仿宋_GBK" w:hAnsi="方正仿宋_GBK" w:eastAsia="方正仿宋_GBK" w:cs="方正仿宋_GBK"/>
          <w:spacing w:val="0"/>
          <w:kern w:val="0"/>
          <w:sz w:val="32"/>
          <w:szCs w:val="32"/>
        </w:rPr>
        <w:t>负责农村集体经济组织、家庭农场、农民专业合作社等新型农业经营主体的培育</w:t>
      </w:r>
      <w:r>
        <w:rPr>
          <w:rFonts w:hint="eastAsia" w:ascii="方正仿宋_GBK" w:hAnsi="方正仿宋_GBK" w:eastAsia="方正仿宋_GBK" w:cs="方正仿宋_GBK"/>
          <w:kern w:val="0"/>
          <w:sz w:val="32"/>
          <w:szCs w:val="32"/>
        </w:rPr>
        <w:t>；贯彻执行农业、水利、移民工作法律、法规、规章及方针政策；</w:t>
      </w:r>
      <w:r>
        <w:rPr>
          <w:rFonts w:hint="eastAsia" w:ascii="方正仿宋_GBK" w:hAnsi="方正仿宋_GBK" w:eastAsia="方正仿宋_GBK" w:cs="方正仿宋_GBK"/>
          <w:spacing w:val="0"/>
          <w:kern w:val="0"/>
          <w:sz w:val="32"/>
          <w:szCs w:val="32"/>
        </w:rPr>
        <w:t>指导农村集体资产、农村合作经济组织的发展与管理，</w:t>
      </w:r>
      <w:r>
        <w:rPr>
          <w:rFonts w:hint="eastAsia" w:ascii="方正仿宋_GBK" w:hAnsi="方正仿宋_GBK" w:eastAsia="方正仿宋_GBK" w:cs="方正仿宋_GBK"/>
          <w:kern w:val="0"/>
          <w:sz w:val="32"/>
          <w:szCs w:val="32"/>
        </w:rPr>
        <w:t>乡村特色产业、农产品加工业、休闲农业发展等工作。</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kern w:val="0"/>
          <w:sz w:val="32"/>
          <w:szCs w:val="32"/>
          <w:shd w:val="clear" w:color="auto" w:fill="FFFFFF"/>
          <w:lang w:val="en-US" w:eastAsia="zh-CN" w:bidi="ar-SA"/>
        </w:rPr>
        <w:t>（二）机构设置。</w:t>
      </w:r>
      <w:r>
        <w:rPr>
          <w:rFonts w:hint="eastAsia" w:ascii="方正仿宋_GBK" w:hAnsi="方正仿宋_GBK" w:eastAsia="方正仿宋_GBK" w:cs="方正仿宋_GBK"/>
          <w:kern w:val="0"/>
          <w:sz w:val="32"/>
          <w:szCs w:val="32"/>
        </w:rPr>
        <w:t>九龙坡区农业农村委员会（本级）内设</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个机构处室，分别是委办公室、产业发展科、安全法规科、</w:t>
      </w:r>
      <w:r>
        <w:rPr>
          <w:rFonts w:hint="eastAsia" w:ascii="方正仿宋_GBK" w:hAnsi="方正仿宋_GBK" w:eastAsia="方正仿宋_GBK" w:cs="方正仿宋_GBK"/>
          <w:kern w:val="0"/>
          <w:sz w:val="32"/>
          <w:szCs w:val="32"/>
          <w:lang w:val="en-US" w:eastAsia="zh-CN"/>
        </w:rPr>
        <w:t>农村社会事业科、乡村建设科</w:t>
      </w:r>
      <w:r>
        <w:rPr>
          <w:rFonts w:hint="eastAsia" w:ascii="方正仿宋_GBK" w:hAnsi="方正仿宋_GBK" w:eastAsia="方正仿宋_GBK" w:cs="方正仿宋_GBK"/>
          <w:kern w:val="0"/>
          <w:sz w:val="32"/>
          <w:szCs w:val="32"/>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方正仿宋_GBK"/>
          <w:kern w:val="0"/>
          <w:sz w:val="32"/>
          <w:szCs w:val="32"/>
          <w:shd w:val="clear" w:fill="FFFFFF"/>
        </w:rPr>
      </w:pPr>
      <w:r>
        <w:rPr>
          <w:rStyle w:val="12"/>
          <w:rFonts w:hint="eastAsia" w:ascii="楷体" w:hAnsi="楷体" w:eastAsia="楷体" w:cs="楷体"/>
          <w:kern w:val="0"/>
          <w:sz w:val="32"/>
          <w:szCs w:val="32"/>
          <w:shd w:val="clear" w:color="auto" w:fill="FFFFFF"/>
          <w:lang w:val="en-US" w:eastAsia="zh-CN" w:bidi="ar-SA"/>
        </w:rPr>
        <w:t>（三）单位构成。</w:t>
      </w:r>
      <w:r>
        <w:rPr>
          <w:rFonts w:hint="eastAsia" w:ascii="方正仿宋_GBK" w:hAnsi="方正仿宋_GBK" w:eastAsia="方正仿宋_GBK" w:cs="方正仿宋_GBK"/>
          <w:kern w:val="0"/>
          <w:sz w:val="32"/>
          <w:szCs w:val="32"/>
          <w:shd w:val="clear" w:fill="FFFFFF"/>
        </w:rPr>
        <w:t>从预算单位构成看，纳入本</w:t>
      </w:r>
      <w:r>
        <w:rPr>
          <w:rFonts w:hint="eastAsia" w:ascii="方正仿宋_GBK" w:hAnsi="方正仿宋_GBK" w:eastAsia="方正仿宋_GBK" w:cs="方正仿宋_GBK"/>
          <w:kern w:val="0"/>
          <w:sz w:val="32"/>
          <w:szCs w:val="32"/>
          <w:shd w:val="clear" w:fill="FFFFFF"/>
          <w:lang w:val="en-US" w:eastAsia="zh-CN"/>
        </w:rPr>
        <w:t>单位</w:t>
      </w:r>
      <w:r>
        <w:rPr>
          <w:rFonts w:hint="eastAsia"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rPr>
        <w:t>年度决算编制范围的二级预算单位为重庆市九龙坡区农业农村委员会（本级）。</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黑体_GBK" w:cs="方正黑体_GBK"/>
          <w:b/>
          <w:kern w:val="0"/>
          <w:sz w:val="32"/>
          <w:szCs w:val="32"/>
          <w:shd w:val="clear" w:fill="FFFFFF"/>
        </w:rPr>
      </w:pPr>
      <w:r>
        <w:rPr>
          <w:rStyle w:val="12"/>
          <w:rFonts w:hint="eastAsia" w:ascii="黑体" w:hAnsi="黑体" w:eastAsia="黑体" w:cs="黑体"/>
          <w:kern w:val="0"/>
          <w:sz w:val="32"/>
          <w:szCs w:val="32"/>
          <w:shd w:val="clear" w:color="auto" w:fill="FFFFFF"/>
          <w:lang w:val="en-US" w:eastAsia="zh-CN" w:bidi="ar-SA"/>
        </w:rPr>
        <w:t>二、部门决算情况说明</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（一）收入支出决算总体情况说明</w:t>
      </w:r>
    </w:p>
    <w:p>
      <w:pPr>
        <w:keepNext w:val="0"/>
        <w:keepLines w:val="0"/>
        <w:pageBreakBefore w:val="0"/>
        <w:widowControl w:val="0"/>
        <w:suppressLineNumbers w:val="0"/>
        <w:shd w:val="clear" w:fill="FFFFFF"/>
        <w:kinsoku/>
        <w:wordWrap/>
        <w:overflowPunct/>
        <w:topLinePunct w:val="0"/>
        <w:autoSpaceDE w:val="0"/>
        <w:autoSpaceDN/>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b/>
          <w:kern w:val="0"/>
          <w:sz w:val="32"/>
          <w:szCs w:val="32"/>
          <w:shd w:val="clear" w:fill="FFFFFF"/>
        </w:rPr>
        <w:t>1.</w:t>
      </w:r>
      <w:r>
        <w:rPr>
          <w:rStyle w:val="17"/>
          <w:rFonts w:hint="eastAsia" w:ascii="方正仿宋_GBK" w:hAnsi="方正仿宋_GBK" w:eastAsia="方正仿宋_GBK" w:cs="方正仿宋_GBK"/>
          <w:b/>
          <w:kern w:val="0"/>
          <w:sz w:val="32"/>
          <w:szCs w:val="32"/>
          <w:shd w:val="clear" w:fill="FFFFFF"/>
        </w:rPr>
        <w:t>总体情况。</w:t>
      </w:r>
      <w:r>
        <w:rPr>
          <w:rFonts w:hint="eastAsia" w:ascii="Times New Roman" w:hAnsi="Times New Roman" w:eastAsia="方正仿宋_GBK" w:cs="Times New Roman"/>
          <w:kern w:val="0"/>
          <w:sz w:val="32"/>
          <w:szCs w:val="32"/>
          <w:shd w:val="clear" w:color="auto" w:fill="FFFFFF"/>
          <w:lang w:val="en-US" w:eastAsia="zh-CN" w:bidi="ar-SA"/>
        </w:rPr>
        <w:t>2024年度收入总计4,169.02万元，支出总计4,169.02万元。收、支与2023年度相比，减少1,293.68</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kern w:val="0"/>
          <w:sz w:val="32"/>
          <w:szCs w:val="32"/>
          <w:shd w:val="clear" w:color="auto" w:fill="FFFFFF"/>
          <w:lang w:val="en-US" w:eastAsia="zh-CN" w:bidi="ar-SA"/>
        </w:rPr>
        <w:t>23.7%，主要原因是2024年农</w:t>
      </w:r>
      <w:r>
        <w:rPr>
          <w:rFonts w:hint="eastAsia" w:ascii="方正仿宋_GBK" w:hAnsi="方正仿宋_GBK" w:eastAsia="方正仿宋_GBK" w:cs="方正仿宋_GBK"/>
          <w:b w:val="0"/>
          <w:color w:val="auto"/>
          <w:kern w:val="0"/>
          <w:sz w:val="32"/>
          <w:szCs w:val="32"/>
          <w:shd w:val="clear" w:fill="FFFFFF"/>
        </w:rPr>
        <w:t>林水收</w:t>
      </w:r>
      <w:r>
        <w:rPr>
          <w:rFonts w:hint="eastAsia" w:ascii="方正仿宋_GBK" w:hAnsi="方正仿宋_GBK" w:eastAsia="方正仿宋_GBK" w:cs="方正仿宋_GBK"/>
          <w:b w:val="0"/>
          <w:color w:val="auto"/>
          <w:kern w:val="0"/>
          <w:sz w:val="32"/>
          <w:szCs w:val="32"/>
          <w:shd w:val="clear" w:fill="FFFFFF"/>
          <w:lang w:eastAsia="zh-CN"/>
        </w:rPr>
        <w:t>、</w:t>
      </w:r>
      <w:r>
        <w:rPr>
          <w:rFonts w:hint="eastAsia" w:ascii="方正仿宋_GBK" w:hAnsi="方正仿宋_GBK" w:eastAsia="方正仿宋_GBK" w:cs="方正仿宋_GBK"/>
          <w:b w:val="0"/>
          <w:color w:val="auto"/>
          <w:kern w:val="0"/>
          <w:sz w:val="32"/>
          <w:szCs w:val="32"/>
          <w:shd w:val="clear" w:fill="FFFFFF"/>
        </w:rPr>
        <w:t>支的减少。</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方正仿宋_GBK" w:hAnsi="方正仿宋_GBK" w:eastAsia="方正仿宋_GBK" w:cs="方正仿宋_GBK"/>
          <w:b/>
          <w:kern w:val="0"/>
          <w:sz w:val="32"/>
          <w:szCs w:val="32"/>
          <w:shd w:val="clear" w:fill="FFFFFF"/>
        </w:rPr>
        <w:t>2.</w:t>
      </w:r>
      <w:r>
        <w:rPr>
          <w:rStyle w:val="17"/>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color="auto" w:fill="FFFFFF"/>
          <w:lang w:val="en-US" w:eastAsia="zh-CN" w:bidi="ar-SA"/>
        </w:rPr>
        <w:t>2024年度收入合计4,169.02万元，与2023年度相比，减少1,293.68万元，下降23.7%，主要原因是2024年农林水收入的减少。其中：财政拨款收入4,169.02万元，占100.00%。</w:t>
      </w:r>
    </w:p>
    <w:p>
      <w:pPr>
        <w:keepNext w:val="0"/>
        <w:keepLines w:val="0"/>
        <w:pageBreakBefore w:val="0"/>
        <w:widowControl w:val="0"/>
        <w:suppressLineNumbers w:val="0"/>
        <w:shd w:val="clear" w:fill="FFFFFF"/>
        <w:kinsoku/>
        <w:wordWrap/>
        <w:overflowPunct/>
        <w:topLinePunct w:val="0"/>
        <w:autoSpaceDE w:val="0"/>
        <w:autoSpaceDN/>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b/>
          <w:kern w:val="0"/>
          <w:sz w:val="32"/>
          <w:szCs w:val="32"/>
          <w:shd w:val="clear" w:fill="FFFFFF"/>
        </w:rPr>
        <w:t>3.</w:t>
      </w:r>
      <w:r>
        <w:rPr>
          <w:rStyle w:val="17"/>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color="auto" w:fill="FFFFFF"/>
          <w:lang w:val="en-US" w:eastAsia="zh-CN" w:bidi="ar-SA"/>
        </w:rPr>
        <w:t>2024年度支出合计4,169.02万元，与2023年度相比，减少1,293.68万元，下降23.7%，主要原因是2024年农林水支出的减少。其中：基本支出576.55万元，占13.83%；项目支出3,592.47万元，占86.17%。</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4.</w:t>
      </w:r>
      <w:r>
        <w:rPr>
          <w:rStyle w:val="17"/>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color="auto" w:fill="FFFFFF"/>
          <w:lang w:val="en-US" w:eastAsia="zh-CN" w:bidi="ar-SA"/>
        </w:rPr>
        <w:t>2024年度年末结转和结余0.00万元，与2023年度相比</w:t>
      </w:r>
      <w:r>
        <w:rPr>
          <w:rFonts w:ascii="方正仿宋_GBK" w:hAnsi="方正仿宋_GBK" w:eastAsia="方正仿宋_GBK" w:cs="方正仿宋_GBK"/>
          <w:sz w:val="32"/>
          <w:szCs w:val="32"/>
          <w:shd w:val="clear" w:color="auto" w:fill="FFFFFF"/>
        </w:rPr>
        <w:t>，无增减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2"/>
          <w:rFonts w:hint="eastAsia" w:ascii="楷体" w:hAnsi="楷体" w:eastAsia="楷体" w:cs="楷体"/>
          <w:kern w:val="0"/>
          <w:sz w:val="32"/>
          <w:szCs w:val="32"/>
          <w:shd w:val="clear" w:color="auto" w:fill="FFFFFF"/>
          <w:lang w:val="en-US" w:eastAsia="zh-CN" w:bidi="ar-SA"/>
        </w:rPr>
        <w:t>（二）财政拨款收入支出决算总体情况说明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2024年度财政拨款收、支总计4,169.02万元。与2023年相比，财政拨款收、支总计各减少1,293.68万元，下降23.7%。主要原因是2024年</w:t>
      </w:r>
      <w:r>
        <w:rPr>
          <w:rFonts w:hint="eastAsia" w:ascii="方正仿宋_GBK" w:hAnsi="方正仿宋_GBK" w:eastAsia="方正仿宋_GBK" w:cs="方正仿宋_GBK"/>
          <w:b w:val="0"/>
          <w:color w:val="auto"/>
          <w:kern w:val="0"/>
          <w:sz w:val="32"/>
          <w:szCs w:val="32"/>
          <w:shd w:val="clear" w:fill="FFFFFF"/>
        </w:rPr>
        <w:t>农林水</w:t>
      </w:r>
      <w:r>
        <w:rPr>
          <w:rFonts w:hint="eastAsia" w:ascii="方正仿宋_GBK" w:hAnsi="方正仿宋_GBK" w:eastAsia="方正仿宋_GBK" w:cs="方正仿宋_GBK"/>
          <w:b w:val="0"/>
          <w:color w:val="auto"/>
          <w:kern w:val="0"/>
          <w:sz w:val="32"/>
          <w:szCs w:val="32"/>
          <w:shd w:val="clear" w:fill="FFFFFF"/>
          <w:lang w:val="en-US" w:eastAsia="zh-CN"/>
        </w:rPr>
        <w:t>收、支</w:t>
      </w:r>
      <w:r>
        <w:rPr>
          <w:rFonts w:hint="eastAsia" w:ascii="方正仿宋_GBK" w:hAnsi="方正仿宋_GBK" w:eastAsia="方正仿宋_GBK" w:cs="方正仿宋_GBK"/>
          <w:b w:val="0"/>
          <w:color w:val="auto"/>
          <w:kern w:val="0"/>
          <w:sz w:val="32"/>
          <w:szCs w:val="32"/>
          <w:shd w:val="clear" w:fill="FFFFFF"/>
        </w:rPr>
        <w:t>的减少造成</w:t>
      </w:r>
      <w:r>
        <w:rPr>
          <w:rFonts w:hint="eastAsia" w:ascii="方正仿宋_GBK" w:hAnsi="方正仿宋_GBK" w:eastAsia="方正仿宋_GBK" w:cs="方正仿宋_GBK"/>
          <w:b w:val="0"/>
          <w:color w:val="auto"/>
          <w:kern w:val="0"/>
          <w:sz w:val="32"/>
          <w:szCs w:val="32"/>
          <w:shd w:val="clear" w:fill="FFFFFF"/>
          <w:lang w:val="en-US" w:eastAsia="zh-CN"/>
        </w:rPr>
        <w:t>本年</w:t>
      </w:r>
      <w:r>
        <w:rPr>
          <w:rFonts w:hint="eastAsia" w:ascii="方正仿宋_GBK" w:hAnsi="方正仿宋_GBK" w:eastAsia="方正仿宋_GBK" w:cs="方正仿宋_GBK"/>
          <w:b w:val="0"/>
          <w:color w:val="auto"/>
          <w:kern w:val="0"/>
          <w:sz w:val="32"/>
          <w:szCs w:val="32"/>
          <w:shd w:val="clear" w:fill="FFFFFF"/>
        </w:rPr>
        <w:t>财政拨款收、支的减少。</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（三）一般公共预算财政拨款收入支出决算情况说明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 xml:space="preserve"> 1.</w:t>
      </w:r>
      <w:r>
        <w:rPr>
          <w:rStyle w:val="17"/>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color="auto" w:fill="FFFFFF"/>
          <w:lang w:val="en-US" w:eastAsia="zh-CN" w:bidi="ar-SA"/>
        </w:rPr>
        <w:t>2024年度一般公共预算财政拨款收入4,140.36万元，与2023年度相比，减少1,298.10万元，下降23.9%。主要原因2024年农林水收入的减少。较年初预算数减少6,834.79万元，下降62.3%。</w:t>
      </w:r>
      <w:r>
        <w:rPr>
          <w:rFonts w:hint="eastAsia" w:ascii="方正仿宋_GBK" w:hAnsi="方正仿宋_GBK" w:eastAsia="方正仿宋_GBK" w:cs="方正仿宋_GBK"/>
          <w:kern w:val="0"/>
          <w:sz w:val="32"/>
          <w:szCs w:val="32"/>
          <w:shd w:val="clear" w:fill="FFFFFF"/>
        </w:rPr>
        <w:t>主要原因是部分项目资金二次分配进行了预算调减及农业、水利项目实施周期较长，需要跨年实施完成</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此外，年初财政拨款结转和结</w:t>
      </w:r>
      <w:r>
        <w:rPr>
          <w:rFonts w:hint="eastAsia" w:ascii="Times New Roman" w:hAnsi="Times New Roman" w:eastAsia="方正仿宋_GBK" w:cs="Times New Roman"/>
          <w:kern w:val="0"/>
          <w:sz w:val="32"/>
          <w:szCs w:val="32"/>
          <w:shd w:val="clear" w:color="auto" w:fill="FFFFFF"/>
          <w:lang w:val="en-US" w:eastAsia="zh-CN" w:bidi="ar-SA"/>
        </w:rPr>
        <w:t>余0.00万</w:t>
      </w:r>
      <w:r>
        <w:rPr>
          <w:rFonts w:hint="eastAsia" w:ascii="方正仿宋_GBK" w:hAnsi="方正仿宋_GBK" w:eastAsia="方正仿宋_GBK" w:cs="方正仿宋_GBK"/>
          <w:kern w:val="0"/>
          <w:sz w:val="32"/>
          <w:szCs w:val="32"/>
          <w:shd w:val="clear" w:fill="FFFFFF"/>
        </w:rPr>
        <w:t>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2.</w:t>
      </w:r>
      <w:r>
        <w:rPr>
          <w:rStyle w:val="17"/>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color="auto" w:fill="FFFFFF"/>
          <w:lang w:val="en-US" w:eastAsia="zh-CN" w:bidi="ar-SA"/>
        </w:rPr>
        <w:t>2024年度一般公共预算财政拨款支出4,140.36万元，与2023年度相比，减少1,298.10万元，</w:t>
      </w:r>
      <w:r>
        <w:rPr>
          <w:rFonts w:ascii="方正仿宋_GBK" w:hAnsi="方正仿宋_GBK" w:eastAsia="方正仿宋_GBK" w:cs="方正仿宋_GBK"/>
          <w:sz w:val="32"/>
          <w:szCs w:val="32"/>
          <w:shd w:val="clear" w:color="auto" w:fill="FFFFFF"/>
        </w:rPr>
        <w:t>下降</w:t>
      </w:r>
      <w:r>
        <w:rPr>
          <w:rFonts w:hint="eastAsia" w:ascii="Times New Roman" w:hAnsi="Times New Roman" w:eastAsia="方正仿宋_GBK" w:cs="Times New Roman"/>
          <w:kern w:val="0"/>
          <w:sz w:val="32"/>
          <w:szCs w:val="32"/>
          <w:shd w:val="clear" w:color="auto" w:fill="FFFFFF"/>
          <w:lang w:val="en-US" w:eastAsia="zh-CN" w:bidi="ar-SA"/>
        </w:rPr>
        <w:t>23.9%。主要原因是2024年农林水支出的减少。较年初预算数减少6,834.79万元，下降62.3%。</w:t>
      </w:r>
      <w:r>
        <w:rPr>
          <w:rFonts w:hint="eastAsia" w:ascii="方正仿宋_GBK" w:hAnsi="方正仿宋_GBK" w:eastAsia="方正仿宋_GBK" w:cs="方正仿宋_GBK"/>
          <w:kern w:val="0"/>
          <w:sz w:val="32"/>
          <w:szCs w:val="32"/>
          <w:shd w:val="clear" w:fill="FFFFFF"/>
        </w:rPr>
        <w:t>主要原因是部分项目资金二次分配进行了预算调减及农业、水利项目实施周期较长，需要跨年实施完成。</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3.</w:t>
      </w:r>
      <w:r>
        <w:rPr>
          <w:rStyle w:val="17"/>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color="auto" w:fill="FFFFFF"/>
          <w:lang w:val="en-US" w:eastAsia="zh-CN" w:bidi="ar-SA"/>
        </w:rPr>
        <w:t>2024年度年末一般公共预算财政拨款结转和结余0.00万元，与2023年</w:t>
      </w:r>
      <w:r>
        <w:rPr>
          <w:rFonts w:ascii="方正仿宋_GBK" w:hAnsi="方正仿宋_GBK" w:eastAsia="方正仿宋_GBK" w:cs="方正仿宋_GBK"/>
          <w:sz w:val="32"/>
          <w:szCs w:val="32"/>
          <w:shd w:val="clear" w:color="auto" w:fill="FFFFFF"/>
        </w:rPr>
        <w:t>度相比，无增减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4.</w:t>
      </w:r>
      <w:r>
        <w:rPr>
          <w:rStyle w:val="17"/>
          <w:rFonts w:hint="eastAsia" w:ascii="方正仿宋_GBK" w:hAnsi="方正仿宋_GBK" w:eastAsia="方正仿宋_GBK" w:cs="方正仿宋_GBK"/>
          <w:b/>
          <w:kern w:val="0"/>
          <w:sz w:val="32"/>
          <w:szCs w:val="32"/>
          <w:shd w:val="clear" w:fill="FFFFFF"/>
        </w:rPr>
        <w:t>比较情况。</w:t>
      </w: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单位</w:t>
      </w:r>
      <w:r>
        <w:rPr>
          <w:rFonts w:hint="eastAsia" w:ascii="Times New Roman" w:hAnsi="Times New Roman" w:eastAsia="方正仿宋_GBK" w:cs="Times New Roman"/>
          <w:kern w:val="0"/>
          <w:sz w:val="32"/>
          <w:szCs w:val="32"/>
          <w:shd w:val="clear" w:color="auto" w:fill="FFFFFF"/>
          <w:lang w:val="en-US" w:eastAsia="zh-CN" w:bidi="ar-SA"/>
        </w:rPr>
        <w:t>2024年度</w:t>
      </w:r>
      <w:r>
        <w:rPr>
          <w:rFonts w:hint="eastAsia" w:ascii="方正仿宋_GBK" w:hAnsi="方正仿宋_GBK" w:eastAsia="方正仿宋_GBK" w:cs="方正仿宋_GBK"/>
          <w:kern w:val="0"/>
          <w:sz w:val="32"/>
          <w:szCs w:val="32"/>
          <w:shd w:val="clear" w:fill="FFFFFF"/>
        </w:rPr>
        <w:t>一般公共预算财政拨款支出主要用于以下几个方面：</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ascii="方正仿宋_GBK" w:hAnsi="方正仿宋_GBK" w:eastAsia="方正仿宋_GBK" w:cs="方正仿宋_GBK"/>
          <w:sz w:val="32"/>
          <w:szCs w:val="32"/>
          <w:shd w:val="clear" w:color="auto" w:fill="FFFFFF"/>
        </w:rPr>
        <w:t>一般公共服务支出</w:t>
      </w:r>
      <w:r>
        <w:rPr>
          <w:rFonts w:hint="eastAsia" w:ascii="Times New Roman" w:hAnsi="Times New Roman" w:eastAsia="方正仿宋_GBK" w:cs="Times New Roman"/>
          <w:kern w:val="0"/>
          <w:sz w:val="32"/>
          <w:szCs w:val="32"/>
          <w:shd w:val="clear" w:color="auto" w:fill="FFFFFF"/>
          <w:lang w:val="en-US" w:eastAsia="zh-CN" w:bidi="ar-SA"/>
        </w:rPr>
        <w:t>2.61万元，占0.06%，较年初预算数增加2.61万元，增长100.0%，主要原因是追</w:t>
      </w:r>
      <w:r>
        <w:rPr>
          <w:rFonts w:hint="eastAsia" w:ascii="方正仿宋_GBK" w:hAnsi="方正仿宋_GBK" w:eastAsia="方正仿宋_GBK" w:cs="方正仿宋_GBK"/>
          <w:kern w:val="0"/>
          <w:sz w:val="32"/>
          <w:szCs w:val="32"/>
          <w:shd w:val="clear" w:fill="FFFFFF"/>
        </w:rPr>
        <w:t>加市级党外代表人士经费。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w:t>
      </w:r>
      <w:r>
        <w:rPr>
          <w:rFonts w:ascii="方正仿宋_GBK" w:hAnsi="方正仿宋_GBK" w:eastAsia="方正仿宋_GBK" w:cs="方正仿宋_GBK"/>
          <w:sz w:val="32"/>
          <w:szCs w:val="32"/>
          <w:shd w:val="clear" w:color="auto" w:fill="FFFFFF"/>
        </w:rPr>
        <w:t>社会保障与就业支</w:t>
      </w:r>
      <w:r>
        <w:rPr>
          <w:rFonts w:hint="eastAsia" w:ascii="Times New Roman" w:hAnsi="Times New Roman" w:eastAsia="方正仿宋_GBK" w:cs="Times New Roman"/>
          <w:kern w:val="0"/>
          <w:sz w:val="32"/>
          <w:szCs w:val="32"/>
          <w:shd w:val="clear" w:color="auto" w:fill="FFFFFF"/>
          <w:lang w:val="en-US" w:eastAsia="zh-CN" w:bidi="ar-SA"/>
        </w:rPr>
        <w:t>出120.73万元，占2.92%，较年初预算数增加3.71万元，增长3.2%，</w:t>
      </w:r>
      <w:r>
        <w:rPr>
          <w:rFonts w:hint="eastAsia" w:ascii="方正仿宋_GBK" w:hAnsi="方正仿宋_GBK" w:eastAsia="方正仿宋_GBK" w:cs="方正仿宋_GBK"/>
          <w:kern w:val="0"/>
          <w:sz w:val="32"/>
          <w:szCs w:val="32"/>
          <w:shd w:val="clear" w:fill="FFFFFF"/>
        </w:rPr>
        <w:t xml:space="preserve">主要原因是追加退休中人一次性补助。        </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kern w:val="0"/>
          <w:sz w:val="32"/>
          <w:szCs w:val="32"/>
          <w:shd w:val="clear" w:fill="FFFFFF"/>
        </w:rPr>
        <w:t>（3）</w:t>
      </w:r>
      <w:r>
        <w:rPr>
          <w:rFonts w:ascii="方正仿宋_GBK" w:hAnsi="方正仿宋_GBK" w:eastAsia="方正仿宋_GBK" w:cs="方正仿宋_GBK"/>
          <w:sz w:val="32"/>
          <w:szCs w:val="32"/>
          <w:shd w:val="clear" w:color="auto" w:fill="FFFFFF"/>
        </w:rPr>
        <w:t>卫生健康支</w:t>
      </w:r>
      <w:r>
        <w:rPr>
          <w:rFonts w:hint="eastAsia" w:ascii="Times New Roman" w:hAnsi="Times New Roman" w:eastAsia="方正仿宋_GBK" w:cs="Times New Roman"/>
          <w:kern w:val="0"/>
          <w:sz w:val="32"/>
          <w:szCs w:val="32"/>
          <w:shd w:val="clear" w:color="auto" w:fill="FFFFFF"/>
          <w:lang w:val="en-US" w:eastAsia="zh-CN" w:bidi="ar-SA"/>
        </w:rPr>
        <w:t>出28.33万元，占0.68%，较年初预算数减少0.12万元，下降0.4%，</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人员</w:t>
      </w:r>
      <w:r>
        <w:rPr>
          <w:rFonts w:hint="eastAsia" w:ascii="方正仿宋_GBK" w:hAnsi="方正仿宋_GBK" w:eastAsia="方正仿宋_GBK" w:cs="方正仿宋_GBK"/>
          <w:b w:val="0"/>
          <w:color w:val="auto"/>
          <w:kern w:val="0"/>
          <w:sz w:val="32"/>
          <w:szCs w:val="32"/>
          <w:shd w:val="clear" w:fill="FFFFFF"/>
          <w:lang w:val="en-US" w:eastAsia="zh-CN"/>
        </w:rPr>
        <w:t>调入、退休</w:t>
      </w:r>
      <w:r>
        <w:rPr>
          <w:rFonts w:hint="eastAsia" w:ascii="方正仿宋_GBK" w:hAnsi="方正仿宋_GBK" w:eastAsia="方正仿宋_GBK" w:cs="方正仿宋_GBK"/>
          <w:b w:val="0"/>
          <w:color w:val="auto"/>
          <w:kern w:val="0"/>
          <w:sz w:val="32"/>
          <w:szCs w:val="32"/>
          <w:shd w:val="clear" w:fill="FFFFFF"/>
        </w:rPr>
        <w:t>减少支出。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（4）</w:t>
      </w:r>
      <w:r>
        <w:rPr>
          <w:rFonts w:ascii="方正仿宋_GBK" w:hAnsi="方正仿宋_GBK" w:eastAsia="方正仿宋_GBK" w:cs="方正仿宋_GBK"/>
          <w:sz w:val="32"/>
          <w:szCs w:val="32"/>
          <w:shd w:val="clear" w:color="auto" w:fill="FFFFFF"/>
        </w:rPr>
        <w:t>节能环保支</w:t>
      </w:r>
      <w:r>
        <w:rPr>
          <w:rFonts w:hint="eastAsia" w:ascii="Times New Roman" w:hAnsi="Times New Roman" w:eastAsia="方正仿宋_GBK" w:cs="Times New Roman"/>
          <w:kern w:val="0"/>
          <w:sz w:val="32"/>
          <w:szCs w:val="32"/>
          <w:shd w:val="clear" w:color="auto" w:fill="FFFFFF"/>
          <w:lang w:val="en-US" w:eastAsia="zh-CN" w:bidi="ar-SA"/>
        </w:rPr>
        <w:t>出306.71万元，占7.41%，较年初预算数增加306.71万元，增长100.0%，</w:t>
      </w:r>
      <w:r>
        <w:rPr>
          <w:rFonts w:hint="eastAsia" w:ascii="方正仿宋_GBK" w:hAnsi="方正仿宋_GBK" w:eastAsia="方正仿宋_GBK" w:cs="方正仿宋_GBK"/>
          <w:kern w:val="0"/>
          <w:sz w:val="32"/>
          <w:szCs w:val="32"/>
          <w:shd w:val="clear" w:fill="FFFFFF"/>
        </w:rPr>
        <w:t>主要原因是追加九龙坡区长江生物多样性保护工程项目和受污染耕地安全利用示范项目</w:t>
      </w:r>
      <w:r>
        <w:rPr>
          <w:rFonts w:hint="eastAsia" w:ascii="方正仿宋_GBK" w:hAnsi="方正仿宋_GBK" w:eastAsia="方正仿宋_GBK" w:cs="方正仿宋_GBK"/>
          <w:kern w:val="0"/>
          <w:sz w:val="32"/>
          <w:szCs w:val="32"/>
          <w:shd w:val="clear" w:fill="FFFFFF"/>
          <w:lang w:val="en-US" w:eastAsia="zh-CN"/>
        </w:rPr>
        <w:t>经费</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（5）</w:t>
      </w:r>
      <w:r>
        <w:rPr>
          <w:rFonts w:ascii="方正仿宋_GBK" w:hAnsi="方正仿宋_GBK" w:eastAsia="方正仿宋_GBK" w:cs="方正仿宋_GBK"/>
          <w:sz w:val="32"/>
          <w:szCs w:val="32"/>
          <w:shd w:val="clear" w:color="auto" w:fill="FFFFFF"/>
        </w:rPr>
        <w:t>农林水支出</w:t>
      </w:r>
      <w:r>
        <w:rPr>
          <w:rFonts w:hint="eastAsia" w:ascii="Times New Roman" w:hAnsi="Times New Roman" w:eastAsia="方正仿宋_GBK" w:cs="Times New Roman"/>
          <w:kern w:val="0"/>
          <w:sz w:val="32"/>
          <w:szCs w:val="32"/>
          <w:shd w:val="clear" w:color="auto" w:fill="FFFFFF"/>
          <w:lang w:val="en-US" w:eastAsia="zh-CN" w:bidi="ar-SA"/>
        </w:rPr>
        <w:t>3,650.05万元，占88.16%，较年初预算数减少7,145.43万元，下降66.2%，</w:t>
      </w:r>
      <w:r>
        <w:rPr>
          <w:rFonts w:hint="eastAsia" w:ascii="方正仿宋_GBK" w:hAnsi="方正仿宋_GBK" w:eastAsia="方正仿宋_GBK" w:cs="方正仿宋_GBK"/>
          <w:kern w:val="0"/>
          <w:sz w:val="32"/>
          <w:szCs w:val="32"/>
          <w:shd w:val="clear" w:fill="FFFFFF"/>
        </w:rPr>
        <w:t>主要原因是部分项目资金二次分配进行了预算调减及农业、水利项目实施周期较长，需要跨年实施完成。</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kern w:val="0"/>
          <w:sz w:val="32"/>
          <w:szCs w:val="32"/>
          <w:shd w:val="clear" w:fill="FFFFFF"/>
        </w:rPr>
        <w:t>（6）</w:t>
      </w:r>
      <w:r>
        <w:rPr>
          <w:rFonts w:ascii="方正仿宋_GBK" w:hAnsi="方正仿宋_GBK" w:eastAsia="方正仿宋_GBK" w:cs="方正仿宋_GBK"/>
          <w:sz w:val="32"/>
          <w:szCs w:val="32"/>
        </w:rPr>
        <w:t>住房保障支出</w:t>
      </w:r>
      <w:r>
        <w:rPr>
          <w:rFonts w:hint="eastAsia" w:ascii="Times New Roman" w:hAnsi="Times New Roman" w:eastAsia="方正仿宋_GBK" w:cs="Times New Roman"/>
          <w:kern w:val="0"/>
          <w:sz w:val="32"/>
          <w:szCs w:val="32"/>
          <w:shd w:val="clear" w:color="auto" w:fill="FFFFFF"/>
          <w:lang w:val="en-US" w:eastAsia="zh-CN" w:bidi="ar-SA"/>
        </w:rPr>
        <w:t>31.92万元，占0.77%，较年初预算数减少2.28万元，下降6.7%，</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kern w:val="0"/>
          <w:sz w:val="32"/>
          <w:szCs w:val="32"/>
          <w:shd w:val="clear" w:fill="FFFFFF"/>
        </w:rPr>
        <w:t>要原因是</w:t>
      </w:r>
      <w:r>
        <w:rPr>
          <w:rFonts w:hint="eastAsia" w:ascii="方正仿宋_GBK" w:hAnsi="方正仿宋_GBK" w:eastAsia="方正仿宋_GBK" w:cs="方正仿宋_GBK"/>
          <w:b w:val="0"/>
          <w:color w:val="auto"/>
          <w:kern w:val="0"/>
          <w:sz w:val="32"/>
          <w:szCs w:val="32"/>
          <w:shd w:val="clear" w:fill="FFFFFF"/>
        </w:rPr>
        <w:t>人员</w:t>
      </w:r>
      <w:r>
        <w:rPr>
          <w:rFonts w:hint="eastAsia" w:ascii="方正仿宋_GBK" w:hAnsi="方正仿宋_GBK" w:eastAsia="方正仿宋_GBK" w:cs="方正仿宋_GBK"/>
          <w:b w:val="0"/>
          <w:color w:val="auto"/>
          <w:kern w:val="0"/>
          <w:sz w:val="32"/>
          <w:szCs w:val="32"/>
          <w:shd w:val="clear" w:fill="FFFFFF"/>
          <w:lang w:val="en-US" w:eastAsia="zh-CN"/>
        </w:rPr>
        <w:t>调入、退休</w:t>
      </w:r>
      <w:r>
        <w:rPr>
          <w:rFonts w:hint="eastAsia" w:ascii="方正仿宋_GBK" w:hAnsi="方正仿宋_GBK" w:eastAsia="方正仿宋_GBK" w:cs="方正仿宋_GBK"/>
          <w:b w:val="0"/>
          <w:color w:val="auto"/>
          <w:kern w:val="0"/>
          <w:sz w:val="32"/>
          <w:szCs w:val="32"/>
          <w:shd w:val="clear" w:fill="FFFFFF"/>
        </w:rPr>
        <w:t>减少支出。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（四）一般公共预算财政拨款基本支出决算情况说明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 2024年度一般公共财政拨款基本支出576.55万元。其中：人员经费446.86万元，与2023年度相比，减少277.00万元，下降38.3%，主要原因是2023年聘用人员费</w:t>
      </w:r>
      <w:r>
        <w:rPr>
          <w:rFonts w:hint="eastAsia" w:ascii="方正仿宋_GBK" w:hAnsi="方正仿宋_GBK" w:eastAsia="方正仿宋_GBK" w:cs="方正仿宋_GBK"/>
          <w:color w:val="auto"/>
          <w:kern w:val="0"/>
          <w:sz w:val="32"/>
          <w:szCs w:val="32"/>
          <w:shd w:val="clear" w:fill="FFFFFF"/>
          <w:lang w:val="en-US" w:eastAsia="zh-CN"/>
        </w:rPr>
        <w:t>用预算纳入</w:t>
      </w:r>
      <w:r>
        <w:rPr>
          <w:rFonts w:hint="eastAsia" w:ascii="方正仿宋_GBK" w:hAnsi="方正仿宋_GBK" w:eastAsia="方正仿宋_GBK" w:cs="方正仿宋_GBK"/>
          <w:color w:val="auto"/>
          <w:kern w:val="0"/>
          <w:sz w:val="32"/>
          <w:szCs w:val="32"/>
          <w:shd w:val="clear" w:fill="FFFFFF"/>
        </w:rPr>
        <w:t>人员经费</w:t>
      </w:r>
      <w:r>
        <w:rPr>
          <w:rFonts w:hint="eastAsia" w:ascii="方正仿宋_GBK" w:hAnsi="方正仿宋_GBK" w:eastAsia="方正仿宋_GBK" w:cs="方正仿宋_GBK"/>
          <w:color w:val="auto"/>
          <w:kern w:val="0"/>
          <w:sz w:val="32"/>
          <w:szCs w:val="32"/>
          <w:shd w:val="clear" w:fill="FFFFFF"/>
          <w:lang w:val="en-US" w:eastAsia="zh-CN"/>
        </w:rPr>
        <w:t>并</w:t>
      </w:r>
      <w:r>
        <w:rPr>
          <w:rFonts w:hint="eastAsia" w:ascii="方正仿宋_GBK" w:hAnsi="方正仿宋_GBK" w:eastAsia="方正仿宋_GBK" w:cs="方正仿宋_GBK"/>
          <w:color w:val="auto"/>
          <w:kern w:val="0"/>
          <w:sz w:val="32"/>
          <w:szCs w:val="32"/>
          <w:shd w:val="clear" w:fill="FFFFFF"/>
        </w:rPr>
        <w:t>发放退休人员死亡抚恤丧葬费。人员经费用途主要包括基本工资、津贴补贴、社会保障缴费等。</w:t>
      </w:r>
      <w:r>
        <w:rPr>
          <w:rFonts w:ascii="方正仿宋_GBK" w:hAnsi="方正仿宋_GBK" w:eastAsia="方正仿宋_GBK" w:cs="方正仿宋_GBK"/>
          <w:color w:val="auto"/>
          <w:sz w:val="32"/>
          <w:szCs w:val="32"/>
          <w:shd w:val="clear" w:color="auto" w:fill="FFFFFF"/>
        </w:rPr>
        <w:t>公用经费</w:t>
      </w:r>
      <w:r>
        <w:rPr>
          <w:rFonts w:hint="eastAsia" w:ascii="Times New Roman" w:hAnsi="Times New Roman" w:eastAsia="方正仿宋_GBK" w:cs="Times New Roman"/>
          <w:kern w:val="0"/>
          <w:sz w:val="32"/>
          <w:szCs w:val="32"/>
          <w:shd w:val="clear" w:color="auto" w:fill="FFFFFF"/>
          <w:lang w:val="en-US" w:eastAsia="zh-CN" w:bidi="ar-SA"/>
        </w:rPr>
        <w:t>129.69万元，与2023年度相比，增加13.28万元，增长11.4%，</w:t>
      </w:r>
      <w:r>
        <w:rPr>
          <w:rFonts w:hint="eastAsia" w:ascii="方正仿宋_GBK" w:hAnsi="方正仿宋_GBK" w:eastAsia="方正仿宋_GBK" w:cs="方正仿宋_GBK"/>
          <w:color w:val="auto"/>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为保障本单位正常运转，完成日常工作任务统筹使用全委公用经费。</w:t>
      </w:r>
      <w:r>
        <w:rPr>
          <w:rFonts w:hint="eastAsia" w:ascii="方正仿宋_GBK" w:hAnsi="方正仿宋_GBK" w:eastAsia="方正仿宋_GBK" w:cs="方正仿宋_GBK"/>
          <w:kern w:val="0"/>
          <w:sz w:val="32"/>
          <w:szCs w:val="32"/>
          <w:shd w:val="clear" w:fill="FFFFFF"/>
        </w:rPr>
        <w:t>公用经费用途主要包括办公费、咨询费、邮电费、维修（护）费、福利费、办公用房水电费、办公用房物业管理费、其他商品服务和支出等。</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Style w:val="12"/>
          <w:rFonts w:hint="eastAsia" w:ascii="楷体" w:hAnsi="楷体" w:eastAsia="楷体" w:cs="楷体"/>
          <w:kern w:val="0"/>
          <w:sz w:val="32"/>
          <w:szCs w:val="32"/>
          <w:shd w:val="clear" w:color="auto" w:fill="FFFFFF"/>
          <w:lang w:val="en-US" w:eastAsia="zh-CN" w:bidi="ar-SA"/>
        </w:rPr>
        <w:t>（五）政府性基金预算收支决算情况说明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2024年度政府性基金预算财政拨款年初结转结余0.00万元，年末结转结余0.00万元。本年收入28.66万元，与2023</w:t>
      </w:r>
      <w:r>
        <w:rPr>
          <w:rFonts w:ascii="方正仿宋_GBK" w:hAnsi="方正仿宋_GBK" w:eastAsia="方正仿宋_GBK" w:cs="方正仿宋_GBK"/>
          <w:sz w:val="32"/>
          <w:szCs w:val="32"/>
          <w:shd w:val="clear" w:color="auto" w:fill="FFFFFF"/>
        </w:rPr>
        <w:t>年度相比，</w:t>
      </w:r>
      <w:r>
        <w:rPr>
          <w:rFonts w:hint="eastAsia" w:ascii="Times New Roman" w:hAnsi="Times New Roman" w:eastAsia="方正仿宋_GBK" w:cs="Times New Roman"/>
          <w:kern w:val="0"/>
          <w:sz w:val="32"/>
          <w:szCs w:val="32"/>
          <w:shd w:val="clear" w:color="auto" w:fill="FFFFFF"/>
          <w:lang w:val="en-US" w:eastAsia="zh-CN" w:bidi="ar-SA"/>
        </w:rPr>
        <w:t>增加4.42万元，增长18.2%，主要原因是加快2024</w:t>
      </w:r>
      <w:r>
        <w:rPr>
          <w:rFonts w:hint="eastAsia" w:ascii="方正仿宋_GBK" w:hAnsi="方正仿宋_GBK" w:eastAsia="方正仿宋_GBK" w:cs="方正仿宋_GBK"/>
          <w:kern w:val="0"/>
          <w:sz w:val="32"/>
          <w:szCs w:val="32"/>
          <w:shd w:val="clear" w:fill="FFFFFF"/>
        </w:rPr>
        <w:t>年水库移民扶持基金项目实施进度造成本年收入增加。</w:t>
      </w:r>
      <w:r>
        <w:rPr>
          <w:rFonts w:ascii="方正仿宋_GBK" w:hAnsi="方正仿宋_GBK" w:eastAsia="方正仿宋_GBK" w:cs="方正仿宋_GBK"/>
          <w:sz w:val="32"/>
          <w:szCs w:val="32"/>
          <w:shd w:val="clear" w:color="auto" w:fill="FFFFFF"/>
        </w:rPr>
        <w:t>本年支出</w:t>
      </w:r>
      <w:r>
        <w:rPr>
          <w:rFonts w:hint="eastAsia" w:ascii="Times New Roman" w:hAnsi="Times New Roman" w:eastAsia="方正仿宋_GBK" w:cs="Times New Roman"/>
          <w:kern w:val="0"/>
          <w:sz w:val="32"/>
          <w:szCs w:val="32"/>
          <w:shd w:val="clear" w:color="auto" w:fill="FFFFFF"/>
          <w:lang w:val="en-US" w:eastAsia="zh-CN" w:bidi="ar-SA"/>
        </w:rPr>
        <w:t>28.66万元，与2023年度相比，增加4.42万元，增长18.2%，</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kern w:val="0"/>
          <w:sz w:val="32"/>
          <w:szCs w:val="32"/>
          <w:shd w:val="clear" w:fill="FFFFFF"/>
          <w:lang w:val="en-US" w:eastAsia="zh-CN"/>
        </w:rPr>
        <w:t>加</w:t>
      </w:r>
      <w:r>
        <w:rPr>
          <w:rFonts w:hint="eastAsia" w:ascii="Times New Roman" w:hAnsi="Times New Roman" w:eastAsia="方正仿宋_GBK" w:cs="Times New Roman"/>
          <w:kern w:val="0"/>
          <w:sz w:val="32"/>
          <w:szCs w:val="32"/>
          <w:shd w:val="clear" w:color="auto" w:fill="FFFFFF"/>
          <w:lang w:val="en-US" w:eastAsia="zh-CN" w:bidi="ar-SA"/>
        </w:rPr>
        <w:t>快2024年水</w:t>
      </w:r>
      <w:r>
        <w:rPr>
          <w:rFonts w:hint="eastAsia" w:ascii="方正仿宋_GBK" w:hAnsi="方正仿宋_GBK" w:eastAsia="方正仿宋_GBK" w:cs="方正仿宋_GBK"/>
          <w:kern w:val="0"/>
          <w:sz w:val="32"/>
          <w:szCs w:val="32"/>
          <w:shd w:val="clear" w:fill="FFFFFF"/>
        </w:rPr>
        <w:t>库移民扶持基金项目实施进度造成本年</w:t>
      </w:r>
      <w:r>
        <w:rPr>
          <w:rFonts w:hint="eastAsia" w:ascii="方正仿宋_GBK" w:hAnsi="方正仿宋_GBK" w:eastAsia="方正仿宋_GBK" w:cs="方正仿宋_GBK"/>
          <w:kern w:val="0"/>
          <w:sz w:val="32"/>
          <w:szCs w:val="32"/>
          <w:shd w:val="clear" w:fill="FFFFFF"/>
          <w:lang w:val="en-US" w:eastAsia="zh-CN"/>
        </w:rPr>
        <w:t>支出</w:t>
      </w:r>
      <w:r>
        <w:rPr>
          <w:rFonts w:hint="eastAsia" w:ascii="方正仿宋_GBK" w:hAnsi="方正仿宋_GBK" w:eastAsia="方正仿宋_GBK" w:cs="方正仿宋_GBK"/>
          <w:kern w:val="0"/>
          <w:sz w:val="32"/>
          <w:szCs w:val="32"/>
          <w:shd w:val="clear" w:fill="FFFFFF"/>
        </w:rPr>
        <w:t>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（六）国有资本经营预算财政拨款支出决算情况说明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单位</w:t>
      </w:r>
      <w:r>
        <w:rPr>
          <w:rFonts w:hint="eastAsia" w:ascii="Times New Roman" w:hAnsi="Times New Roman" w:eastAsia="方正仿宋_GBK" w:cs="Times New Roman"/>
          <w:kern w:val="0"/>
          <w:sz w:val="32"/>
          <w:szCs w:val="32"/>
          <w:shd w:val="clear" w:color="auto" w:fill="FFFFFF"/>
          <w:lang w:val="en-US" w:eastAsia="zh-CN" w:bidi="ar-SA"/>
        </w:rPr>
        <w:t>2024年度</w:t>
      </w:r>
      <w:r>
        <w:rPr>
          <w:rFonts w:hint="eastAsia" w:ascii="方正仿宋_GBK" w:hAnsi="方正仿宋_GBK" w:eastAsia="方正仿宋_GBK" w:cs="方正仿宋_GBK"/>
          <w:kern w:val="0"/>
          <w:sz w:val="32"/>
          <w:szCs w:val="32"/>
          <w:shd w:val="clear" w:fill="FFFFFF"/>
        </w:rPr>
        <w:t>无国有资本经营预算财政拨款支出。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宋体" w:cs="宋体"/>
          <w:kern w:val="0"/>
          <w:sz w:val="24"/>
          <w:szCs w:val="24"/>
          <w:shd w:val="clear" w:fill="FFFFFF"/>
        </w:rPr>
      </w:pPr>
      <w:r>
        <w:rPr>
          <w:rStyle w:val="12"/>
          <w:rFonts w:hint="eastAsia" w:ascii="黑体" w:hAnsi="黑体" w:eastAsia="黑体" w:cs="黑体"/>
          <w:kern w:val="0"/>
          <w:sz w:val="32"/>
          <w:szCs w:val="32"/>
          <w:shd w:val="clear" w:color="auto" w:fill="FFFFFF"/>
          <w:lang w:val="en-US" w:eastAsia="zh-CN" w:bidi="ar-SA"/>
        </w:rPr>
        <w:t>三、“三公”经费情况说明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（一）“三公”经费支出总体情况说明</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2024年度“三公”经费支出共计53.61万元，较年初预算数减少15.54万元，下降22.5%，主要原因是严格按照各项规定执行，厉行节约控制各项经费支出。较上年支出数减少1.33万元，下降2.4%，主要原因是厉行节约减少“三公”经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（二）“三公”经费分项支出情况</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2024年度本单位因公出国（境）费用0.00万元，主要是本单位2024年无因公出国</w:t>
      </w:r>
      <w:r>
        <w:rPr>
          <w:rFonts w:hint="eastAsia" w:ascii="Times New Roman" w:hAnsi="Times New Roman" w:eastAsia="方正仿宋_GBK" w:cs="Times New Roman"/>
          <w:kern w:val="0"/>
          <w:sz w:val="32"/>
          <w:szCs w:val="32"/>
          <w:shd w:val="clear" w:color="auto" w:fill="FFFFFF"/>
          <w:lang w:val="en-US" w:eastAsia="zh-CN" w:bidi="ar-SA"/>
        </w:rPr>
        <w:t>（境）的安排，未发生支出。费用支出较年初预算数和上年支出数无增减。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2024年度本单位公务车购置费16.54万元，主要用于事业单位业务用车。费用支出较年初预算数减少1.46万元，下降8.1%，主要原因是厉行节约，严格控制公务车购置费。较上年支出数增</w:t>
      </w:r>
      <w:r>
        <w:rPr>
          <w:rFonts w:hint="eastAsia" w:ascii="Times New Roman" w:hAnsi="Times New Roman" w:eastAsia="方正仿宋_GBK" w:cs="Times New Roman"/>
          <w:kern w:val="0"/>
          <w:sz w:val="32"/>
          <w:szCs w:val="32"/>
          <w:shd w:val="clear" w:color="auto" w:fill="FFFFFF"/>
          <w:lang w:val="en-US" w:eastAsia="zh-CN" w:bidi="ar-SA"/>
        </w:rPr>
        <w:t>加0.05万元，增长0.3%，主要原因是购置车辆品牌、型号不同造成增长。</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公务车运行维护</w:t>
      </w:r>
      <w:r>
        <w:rPr>
          <w:rFonts w:hint="eastAsia" w:ascii="Times New Roman" w:hAnsi="Times New Roman" w:eastAsia="方正仿宋_GBK" w:cs="Times New Roman"/>
          <w:kern w:val="0"/>
          <w:sz w:val="32"/>
          <w:szCs w:val="32"/>
          <w:shd w:val="clear" w:color="auto" w:fill="FFFFFF"/>
          <w:lang w:val="en-US" w:eastAsia="zh-CN" w:bidi="ar-SA"/>
        </w:rPr>
        <w:t>费35.62万元，主要用于机要文件交换、市内因公出行、业务检查等工作所需车辆的燃料费、维修费、过路费、保险费。费用支出较年初预算数减</w:t>
      </w:r>
      <w:r>
        <w:rPr>
          <w:rFonts w:hint="eastAsia" w:ascii="Times New Roman" w:hAnsi="Times New Roman" w:eastAsia="方正仿宋_GBK" w:cs="Times New Roman"/>
          <w:kern w:val="0"/>
          <w:sz w:val="32"/>
          <w:szCs w:val="32"/>
          <w:shd w:val="clear" w:color="auto" w:fill="FFFFFF"/>
          <w:lang w:val="en-US" w:eastAsia="zh-CN" w:bidi="ar-SA"/>
        </w:rPr>
        <w:t>少12.88万元，下</w:t>
      </w:r>
      <w:r>
        <w:rPr>
          <w:rFonts w:hint="eastAsia" w:ascii="Times New Roman" w:hAnsi="Times New Roman" w:eastAsia="方正仿宋_GBK" w:cs="Times New Roman"/>
          <w:kern w:val="0"/>
          <w:sz w:val="32"/>
          <w:szCs w:val="32"/>
          <w:shd w:val="clear" w:color="auto" w:fill="FFFFFF"/>
          <w:lang w:val="en-US" w:eastAsia="zh-CN" w:bidi="ar-SA"/>
        </w:rPr>
        <w:t>降26.6%，主要原因是严格落实公车使用规定，控制费用支出。较上年支出数减</w:t>
      </w:r>
      <w:r>
        <w:rPr>
          <w:rFonts w:hint="eastAsia" w:ascii="Times New Roman" w:hAnsi="Times New Roman" w:eastAsia="方正仿宋_GBK" w:cs="Times New Roman"/>
          <w:kern w:val="0"/>
          <w:sz w:val="32"/>
          <w:szCs w:val="32"/>
          <w:shd w:val="clear" w:color="auto" w:fill="FFFFFF"/>
          <w:lang w:val="en-US" w:eastAsia="zh-CN" w:bidi="ar-SA"/>
        </w:rPr>
        <w:t>少0.53万元，下降1.5%，主要原因是规范车辆使用管理，降低车辆运行维护成本。</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公务接待费</w:t>
      </w:r>
      <w:r>
        <w:rPr>
          <w:rFonts w:hint="eastAsia" w:ascii="Times New Roman" w:hAnsi="Times New Roman" w:eastAsia="方正仿宋_GBK" w:cs="Times New Roman"/>
          <w:kern w:val="0"/>
          <w:sz w:val="32"/>
          <w:szCs w:val="32"/>
          <w:shd w:val="clear" w:color="auto" w:fill="FFFFFF"/>
          <w:lang w:val="en-US" w:eastAsia="zh-CN" w:bidi="ar-SA"/>
        </w:rPr>
        <w:t>1.45万元，主要用于接待四川奉民科技集团有限公司、广东农垦农业发展有限公司、重庆千嘉佳农副产品有限公司招商。费用支出较年初预算数减</w:t>
      </w:r>
      <w:r>
        <w:rPr>
          <w:rFonts w:hint="eastAsia" w:ascii="Times New Roman" w:hAnsi="Times New Roman" w:eastAsia="方正仿宋_GBK" w:cs="Times New Roman"/>
          <w:kern w:val="0"/>
          <w:sz w:val="32"/>
          <w:szCs w:val="32"/>
          <w:shd w:val="clear" w:color="auto" w:fill="FFFFFF"/>
          <w:lang w:val="en-US" w:eastAsia="zh-CN" w:bidi="ar-SA"/>
        </w:rPr>
        <w:t>少1.20万元，下</w:t>
      </w:r>
      <w:r>
        <w:rPr>
          <w:rFonts w:hint="eastAsia" w:ascii="Times New Roman" w:hAnsi="Times New Roman" w:eastAsia="方正仿宋_GBK" w:cs="Times New Roman"/>
          <w:kern w:val="0"/>
          <w:sz w:val="32"/>
          <w:szCs w:val="32"/>
          <w:shd w:val="clear" w:color="auto" w:fill="FFFFFF"/>
          <w:lang w:val="en-US" w:eastAsia="zh-CN" w:bidi="ar-SA"/>
        </w:rPr>
        <w:t>降45.3%，主要原因是严格执行公务接待支出管理规定，厉行节约。较上年支出数减少</w:t>
      </w:r>
      <w:r>
        <w:rPr>
          <w:rFonts w:hint="eastAsia" w:ascii="Times New Roman" w:hAnsi="Times New Roman" w:eastAsia="方正仿宋_GBK" w:cs="Times New Roman"/>
          <w:kern w:val="0"/>
          <w:sz w:val="32"/>
          <w:szCs w:val="32"/>
          <w:shd w:val="clear" w:color="auto" w:fill="FFFFFF"/>
          <w:lang w:val="en-US" w:eastAsia="zh-CN" w:bidi="ar-SA"/>
        </w:rPr>
        <w:t>0.84万元，下降36.7%，主要原因是严格遵守公务接待开支范围和开支标准，控制陪餐人数，降低费用支出。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（三）“三公”经费实物量情况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度本单位因公出国（境）共计0个团组，0人；公务用车购置1辆，公务车保有量为11辆；国内公务接待15批次158人，其中：国内外事接待0批次，0人；国（境）外公务接待0批次，0人。2024年本单位人均接待费91.96元，车均购置费16.54万元，车均维护费3.24</w:t>
      </w:r>
      <w:r>
        <w:rPr>
          <w:rFonts w:hint="eastAsia" w:ascii="方正仿宋_GBK" w:hAnsi="方正仿宋_GBK" w:eastAsia="方正仿宋_GBK" w:cs="方正仿宋_GBK"/>
          <w:kern w:val="0"/>
          <w:sz w:val="32"/>
          <w:szCs w:val="32"/>
          <w:shd w:val="clear" w:fill="FFFFFF"/>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黑体" w:hAnsi="黑体" w:eastAsia="黑体" w:cs="黑体"/>
          <w:kern w:val="0"/>
          <w:sz w:val="32"/>
          <w:szCs w:val="32"/>
          <w:shd w:val="clear" w:color="auto" w:fill="FFFFFF"/>
          <w:lang w:val="en-US" w:eastAsia="zh-CN" w:bidi="ar-SA"/>
        </w:rPr>
      </w:pPr>
      <w:r>
        <w:rPr>
          <w:rStyle w:val="12"/>
          <w:rFonts w:hint="eastAsia" w:ascii="黑体" w:hAnsi="黑体" w:eastAsia="黑体" w:cs="黑体"/>
          <w:kern w:val="0"/>
          <w:sz w:val="32"/>
          <w:szCs w:val="32"/>
          <w:shd w:val="clear" w:color="auto" w:fill="FFFFFF"/>
          <w:lang w:val="en-US" w:eastAsia="zh-CN" w:bidi="ar-SA"/>
        </w:rPr>
        <w:t>四、其他需要说明的事项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宋体" w:cs="宋体"/>
          <w:kern w:val="0"/>
          <w:sz w:val="24"/>
          <w:szCs w:val="24"/>
          <w:shd w:val="clear" w:fill="FFFFFF"/>
        </w:rPr>
      </w:pPr>
      <w:r>
        <w:rPr>
          <w:rStyle w:val="12"/>
          <w:rFonts w:hint="eastAsia" w:ascii="楷体" w:hAnsi="楷体" w:eastAsia="楷体" w:cs="楷体"/>
          <w:kern w:val="0"/>
          <w:sz w:val="32"/>
          <w:szCs w:val="32"/>
          <w:shd w:val="clear" w:color="auto" w:fill="FFFFFF"/>
          <w:lang w:val="en-US" w:eastAsia="zh-CN" w:bidi="ar-SA"/>
        </w:rPr>
        <w:t>（一）财政拨款会议费和培训费情况说明</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0"/>
          <w:sz w:val="32"/>
          <w:szCs w:val="32"/>
          <w:shd w:val="clear" w:fill="FFFFFF"/>
        </w:rPr>
      </w:pPr>
      <w:r>
        <w:rPr>
          <w:rFonts w:ascii="方正仿宋_GBK" w:hAnsi="方正仿宋_GBK" w:eastAsia="方正仿宋_GBK" w:cs="方正仿宋_GBK"/>
          <w:sz w:val="32"/>
          <w:szCs w:val="32"/>
          <w:shd w:val="clear" w:color="auto" w:fill="FFFFFF"/>
        </w:rPr>
        <w:t>本年度会议费支</w:t>
      </w:r>
      <w:r>
        <w:rPr>
          <w:rFonts w:hint="eastAsia" w:ascii="Times New Roman" w:hAnsi="Times New Roman" w:eastAsia="方正仿宋_GBK" w:cs="Times New Roman"/>
          <w:kern w:val="0"/>
          <w:sz w:val="32"/>
          <w:szCs w:val="32"/>
          <w:shd w:val="clear" w:color="auto" w:fill="FFFFFF"/>
          <w:lang w:val="en-US" w:eastAsia="zh-CN" w:bidi="ar-SA"/>
        </w:rPr>
        <w:t>出3.92万元，与2023年度相比，增加0.87万元，增长28.5%，主要原因是推进工作顺利开展，增加业务工作会议。本年度培训费支出43.66万元，与2023年度相比，增加2.97万元，增长7.3%，</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lang w:val="en-US" w:eastAsia="zh-CN"/>
        </w:rPr>
        <w:t>工作需要开展业务培训指导工作实施</w:t>
      </w:r>
      <w:r>
        <w:rPr>
          <w:rFonts w:hint="eastAsia" w:ascii="方正仿宋_GBK" w:hAnsi="方正仿宋_GBK" w:eastAsia="方正仿宋_GBK" w:cs="方正仿宋_GBK"/>
          <w:b w:val="0"/>
          <w:color w:val="auto"/>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（二）机关运行经费支出情况说明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2024年度本单位机关运行经费支出129.69万元，</w:t>
      </w:r>
      <w:r>
        <w:rPr>
          <w:rFonts w:hint="eastAsia" w:ascii="方正仿宋_GBK" w:hAnsi="方正仿宋_GBK" w:eastAsia="方正仿宋_GBK" w:cs="方正仿宋_GBK"/>
          <w:kern w:val="0"/>
          <w:sz w:val="32"/>
          <w:szCs w:val="32"/>
          <w:shd w:val="clear" w:fill="FFFFFF"/>
        </w:rPr>
        <w:t>主要用于开支办公费、咨询费、邮电费、维修（护）费、福利费、公务用车运行维护费、办公用房水电费、办公用房物业管理费、其他商品服务和支出等。机关运行经费较上年决算数增</w:t>
      </w:r>
      <w:r>
        <w:rPr>
          <w:rFonts w:hint="eastAsia" w:ascii="Times New Roman" w:hAnsi="Times New Roman" w:eastAsia="方正仿宋_GBK" w:cs="Times New Roman"/>
          <w:kern w:val="0"/>
          <w:sz w:val="32"/>
          <w:szCs w:val="32"/>
          <w:shd w:val="clear" w:color="auto" w:fill="FFFFFF"/>
          <w:lang w:val="en-US" w:eastAsia="zh-CN" w:bidi="ar-SA"/>
        </w:rPr>
        <w:t>加13.28万元，增长11.4%，主要</w:t>
      </w:r>
      <w:r>
        <w:rPr>
          <w:rFonts w:hint="eastAsia" w:ascii="方正仿宋_GBK" w:hAnsi="方正仿宋_GBK" w:eastAsia="方正仿宋_GBK" w:cs="方正仿宋_GBK"/>
          <w:kern w:val="0"/>
          <w:sz w:val="32"/>
          <w:szCs w:val="32"/>
          <w:shd w:val="clear" w:fill="FFFFFF"/>
        </w:rPr>
        <w:t>原因是</w:t>
      </w:r>
      <w:r>
        <w:rPr>
          <w:rFonts w:hint="eastAsia" w:ascii="方正仿宋_GBK" w:hAnsi="方正仿宋_GBK" w:eastAsia="方正仿宋_GBK" w:cs="方正仿宋_GBK"/>
          <w:b w:val="0"/>
          <w:color w:val="auto"/>
          <w:kern w:val="0"/>
          <w:sz w:val="32"/>
          <w:szCs w:val="32"/>
          <w:shd w:val="clear" w:fill="FFFFFF"/>
        </w:rPr>
        <w:t>为保障本单位正常运转，完成日常工作任务统筹使用全委公用经费。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（三）国有资产占用情况说明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截至2</w:t>
      </w:r>
      <w:r>
        <w:rPr>
          <w:rFonts w:hint="eastAsia" w:ascii="Times New Roman" w:hAnsi="Times New Roman" w:eastAsia="方正仿宋_GBK" w:cs="Times New Roman"/>
          <w:kern w:val="0"/>
          <w:sz w:val="32"/>
          <w:szCs w:val="32"/>
          <w:shd w:val="clear" w:color="auto" w:fill="FFFFFF"/>
          <w:lang w:val="en-US" w:eastAsia="zh-CN" w:bidi="ar-SA"/>
        </w:rPr>
        <w:t>024年12月31日，本单位共有车辆11辆，其中，副部（省）级及以上领导用车0辆、主要领导干部用车0辆、机要通信用车0辆、应急保障用车5辆、执法执勤用车6辆，特种专业技术用车0辆，离退休干部用车0辆，其他用车0辆。单价100万元（含）以上设备（不含车辆）0台</w:t>
      </w:r>
      <w:r>
        <w:rPr>
          <w:rFonts w:hint="eastAsia" w:ascii="方正仿宋_GBK" w:hAnsi="方正仿宋_GBK" w:eastAsia="方正仿宋_GBK" w:cs="方正仿宋_GBK"/>
          <w:kern w:val="0"/>
          <w:sz w:val="32"/>
          <w:szCs w:val="32"/>
          <w:shd w:val="clear" w:fill="FFFFFF"/>
        </w:rPr>
        <w:t>（套）。</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2"/>
          <w:rFonts w:hint="eastAsia" w:ascii="楷体" w:hAnsi="楷体" w:eastAsia="楷体" w:cs="楷体"/>
          <w:kern w:val="0"/>
          <w:sz w:val="32"/>
          <w:szCs w:val="32"/>
          <w:shd w:val="clear" w:color="auto" w:fill="FFFFFF"/>
          <w:lang w:val="en-US" w:eastAsia="zh-CN" w:bidi="ar-SA"/>
        </w:rPr>
      </w:pPr>
      <w:r>
        <w:rPr>
          <w:rStyle w:val="12"/>
          <w:rFonts w:hint="eastAsia" w:ascii="楷体" w:hAnsi="楷体" w:eastAsia="楷体" w:cs="楷体"/>
          <w:kern w:val="0"/>
          <w:sz w:val="32"/>
          <w:szCs w:val="32"/>
          <w:shd w:val="clear" w:color="auto" w:fill="FFFFFF"/>
          <w:lang w:val="en-US" w:eastAsia="zh-CN" w:bidi="ar-SA"/>
        </w:rPr>
        <w:t>（四）政府采购支出说明</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2024年度本单位政府采购支出总额656.18万元，其中：政府采购货物支出521.57万元、政府采购工程支出134.61万元、政府采购服务支出0.00万元。授予中小企业合同金额656.18万元，占政府采购支出总额的100.00%，</w:t>
      </w:r>
      <w:r>
        <w:rPr>
          <w:rFonts w:ascii="方正仿宋_GBK" w:hAnsi="方正仿宋_GBK" w:eastAsia="方正仿宋_GBK" w:cs="方正仿宋_GBK"/>
          <w:sz w:val="32"/>
          <w:szCs w:val="32"/>
          <w:shd w:val="clear" w:color="auto" w:fill="FFFFFF"/>
        </w:rPr>
        <w:t>其中：授予小微企业合同金额</w:t>
      </w:r>
      <w:r>
        <w:rPr>
          <w:rFonts w:hint="eastAsia" w:ascii="Times New Roman" w:hAnsi="Times New Roman" w:eastAsia="方正仿宋_GBK" w:cs="Times New Roman"/>
          <w:kern w:val="0"/>
          <w:sz w:val="32"/>
          <w:szCs w:val="32"/>
          <w:shd w:val="clear" w:color="auto" w:fill="FFFFFF"/>
          <w:lang w:val="en-US" w:eastAsia="zh-CN" w:bidi="ar-SA"/>
        </w:rPr>
        <w:t>656.18万元，占政府采购支出总额的100.00 %。主要用于采购重</w:t>
      </w:r>
      <w:r>
        <w:rPr>
          <w:rFonts w:hint="eastAsia" w:ascii="方正仿宋_GBK" w:hAnsi="方正仿宋_GBK" w:eastAsia="方正仿宋_GBK" w:cs="方正仿宋_GBK"/>
          <w:kern w:val="0"/>
          <w:sz w:val="32"/>
          <w:szCs w:val="32"/>
          <w:shd w:val="clear" w:color="auto" w:fill="FFFFFF"/>
        </w:rPr>
        <w:t>庆市九龙坡区长江生物多样性保护工程项目、九龙坡区河湖智慧监管能力提升工程一期项目</w:t>
      </w:r>
      <w:r>
        <w:rPr>
          <w:rFonts w:hint="eastAsia" w:ascii="方正仿宋_GBK" w:hAnsi="方正仿宋_GBK" w:eastAsia="方正仿宋_GBK" w:cs="方正仿宋_GBK"/>
          <w:kern w:val="0"/>
          <w:sz w:val="32"/>
          <w:szCs w:val="32"/>
          <w:shd w:val="clear" w:color="auto" w:fill="FFFFFF"/>
          <w:lang w:eastAsia="zh-CN"/>
        </w:rPr>
        <w:t>、九龙坡区小型水库安全监测设施项目</w:t>
      </w:r>
      <w:r>
        <w:rPr>
          <w:rFonts w:hint="eastAsia" w:ascii="方正仿宋_GBK" w:hAnsi="方正仿宋_GBK" w:eastAsia="方正仿宋_GBK" w:cs="方正仿宋_GBK"/>
          <w:kern w:val="0"/>
          <w:sz w:val="32"/>
          <w:szCs w:val="32"/>
          <w:shd w:val="clear" w:color="auto" w:fill="FFFFFF"/>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Style w:val="12"/>
          <w:rFonts w:hint="eastAsia" w:ascii="黑体" w:hAnsi="黑体" w:eastAsia="黑体" w:cs="黑体"/>
          <w:sz w:val="32"/>
          <w:szCs w:val="32"/>
          <w:shd w:val="clear" w:color="auto" w:fill="FFFFFF"/>
          <w:lang w:val="en-US" w:eastAsia="zh-CN" w:bidi="ar-SA"/>
        </w:rPr>
      </w:pPr>
      <w:r>
        <w:rPr>
          <w:rStyle w:val="12"/>
          <w:rFonts w:hint="eastAsia" w:ascii="黑体" w:hAnsi="黑体" w:eastAsia="黑体" w:cs="黑体"/>
          <w:sz w:val="32"/>
          <w:szCs w:val="32"/>
          <w:shd w:val="clear" w:color="auto" w:fill="FFFFFF"/>
          <w:lang w:val="en-US" w:eastAsia="zh-CN" w:bidi="ar-SA"/>
        </w:rPr>
        <w:t>五、2024年度预算绩效管理情况说明</w:t>
      </w:r>
    </w:p>
    <w:p>
      <w:pPr>
        <w:pStyle w:val="1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（一）预算绩效管理工作开展情况</w:t>
      </w:r>
    </w:p>
    <w:p>
      <w:pPr>
        <w:keepNext w:val="0"/>
        <w:keepLines w:val="0"/>
        <w:pageBreakBefore w:val="0"/>
        <w:widowControl w:val="0"/>
        <w:tabs>
          <w:tab w:val="center" w:pos="4153"/>
          <w:tab w:val="left" w:pos="7275"/>
        </w:tabs>
        <w:kinsoku/>
        <w:wordWrap/>
        <w:overflowPunct/>
        <w:topLinePunct w:val="0"/>
        <w:bidi w:val="0"/>
        <w:spacing w:line="596" w:lineRule="exact"/>
        <w:ind w:firstLine="640" w:firstLineChars="200"/>
        <w:jc w:val="both"/>
        <w:textAlignment w:val="auto"/>
        <w:rPr>
          <w:rFonts w:hint="eastAsia" w:ascii="方正仿宋_GBK" w:hAnsi="方正仿宋_GBK" w:eastAsia="方正仿宋_GBK" w:cs="方正仿宋_GBK"/>
          <w:kern w:val="0"/>
          <w:sz w:val="32"/>
          <w:szCs w:val="32"/>
          <w:highlight w:val="yellow"/>
          <w:shd w:val="clear" w:color="050000"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rPr>
        <w:t>根据预算绩效管理要求，我单位对</w:t>
      </w:r>
      <w:r>
        <w:rPr>
          <w:rFonts w:hint="eastAsia" w:ascii="Times New Roman" w:hAnsi="Times New Roman" w:eastAsia="方正仿宋_GBK" w:cs="Times New Roman"/>
          <w:kern w:val="0"/>
          <w:sz w:val="32"/>
          <w:szCs w:val="32"/>
          <w:shd w:val="clear" w:color="auto" w:fill="FFFFFF"/>
          <w:lang w:val="en-US" w:eastAsia="zh-CN" w:bidi="ar-SA"/>
        </w:rPr>
        <w:t>87个二级项目开展了绩效自评，涉及财政拨款项目支出3592.47万</w:t>
      </w:r>
      <w:r>
        <w:rPr>
          <w:rFonts w:hint="eastAsia" w:ascii="方正仿宋_GBK" w:hAnsi="方正仿宋_GBK" w:eastAsia="方正仿宋_GBK" w:cs="方正仿宋_GBK"/>
          <w:kern w:val="0"/>
          <w:sz w:val="32"/>
          <w:szCs w:val="32"/>
          <w:shd w:val="clear" w:color="auto" w:fill="FFFFFF"/>
          <w:lang w:val="en-US" w:eastAsia="zh-CN"/>
        </w:rPr>
        <w:t>元。</w:t>
      </w:r>
    </w:p>
    <w:p>
      <w:pPr>
        <w:pStyle w:val="14"/>
        <w:widowControl/>
        <w:wordWrap/>
        <w:autoSpaceDE w:val="0"/>
        <w:adjustRightInd/>
        <w:snapToGrid/>
        <w:spacing w:before="0" w:beforeAutospacing="0" w:after="0" w:afterAutospacing="0" w:line="400" w:lineRule="exact"/>
        <w:ind w:left="0" w:leftChars="0" w:right="0" w:firstLine="0" w:firstLineChars="0"/>
        <w:jc w:val="center"/>
        <w:textAlignment w:val="auto"/>
        <w:outlineLvl w:val="9"/>
        <w:rPr>
          <w:rFonts w:hint="eastAsia" w:ascii="宋体" w:hAnsi="宋体" w:eastAsia="方正小标宋_GBK" w:cs="方正小标宋_GBK"/>
          <w:color w:val="000000"/>
          <w:kern w:val="0"/>
          <w:sz w:val="36"/>
          <w:szCs w:val="36"/>
          <w:lang w:val="en-US" w:eastAsia="zh-CN"/>
        </w:rPr>
      </w:pPr>
    </w:p>
    <w:p>
      <w:pPr>
        <w:pStyle w:val="14"/>
        <w:widowControl/>
        <w:wordWrap/>
        <w:autoSpaceDE w:val="0"/>
        <w:adjustRightInd/>
        <w:snapToGrid/>
        <w:spacing w:before="0" w:beforeAutospacing="0" w:after="0" w:afterAutospacing="0" w:line="400" w:lineRule="exact"/>
        <w:ind w:left="0" w:leftChars="0" w:right="0" w:firstLine="0" w:firstLineChars="0"/>
        <w:jc w:val="center"/>
        <w:textAlignment w:val="auto"/>
        <w:outlineLvl w:val="9"/>
        <w:rPr>
          <w:rFonts w:hint="eastAsia" w:ascii="宋体" w:hAnsi="宋体" w:eastAsia="方正小标宋_GBK" w:cs="方正小标宋_GBK"/>
          <w:color w:val="000000"/>
          <w:kern w:val="0"/>
          <w:sz w:val="36"/>
          <w:szCs w:val="36"/>
          <w:lang w:val="en-US" w:eastAsia="zh-CN"/>
        </w:rPr>
      </w:pPr>
      <w:bookmarkStart w:id="0" w:name="_GoBack"/>
      <w:bookmarkEnd w:id="0"/>
    </w:p>
    <w:p>
      <w:pPr>
        <w:pStyle w:val="14"/>
        <w:widowControl/>
        <w:wordWrap/>
        <w:autoSpaceDE w:val="0"/>
        <w:adjustRightInd/>
        <w:snapToGrid/>
        <w:spacing w:before="0" w:beforeAutospacing="0" w:after="0" w:afterAutospacing="0" w:line="400" w:lineRule="exact"/>
        <w:ind w:left="0" w:leftChars="0" w:right="0" w:firstLine="0" w:firstLineChars="0"/>
        <w:jc w:val="center"/>
        <w:textAlignment w:val="auto"/>
        <w:outlineLvl w:val="9"/>
        <w:rPr>
          <w:rFonts w:hint="eastAsia" w:ascii="宋体" w:hAnsi="宋体" w:eastAsia="方正小标宋_GBK" w:cs="方正小标宋_GBK"/>
          <w:color w:val="000000"/>
          <w:kern w:val="0"/>
          <w:sz w:val="36"/>
          <w:szCs w:val="36"/>
          <w:lang w:val="en-US" w:eastAsia="zh-CN"/>
        </w:rPr>
      </w:pPr>
      <w:r>
        <w:rPr>
          <w:rFonts w:hint="eastAsia" w:ascii="宋体" w:hAnsi="宋体" w:eastAsia="方正小标宋_GBK" w:cs="方正小标宋_GBK"/>
          <w:color w:val="000000"/>
          <w:kern w:val="0"/>
          <w:sz w:val="36"/>
          <w:szCs w:val="36"/>
          <w:lang w:val="en-US" w:eastAsia="zh-CN"/>
        </w:rPr>
        <w:t>重庆市九龙坡区农业农村委员会</w:t>
      </w:r>
      <w:r>
        <w:rPr>
          <w:rFonts w:hint="eastAsia" w:eastAsia="方正小标宋_GBK" w:cs="方正小标宋_GBK"/>
          <w:color w:val="000000"/>
          <w:kern w:val="0"/>
          <w:sz w:val="36"/>
          <w:szCs w:val="36"/>
          <w:lang w:val="en-US" w:eastAsia="zh-CN"/>
        </w:rPr>
        <w:t>（本级）</w:t>
      </w:r>
    </w:p>
    <w:p>
      <w:pPr>
        <w:tabs>
          <w:tab w:val="center" w:pos="4153"/>
          <w:tab w:val="left" w:pos="7275"/>
        </w:tabs>
        <w:spacing w:line="596" w:lineRule="exact"/>
        <w:jc w:val="center"/>
        <w:rPr>
          <w:rFonts w:cs="宋体"/>
          <w:kern w:val="0"/>
          <w:szCs w:val="32"/>
        </w:rPr>
      </w:pPr>
      <w:r>
        <w:rPr>
          <w:rFonts w:hint="eastAsia" w:ascii="宋体" w:hAnsi="宋体" w:eastAsia="方正小标宋_GBK" w:cs="方正小标宋_GBK"/>
          <w:color w:val="000000"/>
          <w:kern w:val="0"/>
          <w:sz w:val="36"/>
          <w:szCs w:val="36"/>
          <w:lang w:val="en-US" w:eastAsia="zh-CN"/>
        </w:rPr>
        <w:t>2024年度项目支出绩效自评表</w:t>
      </w:r>
    </w:p>
    <w:tbl>
      <w:tblPr>
        <w:tblStyle w:val="10"/>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11"/>
        <w:gridCol w:w="1960"/>
        <w:gridCol w:w="675"/>
        <w:gridCol w:w="720"/>
        <w:gridCol w:w="915"/>
        <w:gridCol w:w="690"/>
        <w:gridCol w:w="990"/>
        <w:gridCol w:w="660"/>
        <w:gridCol w:w="741"/>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12" w:type="dxa"/>
            <w:tcBorders>
              <w:top w:val="single" w:color="auto" w:sz="4" w:space="0"/>
            </w:tcBorders>
            <w:noWrap w:val="0"/>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811" w:type="dxa"/>
            <w:tcBorders>
              <w:top w:val="single" w:color="auto" w:sz="4" w:space="0"/>
            </w:tcBorders>
            <w:noWrap w:val="0"/>
            <w:vAlign w:val="center"/>
          </w:tcPr>
          <w:p>
            <w:pPr>
              <w:widowControl/>
              <w:jc w:val="center"/>
              <w:textAlignment w:val="center"/>
              <w:rPr>
                <w:rFonts w:hint="eastAsia" w:eastAsia="方正黑体_GBK" w:cs="方正黑体_GBK"/>
                <w:color w:val="000000"/>
                <w:kern w:val="0"/>
                <w:sz w:val="22"/>
                <w:lang w:bidi="ar"/>
              </w:rPr>
            </w:pPr>
            <w:r>
              <w:rPr>
                <w:rFonts w:hint="eastAsia" w:eastAsia="方正黑体_GBK" w:cs="方正黑体_GBK"/>
                <w:color w:val="000000"/>
                <w:kern w:val="0"/>
                <w:sz w:val="22"/>
                <w:lang w:bidi="ar"/>
              </w:rPr>
              <w:t>项目名称</w:t>
            </w:r>
          </w:p>
        </w:tc>
        <w:tc>
          <w:tcPr>
            <w:tcW w:w="1960" w:type="dxa"/>
            <w:tcBorders>
              <w:top w:val="single" w:color="auto" w:sz="4" w:space="0"/>
            </w:tcBorders>
            <w:noWrap w:val="0"/>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675" w:type="dxa"/>
            <w:tcBorders>
              <w:top w:val="single" w:color="auto" w:sz="4" w:space="0"/>
            </w:tcBorders>
            <w:noWrap w:val="0"/>
            <w:vAlign w:val="center"/>
          </w:tcPr>
          <w:p>
            <w:pPr>
              <w:widowControl/>
              <w:jc w:val="center"/>
              <w:textAlignment w:val="center"/>
              <w:rPr>
                <w:rFonts w:hint="eastAsia" w:ascii="宋体" w:hAnsi="宋体" w:eastAsia="方正黑体_GBK" w:cs="方正黑体_GBK"/>
                <w:color w:val="000000"/>
                <w:sz w:val="22"/>
                <w:szCs w:val="24"/>
                <w:lang w:val="en-US" w:eastAsia="zh-CN" w:bidi="ar-SA"/>
              </w:rPr>
            </w:pPr>
            <w:r>
              <w:rPr>
                <w:rFonts w:hint="eastAsia" w:eastAsia="方正黑体_GBK" w:cs="方正黑体_GBK"/>
                <w:color w:val="000000"/>
                <w:kern w:val="0"/>
                <w:sz w:val="22"/>
                <w:lang w:bidi="ar"/>
              </w:rPr>
              <w:t>指标性质</w:t>
            </w:r>
          </w:p>
        </w:tc>
        <w:tc>
          <w:tcPr>
            <w:tcW w:w="720" w:type="dxa"/>
            <w:tcBorders>
              <w:top w:val="single" w:color="auto" w:sz="4" w:space="0"/>
            </w:tcBorders>
            <w:noWrap w:val="0"/>
            <w:vAlign w:val="center"/>
          </w:tcPr>
          <w:p>
            <w:pPr>
              <w:widowControl/>
              <w:jc w:val="center"/>
              <w:textAlignment w:val="center"/>
              <w:rPr>
                <w:rFonts w:hint="eastAsia" w:ascii="宋体" w:hAnsi="宋体" w:eastAsia="方正黑体_GBK" w:cs="方正黑体_GBK"/>
                <w:color w:val="000000"/>
                <w:sz w:val="22"/>
                <w:szCs w:val="24"/>
                <w:lang w:val="en-US" w:eastAsia="zh-CN" w:bidi="ar-SA"/>
              </w:rPr>
            </w:pPr>
            <w:r>
              <w:rPr>
                <w:rFonts w:hint="eastAsia" w:eastAsia="方正黑体_GBK" w:cs="方正黑体_GBK"/>
                <w:color w:val="000000"/>
                <w:kern w:val="0"/>
                <w:sz w:val="22"/>
                <w:lang w:bidi="ar"/>
              </w:rPr>
              <w:t>指标值</w:t>
            </w:r>
          </w:p>
        </w:tc>
        <w:tc>
          <w:tcPr>
            <w:tcW w:w="915" w:type="dxa"/>
            <w:tcBorders>
              <w:top w:val="single" w:color="auto" w:sz="4" w:space="0"/>
            </w:tcBorders>
            <w:noWrap w:val="0"/>
            <w:vAlign w:val="center"/>
          </w:tcPr>
          <w:p>
            <w:pPr>
              <w:widowControl/>
              <w:jc w:val="center"/>
              <w:textAlignment w:val="center"/>
              <w:rPr>
                <w:rFonts w:hint="eastAsia" w:ascii="宋体" w:hAnsi="宋体" w:eastAsia="方正黑体_GBK" w:cs="方正黑体_GBK"/>
                <w:color w:val="000000"/>
                <w:sz w:val="22"/>
                <w:szCs w:val="24"/>
                <w:lang w:val="en-US" w:eastAsia="zh-CN" w:bidi="ar-SA"/>
              </w:rPr>
            </w:pPr>
            <w:r>
              <w:rPr>
                <w:rFonts w:hint="eastAsia" w:eastAsia="方正黑体_GBK" w:cs="方正黑体_GBK"/>
                <w:color w:val="000000"/>
                <w:kern w:val="0"/>
                <w:sz w:val="22"/>
                <w:lang w:bidi="ar"/>
              </w:rPr>
              <w:t>计量</w:t>
            </w:r>
            <w:r>
              <w:rPr>
                <w:rFonts w:hint="eastAsia" w:eastAsia="方正黑体_GBK" w:cs="方正黑体_GBK"/>
                <w:color w:val="000000"/>
                <w:kern w:val="0"/>
                <w:sz w:val="22"/>
                <w:lang w:val="en-US" w:eastAsia="zh-CN" w:bidi="ar"/>
              </w:rPr>
              <w:t xml:space="preserve"> </w:t>
            </w:r>
            <w:r>
              <w:rPr>
                <w:rFonts w:hint="eastAsia" w:eastAsia="方正黑体_GBK" w:cs="方正黑体_GBK"/>
                <w:color w:val="000000"/>
                <w:kern w:val="0"/>
                <w:sz w:val="22"/>
                <w:lang w:bidi="ar"/>
              </w:rPr>
              <w:t>单位</w:t>
            </w:r>
          </w:p>
        </w:tc>
        <w:tc>
          <w:tcPr>
            <w:tcW w:w="690" w:type="dxa"/>
            <w:tcBorders>
              <w:top w:val="single" w:color="auto" w:sz="4" w:space="0"/>
            </w:tcBorders>
            <w:noWrap w:val="0"/>
            <w:vAlign w:val="center"/>
          </w:tcPr>
          <w:p>
            <w:pPr>
              <w:widowControl/>
              <w:jc w:val="center"/>
              <w:textAlignment w:val="center"/>
              <w:rPr>
                <w:rFonts w:hint="eastAsia" w:ascii="宋体" w:hAnsi="宋体" w:eastAsia="方正黑体_GBK" w:cs="方正黑体_GBK"/>
                <w:color w:val="000000"/>
                <w:sz w:val="22"/>
                <w:szCs w:val="24"/>
                <w:lang w:val="en-US" w:eastAsia="zh-CN" w:bidi="ar-SA"/>
              </w:rPr>
            </w:pPr>
            <w:r>
              <w:rPr>
                <w:rFonts w:hint="eastAsia" w:eastAsia="方正黑体_GBK" w:cs="方正黑体_GBK"/>
                <w:color w:val="000000"/>
                <w:kern w:val="0"/>
                <w:sz w:val="22"/>
                <w:lang w:bidi="ar"/>
              </w:rPr>
              <w:t>指标权重</w:t>
            </w:r>
          </w:p>
        </w:tc>
        <w:tc>
          <w:tcPr>
            <w:tcW w:w="990" w:type="dxa"/>
            <w:tcBorders>
              <w:top w:val="single" w:color="auto" w:sz="4" w:space="0"/>
            </w:tcBorders>
            <w:noWrap w:val="0"/>
            <w:vAlign w:val="center"/>
          </w:tcPr>
          <w:p>
            <w:pPr>
              <w:widowControl/>
              <w:jc w:val="center"/>
              <w:textAlignment w:val="center"/>
              <w:rPr>
                <w:rFonts w:hint="eastAsia" w:ascii="宋体" w:hAnsi="宋体" w:eastAsia="方正黑体_GBK" w:cs="方正黑体_GBK"/>
                <w:color w:val="000000"/>
                <w:sz w:val="22"/>
                <w:szCs w:val="24"/>
                <w:lang w:val="en-US" w:eastAsia="zh-CN" w:bidi="ar-SA"/>
              </w:rPr>
            </w:pPr>
            <w:r>
              <w:rPr>
                <w:rFonts w:hint="eastAsia" w:eastAsia="方正黑体_GBK" w:cs="方正黑体_GBK"/>
                <w:color w:val="000000"/>
                <w:kern w:val="0"/>
                <w:sz w:val="22"/>
                <w:lang w:bidi="ar"/>
              </w:rPr>
              <w:t>全年完成值</w:t>
            </w:r>
          </w:p>
        </w:tc>
        <w:tc>
          <w:tcPr>
            <w:tcW w:w="660" w:type="dxa"/>
            <w:tcBorders>
              <w:top w:val="single" w:color="auto" w:sz="4" w:space="0"/>
            </w:tcBorders>
            <w:noWrap w:val="0"/>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w:t>
            </w:r>
            <w:r>
              <w:rPr>
                <w:rFonts w:hint="eastAsia" w:eastAsia="方正黑体_GBK" w:cs="方正黑体_GBK"/>
                <w:color w:val="000000"/>
                <w:kern w:val="0"/>
                <w:sz w:val="22"/>
                <w:lang w:val="en-US" w:eastAsia="zh-CN" w:bidi="ar"/>
              </w:rPr>
              <w:t xml:space="preserve"> </w:t>
            </w:r>
            <w:r>
              <w:rPr>
                <w:rFonts w:hint="eastAsia" w:eastAsia="方正黑体_GBK" w:cs="方正黑体_GBK"/>
                <w:color w:val="000000"/>
                <w:kern w:val="0"/>
                <w:sz w:val="22"/>
                <w:lang w:bidi="ar"/>
              </w:rPr>
              <w:t>得分</w:t>
            </w:r>
          </w:p>
        </w:tc>
        <w:tc>
          <w:tcPr>
            <w:tcW w:w="741" w:type="dxa"/>
            <w:tcBorders>
              <w:top w:val="single" w:color="auto" w:sz="4" w:space="0"/>
            </w:tcBorders>
            <w:noWrap w:val="0"/>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855" w:type="dxa"/>
            <w:tcBorders>
              <w:top w:val="single" w:color="auto" w:sz="4" w:space="0"/>
            </w:tcBorders>
            <w:noWrap w:val="0"/>
            <w:vAlign w:val="center"/>
          </w:tcPr>
          <w:p>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2" w:type="dxa"/>
            <w:vMerge w:val="restart"/>
            <w:noWrap/>
            <w:vAlign w:val="center"/>
          </w:tcPr>
          <w:p>
            <w:pPr>
              <w:jc w:val="center"/>
              <w:textAlignment w:val="center"/>
              <w:rPr>
                <w:color w:val="000000"/>
                <w:sz w:val="22"/>
              </w:rPr>
            </w:pPr>
            <w:r>
              <w:rPr>
                <w:color w:val="000000"/>
                <w:kern w:val="0"/>
                <w:sz w:val="22"/>
                <w:lang w:bidi="ar"/>
              </w:rPr>
              <w:t>1</w:t>
            </w:r>
          </w:p>
        </w:tc>
        <w:tc>
          <w:tcPr>
            <w:tcW w:w="811" w:type="dxa"/>
            <w:vMerge w:val="restart"/>
            <w:noWrap/>
            <w:vAlign w:val="center"/>
          </w:tcPr>
          <w:p>
            <w:pPr>
              <w:widowControl/>
              <w:wordWrap/>
              <w:adjustRightInd/>
              <w:snapToGrid/>
              <w:spacing w:line="240" w:lineRule="exact"/>
              <w:ind w:right="0" w:rightChars="0"/>
              <w:jc w:val="left"/>
              <w:textAlignment w:val="center"/>
              <w:outlineLvl w:val="9"/>
              <w:rPr>
                <w:rFonts w:hint="default" w:ascii="方正仿宋_GBK" w:hAnsi="方正仿宋_GBK" w:eastAsia="方正仿宋_GBK" w:cs="方正仿宋_GBK"/>
                <w:i w:val="0"/>
                <w:color w:val="000000"/>
                <w:kern w:val="0"/>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SA"/>
              </w:rPr>
              <w:t>河长制专项</w:t>
            </w:r>
          </w:p>
        </w:tc>
        <w:tc>
          <w:tcPr>
            <w:tcW w:w="1960" w:type="dxa"/>
            <w:noWrap/>
            <w:vAlign w:val="center"/>
          </w:tcPr>
          <w:p>
            <w:pPr>
              <w:widowControl/>
              <w:wordWrap/>
              <w:adjustRightInd/>
              <w:snapToGrid/>
              <w:spacing w:line="240" w:lineRule="exact"/>
              <w:ind w:right="0" w:rightChars="0"/>
              <w:jc w:val="left"/>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河长制断面水质监测</w:t>
            </w:r>
          </w:p>
        </w:tc>
        <w:tc>
          <w:tcPr>
            <w:tcW w:w="67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w:t>
            </w:r>
          </w:p>
        </w:tc>
        <w:tc>
          <w:tcPr>
            <w:tcW w:w="72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12</w:t>
            </w:r>
          </w:p>
        </w:tc>
        <w:tc>
          <w:tcPr>
            <w:tcW w:w="91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次</w:t>
            </w:r>
          </w:p>
        </w:tc>
        <w:tc>
          <w:tcPr>
            <w:tcW w:w="6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20</w:t>
            </w:r>
          </w:p>
        </w:tc>
        <w:tc>
          <w:tcPr>
            <w:tcW w:w="9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12</w:t>
            </w:r>
          </w:p>
        </w:tc>
        <w:tc>
          <w:tcPr>
            <w:tcW w:w="66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20</w:t>
            </w:r>
          </w:p>
        </w:tc>
        <w:tc>
          <w:tcPr>
            <w:tcW w:w="741" w:type="dxa"/>
            <w:noWrap/>
            <w:vAlign w:val="center"/>
          </w:tcPr>
          <w:p>
            <w:pPr>
              <w:widowControl/>
              <w:ind w:firstLine="220" w:firstLineChars="100"/>
              <w:jc w:val="center"/>
              <w:textAlignment w:val="center"/>
              <w:rPr>
                <w:rFonts w:cs="宋体"/>
                <w:color w:val="000000"/>
                <w:sz w:val="22"/>
              </w:rPr>
            </w:pPr>
          </w:p>
        </w:tc>
        <w:tc>
          <w:tcPr>
            <w:tcW w:w="855" w:type="dxa"/>
            <w:vMerge w:val="restart"/>
            <w:noWrap/>
            <w:vAlign w:val="center"/>
          </w:tcPr>
          <w:p>
            <w:pPr>
              <w:jc w:val="center"/>
              <w:rPr>
                <w:rFonts w:hint="default" w:eastAsia="宋体" w:cs="宋体"/>
                <w:color w:val="000000"/>
                <w:sz w:val="22"/>
                <w:lang w:val="en-US" w:eastAsia="zh-CN"/>
              </w:rPr>
            </w:pPr>
            <w:r>
              <w:rPr>
                <w:rFonts w:hint="eastAsia" w:cs="宋体"/>
                <w:color w:val="000000"/>
                <w:sz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2" w:type="dxa"/>
            <w:vMerge w:val="continue"/>
            <w:noWrap/>
            <w:vAlign w:val="center"/>
          </w:tcPr>
          <w:p>
            <w:pPr>
              <w:jc w:val="center"/>
              <w:textAlignment w:val="center"/>
              <w:rPr>
                <w:color w:val="000000"/>
                <w:sz w:val="22"/>
              </w:rPr>
            </w:pPr>
          </w:p>
        </w:tc>
        <w:tc>
          <w:tcPr>
            <w:tcW w:w="811" w:type="dxa"/>
            <w:vMerge w:val="continue"/>
            <w:noWrap/>
            <w:vAlign w:val="center"/>
          </w:tcPr>
          <w:p>
            <w:pPr>
              <w:widowControl/>
              <w:wordWrap/>
              <w:adjustRightInd/>
              <w:snapToGrid/>
              <w:spacing w:line="240" w:lineRule="exact"/>
              <w:ind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SA"/>
              </w:rPr>
            </w:pPr>
          </w:p>
        </w:tc>
        <w:tc>
          <w:tcPr>
            <w:tcW w:w="1960" w:type="dxa"/>
            <w:noWrap/>
            <w:vAlign w:val="center"/>
          </w:tcPr>
          <w:p>
            <w:pPr>
              <w:widowControl/>
              <w:wordWrap/>
              <w:adjustRightInd/>
              <w:snapToGrid/>
              <w:spacing w:line="240" w:lineRule="exact"/>
              <w:ind w:right="0" w:rightChars="0"/>
              <w:jc w:val="left"/>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漂浮垃圾清理率</w:t>
            </w:r>
          </w:p>
        </w:tc>
        <w:tc>
          <w:tcPr>
            <w:tcW w:w="67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w:t>
            </w:r>
          </w:p>
        </w:tc>
        <w:tc>
          <w:tcPr>
            <w:tcW w:w="72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90</w:t>
            </w:r>
          </w:p>
        </w:tc>
        <w:tc>
          <w:tcPr>
            <w:tcW w:w="91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w:t>
            </w:r>
          </w:p>
        </w:tc>
        <w:tc>
          <w:tcPr>
            <w:tcW w:w="6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20</w:t>
            </w:r>
          </w:p>
        </w:tc>
        <w:tc>
          <w:tcPr>
            <w:tcW w:w="9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90</w:t>
            </w:r>
          </w:p>
        </w:tc>
        <w:tc>
          <w:tcPr>
            <w:tcW w:w="66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20</w:t>
            </w:r>
          </w:p>
        </w:tc>
        <w:tc>
          <w:tcPr>
            <w:tcW w:w="741" w:type="dxa"/>
            <w:noWrap/>
            <w:vAlign w:val="center"/>
          </w:tcPr>
          <w:p>
            <w:pPr>
              <w:widowControl/>
              <w:ind w:firstLine="220" w:firstLineChars="100"/>
              <w:jc w:val="center"/>
              <w:textAlignment w:val="center"/>
              <w:rPr>
                <w:rFonts w:cs="宋体"/>
                <w:color w:val="000000"/>
                <w:sz w:val="22"/>
              </w:rPr>
            </w:pPr>
          </w:p>
        </w:tc>
        <w:tc>
          <w:tcPr>
            <w:tcW w:w="855" w:type="dxa"/>
            <w:vMerge w:val="continue"/>
            <w:noWrap/>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2" w:type="dxa"/>
            <w:vMerge w:val="continue"/>
            <w:noWrap/>
            <w:vAlign w:val="center"/>
          </w:tcPr>
          <w:p>
            <w:pPr>
              <w:jc w:val="center"/>
              <w:textAlignment w:val="center"/>
              <w:rPr>
                <w:color w:val="000000"/>
                <w:sz w:val="22"/>
              </w:rPr>
            </w:pPr>
          </w:p>
        </w:tc>
        <w:tc>
          <w:tcPr>
            <w:tcW w:w="811" w:type="dxa"/>
            <w:vMerge w:val="continue"/>
            <w:noWrap/>
            <w:vAlign w:val="center"/>
          </w:tcPr>
          <w:p>
            <w:pPr>
              <w:widowControl/>
              <w:wordWrap/>
              <w:adjustRightInd/>
              <w:snapToGrid/>
              <w:spacing w:line="240" w:lineRule="exact"/>
              <w:ind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SA"/>
              </w:rPr>
            </w:pPr>
          </w:p>
        </w:tc>
        <w:tc>
          <w:tcPr>
            <w:tcW w:w="1960" w:type="dxa"/>
            <w:noWrap/>
            <w:vAlign w:val="center"/>
          </w:tcPr>
          <w:p>
            <w:pPr>
              <w:widowControl/>
              <w:wordWrap/>
              <w:adjustRightInd/>
              <w:snapToGrid/>
              <w:spacing w:line="240" w:lineRule="exact"/>
              <w:ind w:right="0" w:rightChars="0"/>
              <w:jc w:val="left"/>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河长制信息系统故障修复响应时间</w:t>
            </w:r>
          </w:p>
        </w:tc>
        <w:tc>
          <w:tcPr>
            <w:tcW w:w="67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w:t>
            </w:r>
          </w:p>
        </w:tc>
        <w:tc>
          <w:tcPr>
            <w:tcW w:w="72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24</w:t>
            </w:r>
          </w:p>
        </w:tc>
        <w:tc>
          <w:tcPr>
            <w:tcW w:w="91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小时</w:t>
            </w:r>
          </w:p>
        </w:tc>
        <w:tc>
          <w:tcPr>
            <w:tcW w:w="6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10</w:t>
            </w:r>
          </w:p>
        </w:tc>
        <w:tc>
          <w:tcPr>
            <w:tcW w:w="9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24</w:t>
            </w:r>
          </w:p>
        </w:tc>
        <w:tc>
          <w:tcPr>
            <w:tcW w:w="66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10</w:t>
            </w:r>
          </w:p>
        </w:tc>
        <w:tc>
          <w:tcPr>
            <w:tcW w:w="741" w:type="dxa"/>
            <w:noWrap/>
            <w:vAlign w:val="center"/>
          </w:tcPr>
          <w:p>
            <w:pPr>
              <w:widowControl/>
              <w:ind w:firstLine="220" w:firstLineChars="100"/>
              <w:jc w:val="center"/>
              <w:textAlignment w:val="center"/>
              <w:rPr>
                <w:rFonts w:cs="宋体"/>
                <w:color w:val="000000"/>
                <w:sz w:val="22"/>
              </w:rPr>
            </w:pPr>
          </w:p>
        </w:tc>
        <w:tc>
          <w:tcPr>
            <w:tcW w:w="855" w:type="dxa"/>
            <w:vMerge w:val="continue"/>
            <w:noWrap/>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12" w:type="dxa"/>
            <w:vMerge w:val="continue"/>
            <w:noWrap/>
            <w:vAlign w:val="center"/>
          </w:tcPr>
          <w:p>
            <w:pPr>
              <w:jc w:val="center"/>
              <w:textAlignment w:val="center"/>
              <w:rPr>
                <w:color w:val="000000"/>
                <w:sz w:val="22"/>
              </w:rPr>
            </w:pPr>
          </w:p>
        </w:tc>
        <w:tc>
          <w:tcPr>
            <w:tcW w:w="811" w:type="dxa"/>
            <w:vMerge w:val="continue"/>
            <w:noWrap/>
            <w:vAlign w:val="center"/>
          </w:tcPr>
          <w:p>
            <w:pPr>
              <w:widowControl/>
              <w:wordWrap/>
              <w:adjustRightInd/>
              <w:snapToGrid/>
              <w:spacing w:line="24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SA"/>
              </w:rPr>
            </w:pPr>
          </w:p>
        </w:tc>
        <w:tc>
          <w:tcPr>
            <w:tcW w:w="1960" w:type="dxa"/>
            <w:noWrap/>
            <w:vAlign w:val="center"/>
          </w:tcPr>
          <w:p>
            <w:pPr>
              <w:widowControl/>
              <w:wordWrap/>
              <w:adjustRightInd/>
              <w:snapToGrid/>
              <w:spacing w:line="240" w:lineRule="exact"/>
              <w:ind w:left="0" w:leftChars="0" w:right="0" w:rightChars="0" w:firstLine="0" w:firstLineChars="0"/>
              <w:jc w:val="left"/>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预算执行率</w:t>
            </w:r>
          </w:p>
        </w:tc>
        <w:tc>
          <w:tcPr>
            <w:tcW w:w="67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w:t>
            </w:r>
          </w:p>
        </w:tc>
        <w:tc>
          <w:tcPr>
            <w:tcW w:w="720" w:type="dxa"/>
            <w:noWrap/>
            <w:vAlign w:val="center"/>
          </w:tcPr>
          <w:p>
            <w:pPr>
              <w:widowControl/>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100</w:t>
            </w:r>
          </w:p>
        </w:tc>
        <w:tc>
          <w:tcPr>
            <w:tcW w:w="91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w:t>
            </w:r>
          </w:p>
        </w:tc>
        <w:tc>
          <w:tcPr>
            <w:tcW w:w="6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10</w:t>
            </w:r>
          </w:p>
        </w:tc>
        <w:tc>
          <w:tcPr>
            <w:tcW w:w="9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100</w:t>
            </w:r>
          </w:p>
        </w:tc>
        <w:tc>
          <w:tcPr>
            <w:tcW w:w="66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10</w:t>
            </w:r>
          </w:p>
        </w:tc>
        <w:tc>
          <w:tcPr>
            <w:tcW w:w="741" w:type="dxa"/>
            <w:noWrap/>
            <w:vAlign w:val="center"/>
          </w:tcPr>
          <w:p>
            <w:pPr>
              <w:widowControl/>
              <w:ind w:firstLine="220" w:firstLineChars="100"/>
              <w:jc w:val="center"/>
              <w:textAlignment w:val="center"/>
              <w:rPr>
                <w:rFonts w:cs="宋体"/>
                <w:color w:val="000000"/>
                <w:sz w:val="22"/>
              </w:rPr>
            </w:pPr>
          </w:p>
        </w:tc>
        <w:tc>
          <w:tcPr>
            <w:tcW w:w="855" w:type="dxa"/>
            <w:vMerge w:val="continue"/>
            <w:noWrap/>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2" w:type="dxa"/>
            <w:vMerge w:val="continue"/>
            <w:noWrap/>
            <w:vAlign w:val="center"/>
          </w:tcPr>
          <w:p>
            <w:pPr>
              <w:jc w:val="center"/>
              <w:textAlignment w:val="center"/>
              <w:rPr>
                <w:color w:val="000000"/>
                <w:sz w:val="22"/>
              </w:rPr>
            </w:pPr>
          </w:p>
        </w:tc>
        <w:tc>
          <w:tcPr>
            <w:tcW w:w="811" w:type="dxa"/>
            <w:vMerge w:val="continue"/>
            <w:noWrap/>
            <w:vAlign w:val="center"/>
          </w:tcPr>
          <w:p>
            <w:pPr>
              <w:widowControl/>
              <w:wordWrap/>
              <w:adjustRightInd/>
              <w:snapToGrid/>
              <w:spacing w:line="240" w:lineRule="exact"/>
              <w:ind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SA"/>
              </w:rPr>
            </w:pPr>
          </w:p>
        </w:tc>
        <w:tc>
          <w:tcPr>
            <w:tcW w:w="1960" w:type="dxa"/>
            <w:noWrap/>
            <w:vAlign w:val="center"/>
          </w:tcPr>
          <w:p>
            <w:pPr>
              <w:widowControl/>
              <w:wordWrap/>
              <w:adjustRightInd/>
              <w:snapToGrid/>
              <w:spacing w:line="240" w:lineRule="exact"/>
              <w:ind w:right="0" w:rightChars="0"/>
              <w:jc w:val="left"/>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资金使用重大违纪违规问题</w:t>
            </w:r>
          </w:p>
        </w:tc>
        <w:tc>
          <w:tcPr>
            <w:tcW w:w="675" w:type="dxa"/>
            <w:noWrap/>
            <w:vAlign w:val="center"/>
          </w:tcPr>
          <w:p>
            <w:pPr>
              <w:widowControl/>
              <w:wordWrap/>
              <w:adjustRightInd/>
              <w:snapToGrid/>
              <w:spacing w:line="300" w:lineRule="exact"/>
              <w:ind w:right="0" w:rightChars="0"/>
              <w:jc w:val="center"/>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定性</w:t>
            </w:r>
          </w:p>
        </w:tc>
        <w:tc>
          <w:tcPr>
            <w:tcW w:w="720" w:type="dxa"/>
            <w:noWrap/>
            <w:vAlign w:val="center"/>
          </w:tcPr>
          <w:p>
            <w:pPr>
              <w:widowControl/>
              <w:wordWrap/>
              <w:adjustRightInd/>
              <w:snapToGrid/>
              <w:spacing w:line="300" w:lineRule="exact"/>
              <w:ind w:left="0" w:leftChars="0" w:right="0" w:rightChars="0" w:firstLine="210" w:firstLineChars="100"/>
              <w:jc w:val="center"/>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无</w:t>
            </w:r>
          </w:p>
        </w:tc>
        <w:tc>
          <w:tcPr>
            <w:tcW w:w="91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个</w:t>
            </w:r>
          </w:p>
        </w:tc>
        <w:tc>
          <w:tcPr>
            <w:tcW w:w="6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15</w:t>
            </w:r>
          </w:p>
        </w:tc>
        <w:tc>
          <w:tcPr>
            <w:tcW w:w="9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无</w:t>
            </w:r>
          </w:p>
        </w:tc>
        <w:tc>
          <w:tcPr>
            <w:tcW w:w="66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15</w:t>
            </w:r>
          </w:p>
        </w:tc>
        <w:tc>
          <w:tcPr>
            <w:tcW w:w="741" w:type="dxa"/>
            <w:noWrap/>
            <w:vAlign w:val="center"/>
          </w:tcPr>
          <w:p>
            <w:pPr>
              <w:widowControl/>
              <w:wordWrap/>
              <w:adjustRightInd/>
              <w:snapToGrid/>
              <w:spacing w:line="300" w:lineRule="exact"/>
              <w:ind w:right="0" w:rightChars="0"/>
              <w:jc w:val="center"/>
              <w:textAlignment w:val="center"/>
              <w:outlineLvl w:val="9"/>
              <w:rPr>
                <w:rFonts w:cs="宋体"/>
                <w:color w:val="000000"/>
                <w:sz w:val="22"/>
              </w:rPr>
            </w:pPr>
          </w:p>
        </w:tc>
        <w:tc>
          <w:tcPr>
            <w:tcW w:w="855" w:type="dxa"/>
            <w:vMerge w:val="continue"/>
            <w:noWrap/>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2" w:type="dxa"/>
            <w:vMerge w:val="continue"/>
            <w:noWrap/>
            <w:vAlign w:val="center"/>
          </w:tcPr>
          <w:p>
            <w:pPr>
              <w:jc w:val="center"/>
              <w:textAlignment w:val="center"/>
              <w:rPr>
                <w:color w:val="000000"/>
                <w:sz w:val="22"/>
              </w:rPr>
            </w:pPr>
          </w:p>
        </w:tc>
        <w:tc>
          <w:tcPr>
            <w:tcW w:w="811" w:type="dxa"/>
            <w:vMerge w:val="continue"/>
            <w:noWrap/>
            <w:vAlign w:val="center"/>
          </w:tcPr>
          <w:p>
            <w:pPr>
              <w:widowControl/>
              <w:wordWrap/>
              <w:adjustRightInd/>
              <w:snapToGrid/>
              <w:spacing w:line="240" w:lineRule="exact"/>
              <w:ind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SA"/>
              </w:rPr>
            </w:pPr>
          </w:p>
        </w:tc>
        <w:tc>
          <w:tcPr>
            <w:tcW w:w="1960" w:type="dxa"/>
            <w:noWrap/>
            <w:vAlign w:val="center"/>
          </w:tcPr>
          <w:p>
            <w:pPr>
              <w:widowControl/>
              <w:wordWrap/>
              <w:adjustRightInd/>
              <w:snapToGrid/>
              <w:spacing w:line="240" w:lineRule="exact"/>
              <w:ind w:right="0" w:rightChars="0"/>
              <w:jc w:val="left"/>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河库环境</w:t>
            </w:r>
          </w:p>
        </w:tc>
        <w:tc>
          <w:tcPr>
            <w:tcW w:w="675" w:type="dxa"/>
            <w:noWrap/>
            <w:vAlign w:val="center"/>
          </w:tcPr>
          <w:p>
            <w:pPr>
              <w:widowControl/>
              <w:wordWrap/>
              <w:adjustRightInd/>
              <w:snapToGrid/>
              <w:spacing w:line="300" w:lineRule="exact"/>
              <w:ind w:right="0" w:rightChars="0"/>
              <w:jc w:val="center"/>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定性</w:t>
            </w:r>
          </w:p>
        </w:tc>
        <w:tc>
          <w:tcPr>
            <w:tcW w:w="720" w:type="dxa"/>
            <w:noWrap/>
            <w:vAlign w:val="center"/>
          </w:tcPr>
          <w:p>
            <w:pPr>
              <w:widowControl/>
              <w:wordWrap/>
              <w:adjustRightInd/>
              <w:snapToGrid/>
              <w:spacing w:line="300" w:lineRule="exact"/>
              <w:ind w:right="0" w:rightChars="0"/>
              <w:jc w:val="center"/>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明显提升</w:t>
            </w:r>
          </w:p>
        </w:tc>
        <w:tc>
          <w:tcPr>
            <w:tcW w:w="915" w:type="dxa"/>
            <w:noWrap/>
            <w:vAlign w:val="center"/>
          </w:tcPr>
          <w:p>
            <w:pPr>
              <w:jc w:val="center"/>
              <w:rPr>
                <w:rFonts w:cs="宋体"/>
                <w:color w:val="000000"/>
                <w:sz w:val="22"/>
              </w:rPr>
            </w:pPr>
          </w:p>
        </w:tc>
        <w:tc>
          <w:tcPr>
            <w:tcW w:w="6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15</w:t>
            </w:r>
          </w:p>
        </w:tc>
        <w:tc>
          <w:tcPr>
            <w:tcW w:w="99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SA"/>
              </w:rPr>
              <w:t>明显</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color w:val="000000"/>
                <w:sz w:val="22"/>
                <w:lang w:val="en-US"/>
              </w:rPr>
            </w:pPr>
            <w:r>
              <w:rPr>
                <w:rFonts w:hint="eastAsia" w:ascii="方正仿宋_GBK" w:hAnsi="方正仿宋_GBK" w:eastAsia="方正仿宋_GBK" w:cs="方正仿宋_GBK"/>
                <w:i w:val="0"/>
                <w:color w:val="000000"/>
                <w:kern w:val="0"/>
                <w:sz w:val="21"/>
                <w:szCs w:val="21"/>
                <w:u w:val="none"/>
                <w:lang w:val="en-US" w:eastAsia="zh-CN" w:bidi="ar-SA"/>
              </w:rPr>
              <w:t>提升</w:t>
            </w:r>
          </w:p>
        </w:tc>
        <w:tc>
          <w:tcPr>
            <w:tcW w:w="66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15</w:t>
            </w:r>
          </w:p>
        </w:tc>
        <w:tc>
          <w:tcPr>
            <w:tcW w:w="741" w:type="dxa"/>
            <w:noWrap/>
            <w:vAlign w:val="center"/>
          </w:tcPr>
          <w:p>
            <w:pPr>
              <w:widowControl/>
              <w:wordWrap/>
              <w:adjustRightInd/>
              <w:snapToGrid/>
              <w:spacing w:line="300" w:lineRule="exact"/>
              <w:ind w:right="0" w:rightChars="0"/>
              <w:jc w:val="center"/>
              <w:textAlignment w:val="center"/>
              <w:outlineLvl w:val="9"/>
              <w:rPr>
                <w:rFonts w:cs="宋体"/>
                <w:color w:val="000000"/>
                <w:sz w:val="22"/>
              </w:rPr>
            </w:pPr>
          </w:p>
        </w:tc>
        <w:tc>
          <w:tcPr>
            <w:tcW w:w="855" w:type="dxa"/>
            <w:vMerge w:val="continue"/>
            <w:noWrap/>
            <w:vAlign w:val="center"/>
          </w:tcPr>
          <w:p>
            <w:pPr>
              <w:jc w:val="center"/>
              <w:rPr>
                <w:rFonts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2" w:type="dxa"/>
            <w:vMerge w:val="continue"/>
            <w:noWrap/>
            <w:vAlign w:val="center"/>
          </w:tcPr>
          <w:p>
            <w:pPr>
              <w:jc w:val="center"/>
              <w:textAlignment w:val="center"/>
              <w:rPr>
                <w:color w:val="000000"/>
                <w:sz w:val="22"/>
              </w:rPr>
            </w:pPr>
          </w:p>
        </w:tc>
        <w:tc>
          <w:tcPr>
            <w:tcW w:w="811" w:type="dxa"/>
            <w:vMerge w:val="continue"/>
            <w:noWrap/>
            <w:vAlign w:val="center"/>
          </w:tcPr>
          <w:p>
            <w:pPr>
              <w:widowControl/>
              <w:wordWrap/>
              <w:adjustRightInd/>
              <w:snapToGrid/>
              <w:spacing w:line="240" w:lineRule="exact"/>
              <w:ind w:right="0" w:right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SA"/>
              </w:rPr>
            </w:pPr>
          </w:p>
        </w:tc>
        <w:tc>
          <w:tcPr>
            <w:tcW w:w="1960" w:type="dxa"/>
            <w:noWrap/>
            <w:vAlign w:val="center"/>
          </w:tcPr>
          <w:p>
            <w:pPr>
              <w:widowControl/>
              <w:wordWrap/>
              <w:adjustRightInd/>
              <w:snapToGrid/>
              <w:spacing w:line="240" w:lineRule="exact"/>
              <w:ind w:right="0" w:rightChars="0"/>
              <w:jc w:val="left"/>
              <w:textAlignment w:val="center"/>
              <w:outlineLvl w:val="9"/>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群众满意度</w:t>
            </w:r>
          </w:p>
        </w:tc>
        <w:tc>
          <w:tcPr>
            <w:tcW w:w="67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w:t>
            </w:r>
          </w:p>
        </w:tc>
        <w:tc>
          <w:tcPr>
            <w:tcW w:w="72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90</w:t>
            </w:r>
          </w:p>
        </w:tc>
        <w:tc>
          <w:tcPr>
            <w:tcW w:w="915"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w:t>
            </w:r>
          </w:p>
        </w:tc>
        <w:tc>
          <w:tcPr>
            <w:tcW w:w="6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10</w:t>
            </w:r>
          </w:p>
        </w:tc>
        <w:tc>
          <w:tcPr>
            <w:tcW w:w="99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90</w:t>
            </w:r>
          </w:p>
        </w:tc>
        <w:tc>
          <w:tcPr>
            <w:tcW w:w="660" w:type="dxa"/>
            <w:noWrap/>
            <w:vAlign w:val="center"/>
          </w:tcPr>
          <w:p>
            <w:pPr>
              <w:widowControl/>
              <w:ind w:firstLine="210" w:firstLineChars="100"/>
              <w:jc w:val="center"/>
              <w:textAlignment w:val="center"/>
              <w:rPr>
                <w:rFonts w:cs="宋体"/>
                <w:color w:val="000000"/>
                <w:sz w:val="22"/>
              </w:rPr>
            </w:pPr>
            <w:r>
              <w:rPr>
                <w:rFonts w:hint="eastAsia" w:ascii="方正仿宋_GBK" w:hAnsi="方正仿宋_GBK" w:eastAsia="方正仿宋_GBK" w:cs="方正仿宋_GBK"/>
                <w:i w:val="0"/>
                <w:color w:val="000000"/>
                <w:kern w:val="0"/>
                <w:sz w:val="21"/>
                <w:szCs w:val="21"/>
                <w:u w:val="none"/>
                <w:lang w:val="en-US" w:eastAsia="zh-CN" w:bidi="ar-SA"/>
              </w:rPr>
              <w:t>10</w:t>
            </w:r>
          </w:p>
        </w:tc>
        <w:tc>
          <w:tcPr>
            <w:tcW w:w="741" w:type="dxa"/>
            <w:noWrap/>
            <w:vAlign w:val="center"/>
          </w:tcPr>
          <w:p>
            <w:pPr>
              <w:widowControl/>
              <w:ind w:firstLine="220" w:firstLineChars="100"/>
              <w:jc w:val="center"/>
              <w:textAlignment w:val="center"/>
              <w:rPr>
                <w:rFonts w:cs="宋体"/>
                <w:color w:val="000000"/>
                <w:sz w:val="22"/>
              </w:rPr>
            </w:pPr>
          </w:p>
        </w:tc>
        <w:tc>
          <w:tcPr>
            <w:tcW w:w="855" w:type="dxa"/>
            <w:vMerge w:val="continue"/>
            <w:noWrap/>
            <w:vAlign w:val="center"/>
          </w:tcPr>
          <w:p>
            <w:pPr>
              <w:jc w:val="center"/>
              <w:rPr>
                <w:rFonts w:cs="宋体"/>
                <w:color w:val="000000"/>
                <w:sz w:val="22"/>
              </w:rPr>
            </w:pPr>
          </w:p>
        </w:tc>
      </w:tr>
    </w:tbl>
    <w:p>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黑体" w:hAnsi="黑体" w:eastAsia="黑体" w:cs="黑体"/>
          <w:sz w:val="32"/>
          <w:szCs w:val="32"/>
          <w:shd w:val="clear" w:color="auto" w:fill="FFFFFF"/>
          <w:lang w:val="en-US" w:eastAsia="zh-CN" w:bidi="ar-SA"/>
        </w:rPr>
        <w:t>六、专业名词解释</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14"/>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kern w:val="0"/>
          <w:sz w:val="32"/>
          <w:szCs w:val="32"/>
        </w:rPr>
      </w:pPr>
      <w:r>
        <w:rPr>
          <w:rStyle w:val="12"/>
          <w:rFonts w:hint="eastAsia" w:ascii="黑体" w:hAnsi="黑体" w:eastAsia="黑体" w:cs="黑体"/>
          <w:sz w:val="32"/>
          <w:szCs w:val="32"/>
          <w:shd w:val="clear" w:color="auto" w:fill="FFFFFF"/>
          <w:lang w:val="en-US" w:eastAsia="zh-CN" w:bidi="ar-SA"/>
        </w:rPr>
        <w:t>七、决算公开联系方式及信息反馈渠道</w:t>
      </w:r>
    </w:p>
    <w:p>
      <w:pPr>
        <w:pStyle w:val="1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kern w:val="0"/>
          <w:sz w:val="32"/>
          <w:szCs w:val="32"/>
          <w:shd w:val="clear" w:color="auto" w:fill="FFFFFF"/>
          <w:lang w:val="en-US" w:eastAsia="zh-CN" w:bidi="ar-SA"/>
        </w:rPr>
        <w:t>023-68827534</w:t>
      </w: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adjustRightInd w:val="0"/>
        <w:snapToGrid w:val="0"/>
        <w:spacing w:line="600" w:lineRule="exact"/>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pPr>
        <w:rPr>
          <w:rFonts w:hint="default" w:cs="宋体"/>
          <w:sz w:val="21"/>
          <w:szCs w:val="21"/>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重庆市九龙坡区农业农村委员会（本级）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3,678.71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4,169.02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4,169.02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4,169.02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4,169.02</w:t>
            </w:r>
            <w:r>
              <w:rPr>
                <w:rFonts w:ascii="Times New Roman" w:hAnsi="Times New Roman"/>
                <w:color w:val="000000"/>
                <w:sz w:val="20"/>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eastAsia" w:eastAsia="宋体" w:cs="宋体"/>
          <w:sz w:val="20"/>
          <w:szCs w:val="20"/>
          <w:lang w:eastAsia="zh-CN"/>
        </w:rPr>
      </w:pPr>
    </w:p>
    <w:p>
      <w:pPr>
        <w:rPr>
          <w:rFonts w:hint="default" w:cs="宋体"/>
          <w:sz w:val="21"/>
          <w:szCs w:val="21"/>
        </w:rPr>
      </w:pPr>
    </w:p>
    <w:tbl>
      <w:tblPr>
        <w:tblStyle w:val="10"/>
        <w:tblW w:w="4996"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129"/>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36"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重庆市九龙坡区农业农村委员会（本级）</w:t>
            </w:r>
          </w:p>
        </w:tc>
        <w:tc>
          <w:tcPr>
            <w:tcW w:w="47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36"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1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4,169.02</w:t>
            </w:r>
            <w:r>
              <w:rPr>
                <w:rFonts w:ascii="Times New Roman" w:hAnsi="Times New Roman"/>
                <w:b/>
                <w:color w:val="000000"/>
                <w:sz w:val="20"/>
                <w:u w:color="auto"/>
              </w:rPr>
              <w:t xml:space="preserve"> </w:t>
            </w:r>
          </w:p>
        </w:tc>
        <w:tc>
          <w:tcPr>
            <w:tcW w:w="4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4,169.02</w:t>
            </w:r>
            <w:r>
              <w:rPr>
                <w:rFonts w:ascii="Times New Roman" w:hAnsi="Times New Roman"/>
                <w:b/>
                <w:color w:val="000000"/>
                <w:sz w:val="20"/>
                <w:u w:color="auto"/>
              </w:rPr>
              <w:t xml:space="preserve"> </w:t>
            </w:r>
          </w:p>
        </w:tc>
        <w:tc>
          <w:tcPr>
            <w:tcW w:w="4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18"/>
                <w:szCs w:val="18"/>
              </w:rPr>
              <w:t>机关事业单位基本养老保险缴费支出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34.21</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34.21</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95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52"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1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2110404</w:t>
            </w:r>
          </w:p>
        </w:tc>
        <w:tc>
          <w:tcPr>
            <w:tcW w:w="95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生物及物种资源保护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3,678.71</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3,678.71</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2,799.19</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2,799.19</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395.57</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395.57</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科技转化与推广服务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2130120</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稳定农民收入补贴</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农产品加工与促销</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渔业发展</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782.29</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782.29</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16"/>
                <w:szCs w:val="16"/>
              </w:rPr>
              <w:t>其他巩固脱贫攻坚成果衔接乡村振兴支出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2130803</w:t>
            </w:r>
          </w:p>
        </w:tc>
        <w:tc>
          <w:tcPr>
            <w:tcW w:w="95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农业保险保费补贴</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21372</w:t>
            </w:r>
          </w:p>
        </w:tc>
        <w:tc>
          <w:tcPr>
            <w:tcW w:w="952"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18"/>
                <w:szCs w:val="18"/>
              </w:rPr>
              <w:t>大中型水库移民后期扶持基金支出</w:t>
            </w:r>
          </w:p>
        </w:tc>
        <w:tc>
          <w:tcPr>
            <w:tcW w:w="51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2137201</w:t>
            </w:r>
          </w:p>
        </w:tc>
        <w:tc>
          <w:tcPr>
            <w:tcW w:w="95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移民补助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29.79</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29.79</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eastAsia" w:eastAsia="宋体" w:cs="宋体"/>
          <w:sz w:val="20"/>
          <w:szCs w:val="20"/>
          <w:lang w:eastAsia="zh-CN"/>
        </w:rPr>
      </w:pPr>
      <w:r>
        <w:rPr>
          <w:rFonts w:cs="宋体"/>
          <w:sz w:val="20"/>
          <w:szCs w:val="20"/>
        </w:rPr>
        <w:t>备注：1.本表反映单位本年度取得的各项收入情况。</w:t>
      </w:r>
    </w:p>
    <w:p>
      <w:pPr>
        <w:ind w:left="600" w:hanging="600" w:hangingChars="300"/>
        <w:rPr>
          <w:rFonts w:hint="eastAsia" w:eastAsia="宋体" w:cs="宋体"/>
          <w:sz w:val="20"/>
          <w:szCs w:val="20"/>
          <w:lang w:eastAsia="zh-CN"/>
        </w:rPr>
      </w:pPr>
      <w:r>
        <w:rPr>
          <w:rFonts w:cs="宋体"/>
          <w:sz w:val="20"/>
          <w:szCs w:val="20"/>
        </w:rPr>
        <w:t>2.本套报表金额单位转换时可能存在尾数误差。</w:t>
      </w:r>
    </w:p>
    <w:p>
      <w:pPr>
        <w:ind w:left="600" w:hanging="600" w:hangingChars="300"/>
        <w:rPr>
          <w:rFonts w:hint="eastAsia" w:eastAsia="宋体" w:cs="宋体"/>
          <w:sz w:val="20"/>
          <w:szCs w:val="20"/>
          <w:lang w:eastAsia="zh-CN"/>
        </w:rPr>
      </w:pPr>
    </w:p>
    <w:p>
      <w:pPr>
        <w:ind w:left="600" w:hanging="600" w:hangingChars="300"/>
        <w:rPr>
          <w:rFonts w:hint="eastAsia" w:eastAsia="宋体" w:cs="宋体"/>
          <w:sz w:val="20"/>
          <w:szCs w:val="20"/>
          <w:lang w:eastAsia="zh-CN"/>
        </w:rPr>
      </w:pP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重庆市九龙坡区农业农村委员会（本级）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4,169.02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576.55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3,592.47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175"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2110404</w:t>
            </w:r>
          </w:p>
        </w:tc>
        <w:tc>
          <w:tcPr>
            <w:tcW w:w="1175"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生物及物种资源保护</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3,678.71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3,283.15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2,799.19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科技转化与推广服务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稳定农民收入补贴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农产品加工与促销</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渔业发展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18"/>
                <w:szCs w:val="18"/>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2130803</w:t>
            </w:r>
          </w:p>
        </w:tc>
        <w:tc>
          <w:tcPr>
            <w:tcW w:w="1175"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农业保险保费补贴</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21372</w:t>
            </w:r>
          </w:p>
        </w:tc>
        <w:tc>
          <w:tcPr>
            <w:tcW w:w="1175"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大中型水库移民后期扶持基金支出</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2137201</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移民补助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备注：1.本表反映单位本年度各项支出情况。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p>
      <w:pPr>
        <w:rPr>
          <w:rFonts w:hint="default" w:cs="宋体"/>
          <w:sz w:val="21"/>
          <w:szCs w:val="21"/>
        </w:rPr>
      </w:pPr>
    </w:p>
    <w:tbl>
      <w:tblPr>
        <w:tblStyle w:val="10"/>
        <w:tblW w:w="4983" w:type="pct"/>
        <w:tblInd w:w="0" w:type="dxa"/>
        <w:tblLayout w:type="autofit"/>
        <w:tblCellMar>
          <w:top w:w="0" w:type="dxa"/>
          <w:left w:w="0" w:type="dxa"/>
          <w:bottom w:w="0" w:type="dxa"/>
          <w:right w:w="0" w:type="dxa"/>
        </w:tblCellMar>
      </w:tblPr>
      <w:tblGrid>
        <w:gridCol w:w="2956"/>
        <w:gridCol w:w="1518"/>
        <w:gridCol w:w="3182"/>
        <w:gridCol w:w="1689"/>
        <w:gridCol w:w="1881"/>
        <w:gridCol w:w="2144"/>
        <w:gridCol w:w="1900"/>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50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重庆市九龙坡区农业农村委员会（本级）</w:t>
            </w:r>
          </w:p>
        </w:tc>
        <w:tc>
          <w:tcPr>
            <w:tcW w:w="55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0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507"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0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3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4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92"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w:t>
            </w:r>
            <w:r>
              <w:rPr>
                <w:rFonts w:hint="eastAsia" w:cs="宋体"/>
                <w:b/>
                <w:color w:val="000000"/>
                <w:sz w:val="18"/>
                <w:szCs w:val="18"/>
                <w:lang w:val="en-US" w:eastAsia="zh-CN"/>
              </w:rPr>
              <w:t xml:space="preserve">        </w:t>
            </w:r>
            <w:r>
              <w:rPr>
                <w:rFonts w:cs="宋体"/>
                <w:b/>
                <w:color w:val="000000"/>
                <w:sz w:val="18"/>
                <w:szCs w:val="18"/>
              </w:rPr>
              <w:t>财政拨款</w:t>
            </w:r>
          </w:p>
        </w:tc>
        <w:tc>
          <w:tcPr>
            <w:tcW w:w="6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w:t>
            </w:r>
            <w:r>
              <w:rPr>
                <w:rFonts w:hint="eastAsia" w:cs="宋体"/>
                <w:b/>
                <w:color w:val="000000"/>
                <w:sz w:val="18"/>
                <w:szCs w:val="18"/>
                <w:lang w:val="en-US" w:eastAsia="zh-CN"/>
              </w:rPr>
              <w:t xml:space="preserve">   </w:t>
            </w:r>
            <w:r>
              <w:rPr>
                <w:rFonts w:cs="宋体"/>
                <w:b/>
                <w:color w:val="000000"/>
                <w:sz w:val="18"/>
                <w:szCs w:val="18"/>
              </w:rPr>
              <w:t>财政拨款</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4,140.36</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120.73</w:t>
            </w: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120.73</w:t>
            </w: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28.33</w:t>
            </w: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28.33</w:t>
            </w: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306.71</w:t>
            </w: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306.71</w:t>
            </w: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3,678.71</w:t>
            </w: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3,650.05</w:t>
            </w: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w:t>
            </w: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w:t>
            </w: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4,169.02</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4,169.02</w:t>
            </w: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4,140.36</w:t>
            </w: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4,169.02</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4,169.02</w:t>
            </w:r>
            <w:r>
              <w:rPr>
                <w:rFonts w:ascii="Times New Roman" w:hAnsi="Times New Roman"/>
                <w:color w:val="000000"/>
                <w:sz w:val="18"/>
                <w:u w:color="auto"/>
              </w:rPr>
              <w:t xml:space="preserve"> </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4,140.36</w:t>
            </w:r>
            <w:r>
              <w:rPr>
                <w:rFonts w:ascii="Times New Roman" w:hAnsi="Times New Roman"/>
                <w:color w:val="000000"/>
                <w:sz w:val="18"/>
                <w:u w:color="auto"/>
              </w:rPr>
              <w:t xml:space="preserve"> </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28.66</w:t>
            </w:r>
            <w:r>
              <w:rPr>
                <w:rFonts w:ascii="Times New Roman" w:hAnsi="Times New Roman"/>
                <w:color w:val="000000"/>
                <w:sz w:val="18"/>
                <w:u w:color="auto"/>
              </w:rPr>
              <w:t xml:space="preserve"> </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default" w:cs="宋体"/>
          <w:sz w:val="20"/>
          <w:szCs w:val="20"/>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重庆市九龙坡区农业农村委员会（本级）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4,140.36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576.55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3,563.81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统战事务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其他统战事务支出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306.71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149.77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生物及物种资源保护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149.77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3,650.05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3,254.49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2,799.19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2,403.62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2130101</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395.57</w:t>
            </w:r>
            <w:r>
              <w:rPr>
                <w:rFonts w:ascii="Times New Roman" w:hAnsi="Times New Roman"/>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395.57</w:t>
            </w:r>
            <w:r>
              <w:rPr>
                <w:rFonts w:ascii="Times New Roman" w:hAnsi="Times New Roman"/>
                <w:color w:val="000000"/>
                <w:sz w:val="20"/>
                <w:u w:color="auto"/>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2130106</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2130120</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稳定农民收入补贴</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农产品加工与促销</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2130148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渔业发展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普惠金融发展支出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农业保险保费补贴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备注：1.本表反映单位本年度一般公共预算财政拨款支出情况。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重庆市九龙坡区农业农村委员会（本级）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16.46</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16.46</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446.86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备注：1.本表反映单位本年度一般公共预算财政拨款基本支出明细情况。</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p>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重庆市九龙坡区农业农村委员会（本级）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21372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大中型水库移民后期扶持基金支出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2137201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移民补助</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备注：1.本表反映单位本年度政府性基金预算财政拨款收入支出及结转和结余情况。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重庆市九龙坡区农业农村委员会（本级）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备注：本表反映单位本年度国有资本经营预算财政拨款支出情况。本单位无国有资本经营收支，故本表无数据。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hint="default" w:cs="宋体"/>
          <w:sz w:val="21"/>
          <w:szCs w:val="21"/>
        </w:rPr>
        <w:br w:type="page"/>
      </w:r>
    </w:p>
    <w:tbl>
      <w:tblPr>
        <w:tblStyle w:val="10"/>
        <w:tblW w:w="4976" w:type="pct"/>
        <w:tblInd w:w="0" w:type="dxa"/>
        <w:tblLayout w:type="fixed"/>
        <w:tblCellMar>
          <w:top w:w="0" w:type="dxa"/>
          <w:left w:w="170" w:type="dxa"/>
          <w:bottom w:w="0" w:type="dxa"/>
          <w:right w:w="170" w:type="dxa"/>
        </w:tblCellMar>
      </w:tblPr>
      <w:tblGrid>
        <w:gridCol w:w="3179"/>
        <w:gridCol w:w="2415"/>
        <w:gridCol w:w="2376"/>
        <w:gridCol w:w="3674"/>
        <w:gridCol w:w="360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042"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91"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779"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0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182"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834"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重庆市九龙坡区农业农村委员会（本级）</w:t>
            </w:r>
          </w:p>
        </w:tc>
        <w:tc>
          <w:tcPr>
            <w:tcW w:w="7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04"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182"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129.69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53.61</w:t>
            </w:r>
            <w:r>
              <w:rPr>
                <w:rFonts w:ascii="Times New Roman" w:hAnsi="Times New Roman"/>
                <w:color w:val="000000"/>
                <w:sz w:val="18"/>
                <w:u w:color="auto"/>
              </w:rPr>
              <w:t xml:space="preserve"> </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53.61</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129.69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52.16</w:t>
            </w:r>
            <w:r>
              <w:rPr>
                <w:rFonts w:ascii="Times New Roman" w:hAnsi="Times New Roman"/>
                <w:color w:val="000000"/>
                <w:sz w:val="18"/>
                <w:u w:color="auto"/>
              </w:rPr>
              <w:t xml:space="preserve"> </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52.16</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16.54</w:t>
            </w:r>
            <w:r>
              <w:rPr>
                <w:rFonts w:ascii="Times New Roman" w:hAnsi="Times New Roman"/>
                <w:color w:val="000000"/>
                <w:sz w:val="18"/>
                <w:u w:color="auto"/>
              </w:rPr>
              <w:t xml:space="preserve"> </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16.54</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35.62</w:t>
            </w:r>
            <w:r>
              <w:rPr>
                <w:rFonts w:ascii="Times New Roman" w:hAnsi="Times New Roman"/>
                <w:color w:val="000000"/>
                <w:sz w:val="18"/>
                <w:u w:color="auto"/>
              </w:rPr>
              <w:t xml:space="preserve"> </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35.62</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656.18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521.57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134.61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656.18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656.18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3.92</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43.66</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22.77</w:t>
            </w:r>
            <w:r>
              <w:rPr>
                <w:rFonts w:ascii="Times New Roman" w:hAnsi="Times New Roman"/>
                <w:color w:val="000000"/>
                <w:sz w:val="18"/>
                <w:u w:color="auto"/>
              </w:rPr>
              <w:t xml:space="preserve"> </w:t>
            </w:r>
          </w:p>
        </w:tc>
        <w:tc>
          <w:tcPr>
            <w:tcW w:w="12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1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eastAsia" w:eastAsia="宋体" w:cs="宋体"/>
          <w:sz w:val="18"/>
          <w:szCs w:val="18"/>
          <w:lang w:eastAsia="zh-CN"/>
        </w:rPr>
      </w:pPr>
      <w:r>
        <w:rPr>
          <w:rFonts w:cs="宋体"/>
          <w:sz w:val="18"/>
          <w:szCs w:val="18"/>
        </w:rPr>
        <w:t xml:space="preserve">      2.本套报表金额单位转换时可能存在尾数误差。</w:t>
      </w:r>
    </w:p>
    <w:p>
      <w:pPr>
        <w:rPr>
          <w:rFonts w:hint="eastAsia" w:eastAsia="宋体" w:cs="宋体"/>
          <w:sz w:val="18"/>
          <w:szCs w:val="18"/>
          <w:lang w:eastAsia="zh-CN"/>
        </w:rPr>
      </w:pPr>
    </w:p>
    <w:p>
      <w:pPr>
        <w:rPr>
          <w:rFonts w:hint="eastAsia" w:eastAsia="宋体" w:cs="宋体"/>
          <w:sz w:val="18"/>
          <w:szCs w:val="18"/>
          <w:lang w:val="en-US"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jmKK6MwIAAGc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BQAAAAIAIdO4kACxRCNNwIAAGYE&#10;AAAOAAAAAAAAAAEAIAAAAD0BAABkcnMvZTJvRG9jLnhtbFBLAQIUABQAAAAIAIdO4kB4DVRU2AAA&#10;AAoBAAAPAAAAAAAAAAEAIAAAADgAAABkcnMvZG93bnJldi54bWxQSwECFAAKAAAAAACHTuJAAAAA&#10;AAAAAAAAAAAABAAAAAAAAAAAABAAAAAWAAAAZHJzL1BLBQYAAAAABgAGAFkBAADm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hiMmJlZjk3NWJlNjY2Njk4NDFiNDk3OGE4NmEifQ=="/>
  </w:docVars>
  <w:rsids>
    <w:rsidRoot w:val="00B03CCD"/>
    <w:rsid w:val="000D7BCC"/>
    <w:rsid w:val="00550ABE"/>
    <w:rsid w:val="007B419D"/>
    <w:rsid w:val="009B67B8"/>
    <w:rsid w:val="00B03CCD"/>
    <w:rsid w:val="01474EBF"/>
    <w:rsid w:val="01654735"/>
    <w:rsid w:val="019020B1"/>
    <w:rsid w:val="01F3521E"/>
    <w:rsid w:val="02056D00"/>
    <w:rsid w:val="02253A77"/>
    <w:rsid w:val="02952CBB"/>
    <w:rsid w:val="02A96F46"/>
    <w:rsid w:val="03A52548"/>
    <w:rsid w:val="03B04281"/>
    <w:rsid w:val="03E3214F"/>
    <w:rsid w:val="04446191"/>
    <w:rsid w:val="044C50BA"/>
    <w:rsid w:val="0536621F"/>
    <w:rsid w:val="058A6BFA"/>
    <w:rsid w:val="05E71467"/>
    <w:rsid w:val="06247E33"/>
    <w:rsid w:val="06A2550B"/>
    <w:rsid w:val="06AC2057"/>
    <w:rsid w:val="06F80EE2"/>
    <w:rsid w:val="07001CCA"/>
    <w:rsid w:val="075321D2"/>
    <w:rsid w:val="075678DB"/>
    <w:rsid w:val="07932335"/>
    <w:rsid w:val="07C039EC"/>
    <w:rsid w:val="08051BCA"/>
    <w:rsid w:val="080A21BB"/>
    <w:rsid w:val="08BA052C"/>
    <w:rsid w:val="08DB07BA"/>
    <w:rsid w:val="092211F1"/>
    <w:rsid w:val="098305D0"/>
    <w:rsid w:val="09B72B6E"/>
    <w:rsid w:val="09D63C14"/>
    <w:rsid w:val="0A0362C1"/>
    <w:rsid w:val="0A0C7F04"/>
    <w:rsid w:val="0A227275"/>
    <w:rsid w:val="0A5C4B69"/>
    <w:rsid w:val="0A6D53AC"/>
    <w:rsid w:val="0ADC4D63"/>
    <w:rsid w:val="0AEF2314"/>
    <w:rsid w:val="0B1F4D25"/>
    <w:rsid w:val="0B9335CE"/>
    <w:rsid w:val="0BA10C97"/>
    <w:rsid w:val="0BE02E33"/>
    <w:rsid w:val="0C554661"/>
    <w:rsid w:val="0C5F1EC1"/>
    <w:rsid w:val="0C7927C4"/>
    <w:rsid w:val="0C9B098C"/>
    <w:rsid w:val="0CE80A8F"/>
    <w:rsid w:val="0D472B48"/>
    <w:rsid w:val="0D665F84"/>
    <w:rsid w:val="0D673E11"/>
    <w:rsid w:val="0DB50EFE"/>
    <w:rsid w:val="0DD25DDB"/>
    <w:rsid w:val="0DDA54E4"/>
    <w:rsid w:val="0E3A5F83"/>
    <w:rsid w:val="0E824E82"/>
    <w:rsid w:val="0E9478E1"/>
    <w:rsid w:val="0EE172B4"/>
    <w:rsid w:val="0EFFD28E"/>
    <w:rsid w:val="0F836721"/>
    <w:rsid w:val="103645A3"/>
    <w:rsid w:val="10503F80"/>
    <w:rsid w:val="107B59E5"/>
    <w:rsid w:val="10AA219D"/>
    <w:rsid w:val="11003CB0"/>
    <w:rsid w:val="11124E18"/>
    <w:rsid w:val="111445C7"/>
    <w:rsid w:val="1158083A"/>
    <w:rsid w:val="11F03528"/>
    <w:rsid w:val="11F369B4"/>
    <w:rsid w:val="120D64BD"/>
    <w:rsid w:val="12771554"/>
    <w:rsid w:val="129973FF"/>
    <w:rsid w:val="12C921C4"/>
    <w:rsid w:val="12DA353E"/>
    <w:rsid w:val="136A29C0"/>
    <w:rsid w:val="13850DCB"/>
    <w:rsid w:val="13871C70"/>
    <w:rsid w:val="13A71CB4"/>
    <w:rsid w:val="13AF1D43"/>
    <w:rsid w:val="13CE1647"/>
    <w:rsid w:val="13DE191B"/>
    <w:rsid w:val="14200702"/>
    <w:rsid w:val="143F02C6"/>
    <w:rsid w:val="144F3F11"/>
    <w:rsid w:val="1510223D"/>
    <w:rsid w:val="1580711B"/>
    <w:rsid w:val="16D80EBF"/>
    <w:rsid w:val="16E47209"/>
    <w:rsid w:val="189B0D0B"/>
    <w:rsid w:val="18E03A42"/>
    <w:rsid w:val="19313430"/>
    <w:rsid w:val="194A1770"/>
    <w:rsid w:val="19B906A4"/>
    <w:rsid w:val="19BC4734"/>
    <w:rsid w:val="1A1F744B"/>
    <w:rsid w:val="1A8D01D2"/>
    <w:rsid w:val="1AB10093"/>
    <w:rsid w:val="1B501DE7"/>
    <w:rsid w:val="1B6F15B6"/>
    <w:rsid w:val="1B7966EB"/>
    <w:rsid w:val="1BAA2EDC"/>
    <w:rsid w:val="1BC027C5"/>
    <w:rsid w:val="1C652109"/>
    <w:rsid w:val="1CC57360"/>
    <w:rsid w:val="1CE157EE"/>
    <w:rsid w:val="1D014A01"/>
    <w:rsid w:val="1D022362"/>
    <w:rsid w:val="1D091B60"/>
    <w:rsid w:val="1D6D1692"/>
    <w:rsid w:val="1D794AE5"/>
    <w:rsid w:val="1DD26311"/>
    <w:rsid w:val="1DE57DAF"/>
    <w:rsid w:val="1EF67CA4"/>
    <w:rsid w:val="1F213FD9"/>
    <w:rsid w:val="1FCD26AF"/>
    <w:rsid w:val="20642787"/>
    <w:rsid w:val="20974574"/>
    <w:rsid w:val="20C83310"/>
    <w:rsid w:val="20EC77A3"/>
    <w:rsid w:val="21556F04"/>
    <w:rsid w:val="216838F8"/>
    <w:rsid w:val="22403BD3"/>
    <w:rsid w:val="22904E09"/>
    <w:rsid w:val="22E94994"/>
    <w:rsid w:val="233A2E96"/>
    <w:rsid w:val="23456E7C"/>
    <w:rsid w:val="24AF1021"/>
    <w:rsid w:val="24B92327"/>
    <w:rsid w:val="24D3717D"/>
    <w:rsid w:val="25153A65"/>
    <w:rsid w:val="2533755C"/>
    <w:rsid w:val="26396DF4"/>
    <w:rsid w:val="266B763B"/>
    <w:rsid w:val="26911E7A"/>
    <w:rsid w:val="26DF09CC"/>
    <w:rsid w:val="27167136"/>
    <w:rsid w:val="27B23302"/>
    <w:rsid w:val="27D424D7"/>
    <w:rsid w:val="28121282"/>
    <w:rsid w:val="285722C3"/>
    <w:rsid w:val="28B42378"/>
    <w:rsid w:val="28DC1FF8"/>
    <w:rsid w:val="29310A5F"/>
    <w:rsid w:val="29C37A35"/>
    <w:rsid w:val="29DB5305"/>
    <w:rsid w:val="2A076083"/>
    <w:rsid w:val="2A306CA5"/>
    <w:rsid w:val="2A73162E"/>
    <w:rsid w:val="2AFA2E94"/>
    <w:rsid w:val="2B167953"/>
    <w:rsid w:val="2B200583"/>
    <w:rsid w:val="2B4104F9"/>
    <w:rsid w:val="2B8209DE"/>
    <w:rsid w:val="2C131B28"/>
    <w:rsid w:val="2C3639C2"/>
    <w:rsid w:val="2C6762A3"/>
    <w:rsid w:val="2D53130B"/>
    <w:rsid w:val="2D5F4C37"/>
    <w:rsid w:val="2D8D7A26"/>
    <w:rsid w:val="2E462A16"/>
    <w:rsid w:val="2E786A6E"/>
    <w:rsid w:val="2F7020DC"/>
    <w:rsid w:val="2FE029D7"/>
    <w:rsid w:val="2FF06E00"/>
    <w:rsid w:val="30567992"/>
    <w:rsid w:val="315F0B22"/>
    <w:rsid w:val="31606230"/>
    <w:rsid w:val="316968DB"/>
    <w:rsid w:val="31BE24D6"/>
    <w:rsid w:val="31D84415"/>
    <w:rsid w:val="32285F6F"/>
    <w:rsid w:val="32493AD6"/>
    <w:rsid w:val="32770556"/>
    <w:rsid w:val="329C0913"/>
    <w:rsid w:val="330B1EDA"/>
    <w:rsid w:val="3337290D"/>
    <w:rsid w:val="334B0167"/>
    <w:rsid w:val="33A147A3"/>
    <w:rsid w:val="34B9283C"/>
    <w:rsid w:val="34C97D31"/>
    <w:rsid w:val="35076329"/>
    <w:rsid w:val="352930DB"/>
    <w:rsid w:val="353A4B9A"/>
    <w:rsid w:val="35573069"/>
    <w:rsid w:val="357165F8"/>
    <w:rsid w:val="358C217E"/>
    <w:rsid w:val="359E7284"/>
    <w:rsid w:val="359F188C"/>
    <w:rsid w:val="36B42939"/>
    <w:rsid w:val="36C9128A"/>
    <w:rsid w:val="37841E99"/>
    <w:rsid w:val="379C594F"/>
    <w:rsid w:val="37BF1123"/>
    <w:rsid w:val="37C05C66"/>
    <w:rsid w:val="37C85E36"/>
    <w:rsid w:val="38483AD4"/>
    <w:rsid w:val="38BC1135"/>
    <w:rsid w:val="38BE4696"/>
    <w:rsid w:val="39B82A39"/>
    <w:rsid w:val="39F33306"/>
    <w:rsid w:val="3ACF0B34"/>
    <w:rsid w:val="3ADC3D9A"/>
    <w:rsid w:val="3B1705E5"/>
    <w:rsid w:val="3B18334B"/>
    <w:rsid w:val="3B36794F"/>
    <w:rsid w:val="3B544954"/>
    <w:rsid w:val="3B733A95"/>
    <w:rsid w:val="3B793FF0"/>
    <w:rsid w:val="3B97076E"/>
    <w:rsid w:val="3B9F72A2"/>
    <w:rsid w:val="3C5A5928"/>
    <w:rsid w:val="3C616675"/>
    <w:rsid w:val="3C6A5B02"/>
    <w:rsid w:val="3D2757A1"/>
    <w:rsid w:val="3D3D4FC4"/>
    <w:rsid w:val="3D4806F4"/>
    <w:rsid w:val="3DDF3AB1"/>
    <w:rsid w:val="3DE60B7E"/>
    <w:rsid w:val="3E1A375B"/>
    <w:rsid w:val="3E1D0952"/>
    <w:rsid w:val="3E42660A"/>
    <w:rsid w:val="3E7555B1"/>
    <w:rsid w:val="3EA72472"/>
    <w:rsid w:val="3EDE1208"/>
    <w:rsid w:val="3F0527E5"/>
    <w:rsid w:val="3F16459E"/>
    <w:rsid w:val="3F4A6687"/>
    <w:rsid w:val="3F554D57"/>
    <w:rsid w:val="4004000C"/>
    <w:rsid w:val="411B6CE5"/>
    <w:rsid w:val="412070D7"/>
    <w:rsid w:val="41314E40"/>
    <w:rsid w:val="415C674B"/>
    <w:rsid w:val="426C1EA8"/>
    <w:rsid w:val="42E86A87"/>
    <w:rsid w:val="43136432"/>
    <w:rsid w:val="43964958"/>
    <w:rsid w:val="43BF379F"/>
    <w:rsid w:val="443A3B12"/>
    <w:rsid w:val="44487B36"/>
    <w:rsid w:val="44EF6BE8"/>
    <w:rsid w:val="45771C7E"/>
    <w:rsid w:val="45A30364"/>
    <w:rsid w:val="463026D9"/>
    <w:rsid w:val="465B470D"/>
    <w:rsid w:val="4694618C"/>
    <w:rsid w:val="469D6AD4"/>
    <w:rsid w:val="47674801"/>
    <w:rsid w:val="47BE6D02"/>
    <w:rsid w:val="47D56B85"/>
    <w:rsid w:val="48225EF7"/>
    <w:rsid w:val="48A36D47"/>
    <w:rsid w:val="495C4A24"/>
    <w:rsid w:val="49A0749B"/>
    <w:rsid w:val="49A21DF3"/>
    <w:rsid w:val="49C811E4"/>
    <w:rsid w:val="4A216E30"/>
    <w:rsid w:val="4B7951CB"/>
    <w:rsid w:val="4B7C315C"/>
    <w:rsid w:val="4B9300D7"/>
    <w:rsid w:val="4B99567B"/>
    <w:rsid w:val="4BA00478"/>
    <w:rsid w:val="4BAB7F90"/>
    <w:rsid w:val="4BD53EDA"/>
    <w:rsid w:val="4BE11807"/>
    <w:rsid w:val="4C484CE5"/>
    <w:rsid w:val="4D6155DA"/>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2C44A7"/>
    <w:rsid w:val="53990623"/>
    <w:rsid w:val="53C0244D"/>
    <w:rsid w:val="53DD4D4E"/>
    <w:rsid w:val="53E578CE"/>
    <w:rsid w:val="53EA10F5"/>
    <w:rsid w:val="541768A0"/>
    <w:rsid w:val="543B029D"/>
    <w:rsid w:val="54977029"/>
    <w:rsid w:val="550274A4"/>
    <w:rsid w:val="554E5773"/>
    <w:rsid w:val="555A3CBC"/>
    <w:rsid w:val="558A5B12"/>
    <w:rsid w:val="55EF4EA6"/>
    <w:rsid w:val="56530F5D"/>
    <w:rsid w:val="56EE372E"/>
    <w:rsid w:val="570D735E"/>
    <w:rsid w:val="57707FE8"/>
    <w:rsid w:val="5842572D"/>
    <w:rsid w:val="58553BFA"/>
    <w:rsid w:val="59571655"/>
    <w:rsid w:val="598A28E2"/>
    <w:rsid w:val="5A6279C1"/>
    <w:rsid w:val="5AD563E4"/>
    <w:rsid w:val="5C1336B7"/>
    <w:rsid w:val="5C263CE4"/>
    <w:rsid w:val="5C5D2777"/>
    <w:rsid w:val="5C722D7F"/>
    <w:rsid w:val="5D290C69"/>
    <w:rsid w:val="5D67208D"/>
    <w:rsid w:val="5DC17CC6"/>
    <w:rsid w:val="5E312FC9"/>
    <w:rsid w:val="5EFA176D"/>
    <w:rsid w:val="5F0247F9"/>
    <w:rsid w:val="5F2D4A41"/>
    <w:rsid w:val="601C34ED"/>
    <w:rsid w:val="60A511FB"/>
    <w:rsid w:val="61025A59"/>
    <w:rsid w:val="610A6837"/>
    <w:rsid w:val="613D5BBC"/>
    <w:rsid w:val="61536C39"/>
    <w:rsid w:val="616D60F9"/>
    <w:rsid w:val="62944DD7"/>
    <w:rsid w:val="629F08EF"/>
    <w:rsid w:val="634265E1"/>
    <w:rsid w:val="63497036"/>
    <w:rsid w:val="63A9141F"/>
    <w:rsid w:val="63C1619B"/>
    <w:rsid w:val="63C25DC5"/>
    <w:rsid w:val="63C62057"/>
    <w:rsid w:val="63C73832"/>
    <w:rsid w:val="64192A39"/>
    <w:rsid w:val="64754794"/>
    <w:rsid w:val="64FB113D"/>
    <w:rsid w:val="650158A5"/>
    <w:rsid w:val="6544377C"/>
    <w:rsid w:val="655F5939"/>
    <w:rsid w:val="656152C6"/>
    <w:rsid w:val="6587477F"/>
    <w:rsid w:val="658C3A08"/>
    <w:rsid w:val="65C031CA"/>
    <w:rsid w:val="65CE6852"/>
    <w:rsid w:val="65F004F9"/>
    <w:rsid w:val="66267C04"/>
    <w:rsid w:val="663F505A"/>
    <w:rsid w:val="66633429"/>
    <w:rsid w:val="667F2393"/>
    <w:rsid w:val="66EE5541"/>
    <w:rsid w:val="67086152"/>
    <w:rsid w:val="67D254CC"/>
    <w:rsid w:val="687E45FE"/>
    <w:rsid w:val="692172FD"/>
    <w:rsid w:val="6A3829EE"/>
    <w:rsid w:val="6A924CB7"/>
    <w:rsid w:val="6AE0292E"/>
    <w:rsid w:val="6B474EF5"/>
    <w:rsid w:val="6BC27679"/>
    <w:rsid w:val="6BC54EFE"/>
    <w:rsid w:val="6C0737CC"/>
    <w:rsid w:val="6C560CAE"/>
    <w:rsid w:val="6CD15296"/>
    <w:rsid w:val="6D903FF5"/>
    <w:rsid w:val="6DA955B8"/>
    <w:rsid w:val="6DE346AB"/>
    <w:rsid w:val="6EF118C1"/>
    <w:rsid w:val="6EF125A0"/>
    <w:rsid w:val="6FFB2E76"/>
    <w:rsid w:val="70252019"/>
    <w:rsid w:val="70AB70D6"/>
    <w:rsid w:val="70DE5507"/>
    <w:rsid w:val="714631EF"/>
    <w:rsid w:val="71C34D91"/>
    <w:rsid w:val="71ED38AA"/>
    <w:rsid w:val="723F3B65"/>
    <w:rsid w:val="72DB435C"/>
    <w:rsid w:val="738549F4"/>
    <w:rsid w:val="73E478A8"/>
    <w:rsid w:val="73E664FA"/>
    <w:rsid w:val="741530D1"/>
    <w:rsid w:val="74901EDE"/>
    <w:rsid w:val="74ED1B1B"/>
    <w:rsid w:val="750837F0"/>
    <w:rsid w:val="762A73EF"/>
    <w:rsid w:val="7631412E"/>
    <w:rsid w:val="764F62AB"/>
    <w:rsid w:val="765C45EC"/>
    <w:rsid w:val="768A7619"/>
    <w:rsid w:val="7714640F"/>
    <w:rsid w:val="772F23ED"/>
    <w:rsid w:val="77E56A00"/>
    <w:rsid w:val="77EA362A"/>
    <w:rsid w:val="77F35CA4"/>
    <w:rsid w:val="780E2ADE"/>
    <w:rsid w:val="782149FC"/>
    <w:rsid w:val="7875383E"/>
    <w:rsid w:val="78E07322"/>
    <w:rsid w:val="796D60A4"/>
    <w:rsid w:val="79A031D5"/>
    <w:rsid w:val="79A145C1"/>
    <w:rsid w:val="79A52681"/>
    <w:rsid w:val="7A1525F7"/>
    <w:rsid w:val="7A3E6CB6"/>
    <w:rsid w:val="7A99799F"/>
    <w:rsid w:val="7AAB4252"/>
    <w:rsid w:val="7B420052"/>
    <w:rsid w:val="7B7D43A1"/>
    <w:rsid w:val="7B8C5733"/>
    <w:rsid w:val="7BD06A28"/>
    <w:rsid w:val="7C0C5586"/>
    <w:rsid w:val="7C1E4CD7"/>
    <w:rsid w:val="7C3A7C0B"/>
    <w:rsid w:val="7C5248E4"/>
    <w:rsid w:val="7C566698"/>
    <w:rsid w:val="7C817C07"/>
    <w:rsid w:val="7CE56AF6"/>
    <w:rsid w:val="7CF02E5B"/>
    <w:rsid w:val="7D213FB2"/>
    <w:rsid w:val="7D9615AC"/>
    <w:rsid w:val="7ED21450"/>
    <w:rsid w:val="7EE60B14"/>
    <w:rsid w:val="7F000062"/>
    <w:rsid w:val="7F062E06"/>
    <w:rsid w:val="7FBA36AB"/>
    <w:rsid w:val="7FF723E4"/>
    <w:rsid w:val="EBAF36B8"/>
    <w:rsid w:val="F87A4CAA"/>
    <w:rsid w:val="FBEDD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Plain Text"/>
    <w:basedOn w:val="1"/>
    <w:qFormat/>
    <w:uiPriority w:val="0"/>
    <w:rPr>
      <w:rFonts w:ascii="宋体" w:hAnsi="Courier New" w:eastAsia="宋体"/>
      <w:sz w:val="21"/>
      <w:szCs w:val="21"/>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66"/>
    <w:basedOn w:val="11"/>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10656</Words>
  <Characters>16035</Characters>
  <Lines>161</Lines>
  <Paragraphs>45</Paragraphs>
  <TotalTime>9</TotalTime>
  <ScaleCrop>false</ScaleCrop>
  <LinksUpToDate>false</LinksUpToDate>
  <CharactersWithSpaces>17678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cp:lastPrinted>2025-10-27T12:35:00Z</cp:lastPrinted>
  <dcterms:modified xsi:type="dcterms:W3CDTF">2025-10-29T14:53:21Z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BB46EABDBB2749749395447164B066B3_12</vt:lpwstr>
  </property>
</Properties>
</file>