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Times New Roman" w:hAnsi="Times New Roman" w:eastAsia="方正小标宋_GBK" w:cs="方正小标宋_GBK"/>
          <w:color w:val="000000"/>
          <w:kern w:val="2"/>
          <w:sz w:val="44"/>
          <w:szCs w:val="44"/>
          <w:shd w:val="clear" w:color="auto" w:fill="FFFFFF"/>
        </w:rPr>
      </w:pPr>
      <w:r>
        <w:rPr>
          <w:rFonts w:hint="eastAsia" w:ascii="方正小标宋_GBK" w:hAnsi="方正小标宋_GBK" w:eastAsia="方正小标宋_GBK" w:cs="方正小标宋_GBK"/>
          <w:color w:val="000000"/>
          <w:kern w:val="2"/>
          <w:sz w:val="44"/>
          <w:szCs w:val="44"/>
          <w:shd w:val="clear" w:color="auto" w:fill="FFFFFF"/>
        </w:rPr>
        <w:t>重庆市九龙坡区农业农村委员会</w:t>
      </w:r>
    </w:p>
    <w:p>
      <w:pPr>
        <w:keepNext w:val="0"/>
        <w:keepLines w:val="0"/>
        <w:widowControl w:val="0"/>
        <w:suppressLineNumbers w:val="0"/>
        <w:spacing w:before="0" w:beforeAutospacing="0" w:after="0" w:afterAutospacing="0" w:line="600" w:lineRule="exact"/>
        <w:ind w:left="0" w:right="0"/>
        <w:jc w:val="center"/>
        <w:rPr>
          <w:rFonts w:hint="eastAsia" w:ascii="Times New Roman" w:hAnsi="Times New Roman" w:eastAsia="方正小标宋_GBK" w:cs="方正小标宋_GBK"/>
          <w:color w:val="000000"/>
          <w:kern w:val="2"/>
          <w:sz w:val="44"/>
          <w:szCs w:val="44"/>
          <w:shd w:val="clear" w:color="auto" w:fill="FFFFFF"/>
        </w:rPr>
      </w:pPr>
      <w:r>
        <w:rPr>
          <w:rFonts w:hint="default" w:ascii="Times New Roman" w:hAnsi="Times New Roman" w:eastAsia="方正小标宋_GBK" w:cs="Times New Roman"/>
          <w:color w:val="000000"/>
          <w:kern w:val="2"/>
          <w:sz w:val="44"/>
          <w:szCs w:val="44"/>
          <w:shd w:val="clear" w:color="auto" w:fill="FFFFFF"/>
        </w:rPr>
        <w:t>202</w:t>
      </w:r>
      <w:r>
        <w:rPr>
          <w:rFonts w:hint="default" w:ascii="Times New Roman" w:hAnsi="Times New Roman" w:eastAsia="方正小标宋_GBK" w:cs="Times New Roman"/>
          <w:color w:val="000000"/>
          <w:kern w:val="2"/>
          <w:sz w:val="44"/>
          <w:szCs w:val="44"/>
          <w:shd w:val="clear" w:color="auto" w:fill="FFFFFF"/>
          <w:lang w:val="en-US" w:eastAsia="zh-CN"/>
        </w:rPr>
        <w:t>4</w:t>
      </w:r>
      <w:r>
        <w:rPr>
          <w:rFonts w:hint="eastAsia" w:ascii="方正小标宋_GBK" w:hAnsi="方正小标宋_GBK" w:eastAsia="方正小标宋_GBK" w:cs="方正小标宋_GBK"/>
          <w:color w:val="000000"/>
          <w:kern w:val="2"/>
          <w:sz w:val="44"/>
          <w:szCs w:val="44"/>
          <w:shd w:val="clear" w:color="auto" w:fill="FFFFFF"/>
        </w:rPr>
        <w:t>年度部门决算情况说明</w:t>
      </w:r>
    </w:p>
    <w:p>
      <w:pPr>
        <w:pStyle w:val="11"/>
        <w:keepNext w:val="0"/>
        <w:keepLines w:val="0"/>
        <w:widowControl w:val="0"/>
        <w:suppressLineNumbers w:val="0"/>
        <w:spacing w:before="0" w:beforeAutospacing="0" w:after="0" w:afterAutospacing="0" w:line="560" w:lineRule="exact"/>
        <w:ind w:left="0" w:leftChars="0" w:right="0" w:rightChars="0"/>
        <w:jc w:val="left"/>
        <w:rPr>
          <w:rFonts w:hint="default" w:ascii="Times New Roman" w:hAnsi="Times New Roman" w:eastAsia="宋体" w:cs="Times New Roman"/>
          <w:b/>
          <w:kern w:val="0"/>
          <w:sz w:val="24"/>
          <w:szCs w:val="24"/>
          <w:shd w:val="clear" w:fill="FFFFFF"/>
        </w:rPr>
      </w:pPr>
      <w:r>
        <w:rPr>
          <w:rFonts w:hint="default" w:ascii="Times New Roman" w:hAnsi="Times New Roman" w:eastAsia="宋体" w:cs="Times New Roman"/>
          <w:b/>
          <w:kern w:val="0"/>
          <w:sz w:val="24"/>
          <w:szCs w:val="24"/>
          <w:shd w:val="clear" w:fill="FFFFFF"/>
        </w:rPr>
        <w:t xml:space="preserve"> </w:t>
      </w:r>
    </w:p>
    <w:p>
      <w:pPr>
        <w:pStyle w:val="11"/>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黑体_GBK" w:cs="宋体"/>
          <w:b w:val="0"/>
          <w:kern w:val="0"/>
          <w:sz w:val="32"/>
          <w:szCs w:val="32"/>
        </w:rPr>
      </w:pPr>
      <w:r>
        <w:rPr>
          <w:rStyle w:val="14"/>
          <w:rFonts w:hint="eastAsia" w:ascii="方正黑体_GBK" w:hAnsi="方正黑体_GBK" w:eastAsia="方正黑体_GBK" w:cs="方正黑体_GBK"/>
          <w:b w:val="0"/>
          <w:sz w:val="32"/>
          <w:szCs w:val="32"/>
        </w:rPr>
        <w:t>一、部门基本情况</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kern w:val="0"/>
          <w:sz w:val="32"/>
          <w:szCs w:val="32"/>
        </w:rPr>
      </w:pPr>
      <w:r>
        <w:rPr>
          <w:rFonts w:hint="eastAsia" w:ascii="方正楷体_GBK" w:hAnsi="方正楷体_GBK" w:eastAsia="方正楷体_GBK" w:cs="方正楷体_GBK"/>
          <w:b/>
          <w:kern w:val="0"/>
          <w:sz w:val="32"/>
          <w:szCs w:val="32"/>
          <w:shd w:val="clear" w:color="auto" w:fill="FFFFFF"/>
        </w:rPr>
        <w:t>（一）职能职责。</w:t>
      </w:r>
      <w:r>
        <w:rPr>
          <w:rFonts w:hint="eastAsia" w:ascii="方正仿宋_GBK" w:hAnsi="方正仿宋_GBK" w:eastAsia="方正仿宋_GBK" w:cs="方正仿宋_GBK"/>
          <w:color w:val="auto"/>
          <w:kern w:val="0"/>
          <w:sz w:val="32"/>
          <w:szCs w:val="32"/>
        </w:rPr>
        <w:t>我委是区政府一个综合性职能部门，主要职责是统筹推进发展农村社会事业、农村公共服务、农村文化、农村基础设施和乡村治理，牵头组织改善农村人居环境；负责农产品质量安全监管；负责种植业、畜牧业、渔业、农业机械化等农业各产业的监督管理，</w:t>
      </w:r>
      <w:r>
        <w:rPr>
          <w:rFonts w:hint="eastAsia" w:ascii="方正仿宋_GBK" w:hAnsi="方正仿宋_GBK" w:eastAsia="方正仿宋_GBK" w:cs="方正仿宋_GBK"/>
          <w:color w:val="auto"/>
          <w:spacing w:val="0"/>
          <w:kern w:val="0"/>
          <w:sz w:val="32"/>
          <w:szCs w:val="32"/>
        </w:rPr>
        <w:t>负责农村集体经济组织、家庭农场、农民专业合作社等新型农业经营主体的培育</w:t>
      </w:r>
      <w:r>
        <w:rPr>
          <w:rFonts w:hint="eastAsia" w:ascii="方正仿宋_GBK" w:hAnsi="方正仿宋_GBK" w:eastAsia="方正仿宋_GBK" w:cs="方正仿宋_GBK"/>
          <w:color w:val="auto"/>
          <w:kern w:val="0"/>
          <w:sz w:val="32"/>
          <w:szCs w:val="32"/>
        </w:rPr>
        <w:t>；贯彻执行农业、水利、移民工作法律、法规、规章及方针政策；</w:t>
      </w:r>
      <w:r>
        <w:rPr>
          <w:rFonts w:hint="eastAsia" w:ascii="方正仿宋_GBK" w:hAnsi="方正仿宋_GBK" w:eastAsia="方正仿宋_GBK" w:cs="方正仿宋_GBK"/>
          <w:color w:val="auto"/>
          <w:spacing w:val="0"/>
          <w:kern w:val="0"/>
          <w:sz w:val="32"/>
          <w:szCs w:val="32"/>
        </w:rPr>
        <w:t>指导农村集体资产、农村合作经济组织的发展与管理，</w:t>
      </w:r>
      <w:r>
        <w:rPr>
          <w:rFonts w:hint="eastAsia" w:ascii="方正仿宋_GBK" w:hAnsi="方正仿宋_GBK" w:eastAsia="方正仿宋_GBK" w:cs="方正仿宋_GBK"/>
          <w:color w:val="auto"/>
          <w:kern w:val="0"/>
          <w:sz w:val="32"/>
          <w:szCs w:val="32"/>
        </w:rPr>
        <w:t>乡村特色产业、农产品加工业、休闲农业发展等工作。</w:t>
      </w:r>
    </w:p>
    <w:p>
      <w:pPr>
        <w:pStyle w:val="11"/>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Times New Roman" w:hAnsi="Times New Roman" w:eastAsia="宋体" w:cs="宋体"/>
          <w:kern w:val="0"/>
          <w:sz w:val="24"/>
          <w:szCs w:val="24"/>
        </w:rPr>
      </w:pPr>
      <w:r>
        <w:rPr>
          <w:rFonts w:hint="eastAsia" w:ascii="方正楷体_GBK" w:hAnsi="方正楷体_GBK" w:eastAsia="方正楷体_GBK" w:cs="方正楷体_GBK"/>
          <w:b/>
          <w:kern w:val="0"/>
          <w:sz w:val="32"/>
          <w:szCs w:val="32"/>
          <w:shd w:val="clear" w:color="auto" w:fill="FFFFFF"/>
        </w:rPr>
        <w:t>（二）机构设置。</w:t>
      </w:r>
      <w:r>
        <w:rPr>
          <w:rFonts w:hint="eastAsia" w:ascii="方正仿宋_GBK" w:hAnsi="方正仿宋_GBK" w:eastAsia="方正仿宋_GBK" w:cs="方正仿宋_GBK"/>
          <w:kern w:val="0"/>
          <w:sz w:val="32"/>
          <w:szCs w:val="32"/>
          <w:shd w:val="clear" w:color="auto" w:fill="FFFFFF"/>
        </w:rPr>
        <w:t>重庆市九龙坡区农业农村委员会为行政单位，下属事业</w:t>
      </w:r>
      <w:r>
        <w:rPr>
          <w:rFonts w:hint="eastAsia" w:ascii="Times New Roman" w:hAnsi="Times New Roman" w:eastAsia="方正仿宋_GBK" w:cs="Times New Roman"/>
          <w:kern w:val="0"/>
          <w:sz w:val="32"/>
          <w:szCs w:val="32"/>
          <w:shd w:val="clear" w:color="auto" w:fill="FFFFFF"/>
          <w:lang w:val="en-US" w:eastAsia="zh-CN" w:bidi="ar-SA"/>
        </w:rPr>
        <w:t>单位</w:t>
      </w:r>
      <w:r>
        <w:rPr>
          <w:rFonts w:hint="default" w:ascii="Times New Roman" w:hAnsi="Times New Roman" w:eastAsia="方正仿宋_GBK" w:cs="Times New Roman"/>
          <w:kern w:val="0"/>
          <w:sz w:val="32"/>
          <w:szCs w:val="32"/>
          <w:shd w:val="clear" w:color="auto" w:fill="FFFFFF"/>
          <w:lang w:val="en-US" w:eastAsia="zh-CN" w:bidi="ar-SA"/>
        </w:rPr>
        <w:t>7</w:t>
      </w:r>
      <w:r>
        <w:rPr>
          <w:rFonts w:hint="eastAsia" w:ascii="Times New Roman" w:hAnsi="Times New Roman" w:eastAsia="方正仿宋_GBK" w:cs="Times New Roman"/>
          <w:kern w:val="0"/>
          <w:sz w:val="32"/>
          <w:szCs w:val="32"/>
          <w:shd w:val="clear" w:color="auto" w:fill="FFFFFF"/>
          <w:lang w:val="en-US" w:eastAsia="zh-CN" w:bidi="ar-SA"/>
        </w:rPr>
        <w:t>个，其中：参照公务员法管理事业单位</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Times New Roman" w:hAnsi="Times New Roman" w:eastAsia="方正仿宋_GBK" w:cs="Times New Roman"/>
          <w:kern w:val="0"/>
          <w:sz w:val="32"/>
          <w:szCs w:val="32"/>
          <w:shd w:val="clear" w:color="auto" w:fill="FFFFFF"/>
          <w:lang w:val="en-US" w:eastAsia="zh-CN" w:bidi="ar-SA"/>
        </w:rPr>
        <w:t>个</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九龙坡区农业综合行政执法支队</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、全额事业单位</w:t>
      </w:r>
      <w:r>
        <w:rPr>
          <w:rFonts w:hint="default" w:ascii="Times New Roman" w:hAnsi="Times New Roman" w:eastAsia="方正仿宋_GBK" w:cs="Times New Roman"/>
          <w:kern w:val="0"/>
          <w:sz w:val="32"/>
          <w:szCs w:val="32"/>
          <w:shd w:val="clear" w:color="auto" w:fill="FFFFFF"/>
          <w:lang w:val="en-US" w:eastAsia="zh-CN" w:bidi="ar-SA"/>
        </w:rPr>
        <w:t>6</w:t>
      </w:r>
      <w:r>
        <w:rPr>
          <w:rFonts w:hint="eastAsia" w:ascii="方正仿宋_GBK" w:hAnsi="方正仿宋_GBK" w:eastAsia="方正仿宋_GBK" w:cs="方正仿宋_GBK"/>
          <w:kern w:val="0"/>
          <w:sz w:val="32"/>
          <w:szCs w:val="32"/>
          <w:shd w:val="clear" w:color="auto" w:fill="FFFFFF"/>
        </w:rPr>
        <w:t>个</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九龙坡区农业技术推广站、九龙坡区农村人居环境建设中心、九龙坡区农村经营管理站、九龙坡</w:t>
      </w:r>
      <w:r>
        <w:rPr>
          <w:rFonts w:hint="eastAsia" w:ascii="方正仿宋_GBK" w:hAnsi="方正仿宋_GBK" w:eastAsia="方正仿宋_GBK" w:cs="方正仿宋_GBK"/>
          <w:sz w:val="32"/>
          <w:szCs w:val="32"/>
          <w:lang w:val="en-US" w:eastAsia="zh-CN"/>
        </w:rPr>
        <w:t>区动物疫病预防控制中心</w:t>
      </w:r>
      <w:r>
        <w:rPr>
          <w:rFonts w:hint="eastAsia" w:ascii="方正仿宋_GBK" w:hAnsi="方正仿宋_GBK" w:eastAsia="方正仿宋_GBK" w:cs="方正仿宋_GBK"/>
          <w:kern w:val="0"/>
          <w:sz w:val="32"/>
          <w:szCs w:val="32"/>
          <w:shd w:val="clear" w:color="auto" w:fill="FFFFFF"/>
        </w:rPr>
        <w:t>、九龙坡区水库管理站、九龙坡区农机水利管理站）。</w:t>
      </w:r>
    </w:p>
    <w:p>
      <w:pPr>
        <w:pStyle w:val="15"/>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600" w:lineRule="exact"/>
        <w:ind w:left="0" w:right="0" w:rightChars="0" w:firstLine="643" w:firstLineChars="200"/>
        <w:jc w:val="both"/>
        <w:textAlignment w:val="auto"/>
        <w:outlineLvl w:val="9"/>
        <w:rPr>
          <w:rFonts w:hint="eastAsia" w:ascii="Times New Roman" w:hAnsi="Times New Roman" w:eastAsia="宋体" w:cs="宋体"/>
          <w:kern w:val="0"/>
          <w:sz w:val="24"/>
          <w:szCs w:val="24"/>
        </w:rPr>
      </w:pPr>
      <w:r>
        <w:rPr>
          <w:rFonts w:hint="eastAsia" w:ascii="方正楷体_GBK" w:hAnsi="方正楷体_GBK" w:eastAsia="方正楷体_GBK" w:cs="方正楷体_GBK"/>
          <w:b/>
          <w:kern w:val="0"/>
          <w:sz w:val="32"/>
          <w:szCs w:val="32"/>
          <w:shd w:val="clear" w:color="auto" w:fill="FFFFFF"/>
        </w:rPr>
        <w:t>（三）单位构成。</w:t>
      </w:r>
      <w:r>
        <w:rPr>
          <w:rFonts w:hint="eastAsia" w:ascii="方正仿宋_GBK" w:hAnsi="方正仿宋_GBK" w:eastAsia="方正仿宋_GBK" w:cs="方正仿宋_GBK"/>
          <w:kern w:val="2"/>
          <w:sz w:val="32"/>
          <w:szCs w:val="32"/>
          <w:shd w:val="clear" w:color="auto" w:fill="FFFFFF"/>
        </w:rPr>
        <w:t>从预算单位构成看，</w:t>
      </w:r>
      <w:r>
        <w:rPr>
          <w:rFonts w:hint="eastAsia" w:ascii="方正仿宋_GBK" w:hAnsi="方正仿宋_GBK" w:eastAsia="方正仿宋_GBK" w:cs="方正仿宋_GBK"/>
          <w:kern w:val="0"/>
          <w:sz w:val="32"/>
          <w:szCs w:val="32"/>
        </w:rPr>
        <w:t>纳入本部门</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rPr>
        <w:t>度决算编制范围的单位包含</w:t>
      </w:r>
      <w:r>
        <w:rPr>
          <w:rFonts w:hint="eastAsia" w:ascii="方正仿宋_GBK" w:hAnsi="方正仿宋_GBK" w:eastAsia="方正仿宋_GBK" w:cs="方正仿宋_GBK"/>
          <w:kern w:val="0"/>
          <w:sz w:val="32"/>
          <w:szCs w:val="32"/>
          <w:shd w:val="clear" w:color="auto" w:fill="FFFFFF"/>
        </w:rPr>
        <w:t>重庆市九龙坡区农业农村委员会（本级）及下属</w:t>
      </w:r>
      <w:r>
        <w:rPr>
          <w:rFonts w:hint="default" w:ascii="Times New Roman" w:hAnsi="Times New Roman" w:eastAsia="方正仿宋_GBK" w:cs="Times New Roman"/>
          <w:kern w:val="0"/>
          <w:sz w:val="32"/>
          <w:szCs w:val="32"/>
          <w:shd w:val="clear" w:color="auto" w:fill="FFFFFF"/>
        </w:rPr>
        <w:t>7</w:t>
      </w:r>
      <w:r>
        <w:rPr>
          <w:rFonts w:hint="eastAsia" w:ascii="方正仿宋_GBK" w:hAnsi="方正仿宋_GBK" w:eastAsia="方正仿宋_GBK" w:cs="方正仿宋_GBK"/>
          <w:kern w:val="0"/>
          <w:sz w:val="32"/>
          <w:szCs w:val="32"/>
          <w:shd w:val="clear" w:color="auto" w:fill="FFFFFF"/>
        </w:rPr>
        <w:t>个事业单位。本次公开的数据均包含上述单位。</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val="0"/>
        <w:kinsoku/>
        <w:wordWrap/>
        <w:overflowPunct/>
        <w:topLinePunct w:val="0"/>
        <w:autoSpaceDE w:val="0"/>
        <w:bidi w:val="0"/>
        <w:adjustRightInd/>
        <w:spacing w:beforeAutospacing="0" w:afterAutospacing="0"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val="0"/>
        <w:shd w:val="clear" w:color="auto" w:fill="FFFFFF"/>
        <w:kinsoku/>
        <w:wordWrap/>
        <w:overflowPunct/>
        <w:topLinePunct w:val="0"/>
        <w:bidi w:val="0"/>
        <w:adjustRightInd/>
        <w:spacing w:beforeAutospacing="0" w:afterAutospacing="0" w:line="600" w:lineRule="exact"/>
        <w:ind w:firstLine="643" w:firstLineChars="200"/>
        <w:jc w:val="both"/>
        <w:textAlignment w:val="auto"/>
        <w:rPr>
          <w:rFonts w:hint="eastAsia" w:ascii="方正仿宋_GBK" w:hAnsi="方正仿宋_GBK" w:eastAsia="方正仿宋_GBK" w:cs="方正仿宋_GBK"/>
          <w:b w:val="0"/>
          <w:color w:val="auto"/>
          <w:kern w:val="0"/>
          <w:sz w:val="32"/>
          <w:szCs w:val="32"/>
          <w:shd w:val="clear" w:fill="FFFFFF"/>
          <w:lang w:eastAsia="zh-CN"/>
        </w:rPr>
      </w:pPr>
      <w:r>
        <w:rPr>
          <w:rStyle w:val="9"/>
          <w:rFonts w:hint="default" w:ascii="Times New Roman" w:hAnsi="Times New Roman" w:eastAsia="方正仿宋_GBK" w:cs="Times New Roman"/>
          <w:sz w:val="32"/>
          <w:szCs w:val="32"/>
          <w:shd w:val="clear" w:color="auto" w:fill="FFFFFF"/>
        </w:rPr>
        <w:t>1</w:t>
      </w:r>
      <w:r>
        <w:rPr>
          <w:rStyle w:val="9"/>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度收入总计6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706.69万元，支出总计6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706.69万元。收、支与2023年度相比，减少1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101.61万元，下降14.1%，</w:t>
      </w:r>
      <w:r>
        <w:rPr>
          <w:rFonts w:hint="eastAsia" w:ascii="Times New Roman" w:hAnsi="Times New Roman" w:eastAsia="方正仿宋_GBK" w:cs="Times New Roman"/>
          <w:kern w:val="0"/>
          <w:sz w:val="32"/>
          <w:szCs w:val="32"/>
          <w:shd w:val="clear" w:color="auto" w:fill="FFFFFF"/>
          <w:lang w:val="en-US" w:eastAsia="zh-CN" w:bidi="ar-SA"/>
        </w:rPr>
        <w:t>主要原因是</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年农林水收支的减少</w:t>
      </w:r>
      <w:r>
        <w:rPr>
          <w:rFonts w:hint="eastAsia" w:ascii="方正仿宋_GBK" w:hAnsi="方正仿宋_GBK" w:eastAsia="方正仿宋_GBK" w:cs="方正仿宋_GBK"/>
          <w:b w:val="0"/>
          <w:color w:val="auto"/>
          <w:kern w:val="0"/>
          <w:sz w:val="32"/>
          <w:szCs w:val="32"/>
          <w:shd w:val="clear" w:fill="FFFFFF"/>
          <w:lang w:eastAsia="zh-CN"/>
        </w:rPr>
        <w:t>。</w:t>
      </w:r>
    </w:p>
    <w:p>
      <w:pPr>
        <w:pStyle w:val="6"/>
        <w:keepNext w:val="0"/>
        <w:keepLines w:val="0"/>
        <w:pageBreakBefore w:val="0"/>
        <w:widowControl w:val="0"/>
        <w:shd w:val="clear" w:color="auto" w:fill="FFFFFF"/>
        <w:kinsoku/>
        <w:wordWrap/>
        <w:overflowPunct/>
        <w:topLinePunct w:val="0"/>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Style w:val="9"/>
          <w:rFonts w:hint="default" w:ascii="Times New Roman" w:hAnsi="Times New Roman" w:eastAsia="方正仿宋_GBK" w:cs="Times New Roman"/>
          <w:sz w:val="32"/>
          <w:szCs w:val="32"/>
          <w:shd w:val="clear" w:color="auto" w:fill="FFFFFF"/>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度收入合计6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706.69万元，与2023年度相比，减少1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101.61万元，下降14.1%，主要原因是2024</w:t>
      </w:r>
      <w:r>
        <w:rPr>
          <w:rFonts w:hint="eastAsia" w:ascii="Times New Roman" w:hAnsi="Times New Roman" w:eastAsia="方正仿宋_GBK" w:cs="Times New Roman"/>
          <w:kern w:val="0"/>
          <w:sz w:val="32"/>
          <w:szCs w:val="32"/>
          <w:shd w:val="clear" w:color="auto" w:fill="FFFFFF"/>
          <w:lang w:val="en-US" w:eastAsia="zh-CN" w:bidi="ar-SA"/>
        </w:rPr>
        <w:t>年农林水收入的减少。</w:t>
      </w:r>
      <w:r>
        <w:rPr>
          <w:rFonts w:hint="default" w:ascii="Times New Roman" w:hAnsi="Times New Roman" w:eastAsia="方正仿宋_GBK" w:cs="Times New Roman"/>
          <w:kern w:val="0"/>
          <w:sz w:val="32"/>
          <w:szCs w:val="32"/>
          <w:shd w:val="clear" w:color="auto" w:fill="FFFFFF"/>
          <w:lang w:val="en-US" w:eastAsia="zh-CN" w:bidi="ar-SA"/>
        </w:rPr>
        <w:t>其中：财政拨款收入6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706.69万元，占100.00%。</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度支出合计6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706.69万元，与2023年度相比，减少1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101.61万元，下降14.1%，主要原因是2024</w:t>
      </w:r>
      <w:r>
        <w:rPr>
          <w:rFonts w:hint="eastAsia" w:ascii="Times New Roman" w:hAnsi="Times New Roman" w:eastAsia="方正仿宋_GBK" w:cs="Times New Roman"/>
          <w:kern w:val="0"/>
          <w:sz w:val="32"/>
          <w:szCs w:val="32"/>
          <w:shd w:val="clear" w:color="auto" w:fill="FFFFFF"/>
          <w:lang w:val="en-US" w:eastAsia="zh-CN" w:bidi="ar-SA"/>
        </w:rPr>
        <w:t>年农林水支出的减少。</w:t>
      </w:r>
      <w:r>
        <w:rPr>
          <w:rFonts w:hint="default" w:ascii="Times New Roman" w:hAnsi="Times New Roman" w:eastAsia="方正仿宋_GBK" w:cs="Times New Roman"/>
          <w:kern w:val="0"/>
          <w:sz w:val="32"/>
          <w:szCs w:val="32"/>
          <w:shd w:val="clear" w:color="auto" w:fill="FFFFFF"/>
          <w:lang w:val="en-US" w:eastAsia="zh-CN" w:bidi="ar-SA"/>
        </w:rPr>
        <w:t>其中：基本支出3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114.22万元，占46.43%；项目支出3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592.47万元，占53.57%。</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3"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度年末结转和结余0.00万元，与2023年度相比，</w:t>
      </w:r>
      <w:r>
        <w:rPr>
          <w:rFonts w:ascii="方正仿宋_GBK" w:hAnsi="方正仿宋_GBK" w:eastAsia="方正仿宋_GBK" w:cs="方正仿宋_GBK"/>
          <w:sz w:val="32"/>
          <w:szCs w:val="32"/>
          <w:shd w:val="clear" w:color="auto" w:fill="FFFFFF"/>
        </w:rPr>
        <w:t>无增减</w:t>
      </w:r>
      <w:r>
        <w:rPr>
          <w:rFonts w:hint="eastAsia" w:ascii="方正仿宋_GBK" w:hAnsi="方正仿宋_GBK" w:eastAsia="方正仿宋_GBK" w:cs="方正仿宋_GBK"/>
          <w:kern w:val="0"/>
          <w:sz w:val="32"/>
          <w:szCs w:val="32"/>
          <w:shd w:val="clear" w:fill="FFFFFF"/>
        </w:rPr>
        <w:t>。</w:t>
      </w:r>
    </w:p>
    <w:p>
      <w:pPr>
        <w:pStyle w:val="10"/>
        <w:keepNext w:val="0"/>
        <w:keepLines w:val="0"/>
        <w:pageBreakBefore w:val="0"/>
        <w:widowControl w:val="0"/>
        <w:kinsoku/>
        <w:wordWrap/>
        <w:overflowPunct/>
        <w:topLinePunct w:val="0"/>
        <w:autoSpaceDE w:val="0"/>
        <w:bidi w:val="0"/>
        <w:adjustRightInd/>
        <w:spacing w:beforeAutospacing="0" w:afterAutospacing="0"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度财政拨款收、支总计6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706.69万元。与2023年相比，财政拨款收、支总计各减少1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101.61万元，下降14.1%。主要原因是2024</w:t>
      </w:r>
      <w:r>
        <w:rPr>
          <w:rFonts w:hint="eastAsia" w:ascii="方正仿宋_GBK" w:hAnsi="方正仿宋_GBK" w:eastAsia="方正仿宋_GBK" w:cs="方正仿宋_GBK"/>
          <w:b w:val="0"/>
          <w:color w:val="auto"/>
          <w:kern w:val="0"/>
          <w:sz w:val="32"/>
          <w:szCs w:val="32"/>
          <w:shd w:val="clear" w:fill="FFFFFF"/>
        </w:rPr>
        <w:t>年农林水</w:t>
      </w:r>
      <w:r>
        <w:rPr>
          <w:rFonts w:hint="eastAsia" w:ascii="方正仿宋_GBK" w:hAnsi="方正仿宋_GBK" w:eastAsia="方正仿宋_GBK" w:cs="方正仿宋_GBK"/>
          <w:b w:val="0"/>
          <w:color w:val="auto"/>
          <w:kern w:val="0"/>
          <w:sz w:val="32"/>
          <w:szCs w:val="32"/>
          <w:shd w:val="clear" w:fill="FFFFFF"/>
          <w:lang w:val="en-US" w:eastAsia="zh-CN"/>
        </w:rPr>
        <w:t>收、支</w:t>
      </w:r>
      <w:r>
        <w:rPr>
          <w:rFonts w:hint="eastAsia" w:ascii="方正仿宋_GBK" w:hAnsi="方正仿宋_GBK" w:eastAsia="方正仿宋_GBK" w:cs="方正仿宋_GBK"/>
          <w:b w:val="0"/>
          <w:color w:val="auto"/>
          <w:kern w:val="0"/>
          <w:sz w:val="32"/>
          <w:szCs w:val="32"/>
          <w:shd w:val="clear" w:fill="FFFFFF"/>
        </w:rPr>
        <w:t>的减少造成</w:t>
      </w:r>
      <w:r>
        <w:rPr>
          <w:rFonts w:hint="eastAsia" w:ascii="方正仿宋_GBK" w:hAnsi="方正仿宋_GBK" w:eastAsia="方正仿宋_GBK" w:cs="方正仿宋_GBK"/>
          <w:b w:val="0"/>
          <w:color w:val="auto"/>
          <w:kern w:val="0"/>
          <w:sz w:val="32"/>
          <w:szCs w:val="32"/>
          <w:shd w:val="clear" w:fill="FFFFFF"/>
          <w:lang w:val="en-US" w:eastAsia="zh-CN"/>
        </w:rPr>
        <w:t>本年</w:t>
      </w:r>
      <w:r>
        <w:rPr>
          <w:rFonts w:hint="eastAsia" w:ascii="方正仿宋_GBK" w:hAnsi="方正仿宋_GBK" w:eastAsia="方正仿宋_GBK" w:cs="方正仿宋_GBK"/>
          <w:b w:val="0"/>
          <w:color w:val="auto"/>
          <w:kern w:val="0"/>
          <w:sz w:val="32"/>
          <w:szCs w:val="32"/>
          <w:shd w:val="clear" w:fill="FFFFFF"/>
        </w:rPr>
        <w:t>财政拨款收、支的减少。</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度一般公共预算财政拨款收入6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678.03万元，与2023年度相比，减少1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106.03万元，下降14.2%。主要原因是2024</w:t>
      </w:r>
      <w:r>
        <w:rPr>
          <w:rFonts w:hint="eastAsia" w:ascii="Times New Roman" w:hAnsi="Times New Roman" w:eastAsia="方正仿宋_GBK" w:cs="Times New Roman"/>
          <w:kern w:val="0"/>
          <w:sz w:val="32"/>
          <w:szCs w:val="32"/>
          <w:shd w:val="clear" w:color="auto" w:fill="FFFFFF"/>
          <w:lang w:val="en-US" w:eastAsia="zh-CN" w:bidi="ar-SA"/>
        </w:rPr>
        <w:t>年农林水收入的减少。</w:t>
      </w:r>
      <w:r>
        <w:rPr>
          <w:rFonts w:hint="default" w:ascii="Times New Roman" w:hAnsi="Times New Roman" w:eastAsia="方正仿宋_GBK" w:cs="Times New Roman"/>
          <w:kern w:val="0"/>
          <w:sz w:val="32"/>
          <w:szCs w:val="32"/>
          <w:shd w:val="clear" w:color="auto" w:fill="FFFFFF"/>
          <w:lang w:val="en-US" w:eastAsia="zh-CN" w:bidi="ar-SA"/>
        </w:rPr>
        <w:t>较年初预算数减少6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657.83万元，下降49.9%。主要原因是2024</w:t>
      </w:r>
      <w:r>
        <w:rPr>
          <w:rFonts w:hint="eastAsia" w:ascii="Times New Roman" w:hAnsi="Times New Roman" w:eastAsia="方正仿宋_GBK" w:cs="Times New Roman"/>
          <w:kern w:val="0"/>
          <w:sz w:val="32"/>
          <w:szCs w:val="32"/>
          <w:shd w:val="clear" w:color="auto" w:fill="FFFFFF"/>
          <w:lang w:val="en-US" w:eastAsia="zh-CN" w:bidi="ar-SA"/>
        </w:rPr>
        <w:t>年农林水收入的减少。</w:t>
      </w:r>
      <w:r>
        <w:rPr>
          <w:rFonts w:hint="default" w:ascii="Times New Roman" w:hAnsi="Times New Roman" w:eastAsia="方正仿宋_GBK" w:cs="Times New Roman"/>
          <w:kern w:val="0"/>
          <w:sz w:val="32"/>
          <w:szCs w:val="32"/>
          <w:shd w:val="clear" w:color="auto" w:fill="FFFFFF"/>
          <w:lang w:val="en-US" w:eastAsia="zh-CN" w:bidi="ar-SA"/>
        </w:rPr>
        <w:t>此外，年初财政拨款结转和结余0.00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Style w:val="9"/>
          <w:rFonts w:hint="default" w:ascii="Times New Roman" w:hAnsi="Times New Roman" w:eastAsia="方正仿宋_GBK" w:cs="Times New Roman"/>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度一般公共预算财政拨款支出6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678.03万元，与2023年度相比，减少1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106.03万元，下降14.2%。主要原因是2024</w:t>
      </w:r>
      <w:r>
        <w:rPr>
          <w:rFonts w:hint="eastAsia" w:ascii="Times New Roman" w:hAnsi="Times New Roman" w:eastAsia="方正仿宋_GBK" w:cs="Times New Roman"/>
          <w:kern w:val="0"/>
          <w:sz w:val="32"/>
          <w:szCs w:val="32"/>
          <w:shd w:val="clear" w:color="auto" w:fill="FFFFFF"/>
          <w:lang w:val="en-US" w:eastAsia="zh-CN" w:bidi="ar-SA"/>
        </w:rPr>
        <w:t>年农林水支出的减少。</w:t>
      </w:r>
      <w:r>
        <w:rPr>
          <w:rFonts w:hint="default" w:ascii="Times New Roman" w:hAnsi="Times New Roman" w:eastAsia="方正仿宋_GBK" w:cs="Times New Roman"/>
          <w:kern w:val="0"/>
          <w:sz w:val="32"/>
          <w:szCs w:val="32"/>
          <w:shd w:val="clear" w:color="auto" w:fill="FFFFFF"/>
          <w:lang w:val="en-US" w:eastAsia="zh-CN" w:bidi="ar-SA"/>
        </w:rPr>
        <w:t>较年初预算数减少6</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657.83万元，下降49.9%。主要原因是2024</w:t>
      </w:r>
      <w:r>
        <w:rPr>
          <w:rFonts w:hint="eastAsia" w:ascii="方正仿宋_GBK" w:hAnsi="方正仿宋_GBK" w:eastAsia="方正仿宋_GBK" w:cs="方正仿宋_GBK"/>
          <w:b w:val="0"/>
          <w:color w:val="auto"/>
          <w:kern w:val="0"/>
          <w:sz w:val="32"/>
          <w:szCs w:val="32"/>
          <w:shd w:val="clear" w:fill="FFFFFF"/>
        </w:rPr>
        <w:t>年农林水</w:t>
      </w:r>
      <w:r>
        <w:rPr>
          <w:rFonts w:hint="eastAsia" w:ascii="方正仿宋_GBK" w:hAnsi="方正仿宋_GBK" w:eastAsia="方正仿宋_GBK" w:cs="方正仿宋_GBK"/>
          <w:b w:val="0"/>
          <w:color w:val="auto"/>
          <w:kern w:val="0"/>
          <w:sz w:val="32"/>
          <w:szCs w:val="32"/>
          <w:shd w:val="clear" w:fill="FFFFFF"/>
          <w:lang w:val="en-US" w:eastAsia="zh-CN"/>
        </w:rPr>
        <w:t>支出</w:t>
      </w:r>
      <w:r>
        <w:rPr>
          <w:rFonts w:hint="eastAsia" w:ascii="方正仿宋_GBK" w:hAnsi="方正仿宋_GBK" w:eastAsia="方正仿宋_GBK" w:cs="方正仿宋_GBK"/>
          <w:b w:val="0"/>
          <w:color w:val="auto"/>
          <w:kern w:val="0"/>
          <w:sz w:val="32"/>
          <w:szCs w:val="32"/>
          <w:shd w:val="clear" w:fill="FFFFFF"/>
        </w:rPr>
        <w:t>的减少。</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度年末一般公共预算财政拨款结转和结余0.00万元，与2023</w:t>
      </w:r>
      <w:r>
        <w:rPr>
          <w:rFonts w:ascii="方正仿宋_GBK" w:hAnsi="方正仿宋_GBK" w:eastAsia="方正仿宋_GBK" w:cs="方正仿宋_GBK"/>
          <w:sz w:val="32"/>
          <w:szCs w:val="32"/>
          <w:shd w:val="clear" w:color="auto" w:fill="FFFFFF"/>
        </w:rPr>
        <w:t>年度相比，无增减</w:t>
      </w:r>
      <w:bookmarkStart w:id="0" w:name="_GoBack"/>
      <w:bookmarkEnd w:id="0"/>
      <w:r>
        <w:rPr>
          <w:rFonts w:hint="eastAsia" w:ascii="方正仿宋_GBK" w:hAnsi="方正仿宋_GBK" w:eastAsia="方正仿宋_GBK" w:cs="方正仿宋_GBK"/>
          <w:kern w:val="0"/>
          <w:sz w:val="32"/>
          <w:szCs w:val="32"/>
          <w:shd w:val="clear" w:fill="FFFFFF"/>
        </w:rPr>
        <w:t>。</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rPr>
        <w:t>4</w:t>
      </w:r>
      <w:r>
        <w:rPr>
          <w:rStyle w:val="9"/>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w:t>
      </w:r>
      <w:r>
        <w:rPr>
          <w:rFonts w:hint="default" w:ascii="Times New Roman" w:hAnsi="Times New Roman" w:eastAsia="方正仿宋_GBK" w:cs="Times New Roman"/>
          <w:kern w:val="0"/>
          <w:sz w:val="32"/>
          <w:szCs w:val="32"/>
          <w:shd w:val="clear" w:color="auto" w:fill="FFFFFF"/>
          <w:lang w:val="en-US" w:eastAsia="zh-CN" w:bidi="ar-SA"/>
        </w:rPr>
        <w:t>门2024</w:t>
      </w:r>
      <w:r>
        <w:rPr>
          <w:rFonts w:hint="eastAsia" w:ascii="Times New Roman" w:hAnsi="Times New Roman" w:eastAsia="方正仿宋_GBK" w:cs="Times New Roman"/>
          <w:kern w:val="0"/>
          <w:sz w:val="32"/>
          <w:szCs w:val="32"/>
          <w:shd w:val="clear" w:color="auto" w:fill="FFFFFF"/>
          <w:lang w:val="en-US" w:eastAsia="zh-CN" w:bidi="ar-SA"/>
        </w:rPr>
        <w:t>年</w:t>
      </w:r>
      <w:r>
        <w:rPr>
          <w:rFonts w:ascii="方正仿宋_GBK" w:hAnsi="方正仿宋_GBK" w:eastAsia="方正仿宋_GBK" w:cs="方正仿宋_GBK"/>
          <w:sz w:val="32"/>
          <w:szCs w:val="32"/>
          <w:shd w:val="clear" w:color="auto" w:fill="FFFFFF"/>
        </w:rPr>
        <w:t>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w:t>
      </w:r>
      <w:r>
        <w:rPr>
          <w:rFonts w:hint="default" w:ascii="Times New Roman" w:hAnsi="Times New Roman" w:eastAsia="方正仿宋_GBK" w:cs="Times New Roman"/>
          <w:kern w:val="0"/>
          <w:sz w:val="32"/>
          <w:szCs w:val="32"/>
          <w:shd w:val="clear" w:color="auto" w:fill="FFFFFF"/>
          <w:lang w:val="en-US" w:eastAsia="zh-CN" w:bidi="ar-SA"/>
        </w:rPr>
        <w:t>支出2.61万元，占0.04%，较年初预算数增加2.61万元，增长100.0%，</w:t>
      </w:r>
      <w:r>
        <w:rPr>
          <w:rFonts w:hint="eastAsia" w:ascii="方正仿宋_GBK" w:hAnsi="方正仿宋_GBK" w:eastAsia="方正仿宋_GBK" w:cs="方正仿宋_GBK"/>
          <w:kern w:val="0"/>
          <w:sz w:val="32"/>
          <w:szCs w:val="32"/>
          <w:shd w:val="clear" w:fill="FFFFFF"/>
        </w:rPr>
        <w:t>主要原因是追加市级党外代表人士经费。</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kern w:val="0"/>
          <w:sz w:val="32"/>
          <w:szCs w:val="32"/>
          <w:shd w:val="clear" w:color="auto" w:fill="FFFFFF"/>
          <w:lang w:val="en-US" w:eastAsia="zh-CN" w:bidi="ar-SA"/>
        </w:rPr>
        <w:t>645.85万元，占9.67%，较年初预算数增加121.85万元，增长23.3%，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color w:val="auto"/>
          <w:kern w:val="0"/>
          <w:sz w:val="32"/>
          <w:szCs w:val="32"/>
          <w:shd w:val="clear" w:fill="FFFFFF"/>
        </w:rPr>
        <w:t>追加养老保险和职业年金</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退休中人一次性补助</w:t>
      </w:r>
      <w:r>
        <w:rPr>
          <w:rFonts w:hint="eastAsia" w:ascii="方正仿宋_GBK" w:hAnsi="方正仿宋_GBK" w:eastAsia="方正仿宋_GBK" w:cs="方正仿宋_GBK"/>
          <w:kern w:val="0"/>
          <w:sz w:val="32"/>
          <w:szCs w:val="32"/>
          <w:shd w:val="clear" w:fill="FFFFFF"/>
          <w:lang w:val="en-US" w:eastAsia="zh-CN"/>
        </w:rPr>
        <w:t>等人员经费</w:t>
      </w:r>
      <w:r>
        <w:rPr>
          <w:rFonts w:hint="eastAsia" w:ascii="方正仿宋_GBK" w:hAnsi="方正仿宋_GBK" w:eastAsia="方正仿宋_GBK" w:cs="方正仿宋_GBK"/>
          <w:kern w:val="0"/>
          <w:sz w:val="32"/>
          <w:szCs w:val="32"/>
          <w:shd w:val="clear" w:fill="FFFFFF"/>
        </w:rPr>
        <w:t xml:space="preserve">。        </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kern w:val="0"/>
          <w:sz w:val="32"/>
          <w:szCs w:val="32"/>
          <w:shd w:val="clear" w:color="auto" w:fill="FFFFFF"/>
          <w:lang w:val="en-US" w:eastAsia="zh-CN" w:bidi="ar-SA"/>
        </w:rPr>
        <w:t>137.51万元，占2.06%，较年初预算数减少1.67万元，下降1.2%，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color w:val="auto"/>
          <w:kern w:val="0"/>
          <w:sz w:val="32"/>
          <w:szCs w:val="32"/>
          <w:shd w:val="clear" w:fill="FFFFFF"/>
        </w:rPr>
        <w:t>人员增减变动减少支出。</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w:t>
      </w:r>
      <w:r>
        <w:rPr>
          <w:rFonts w:hint="default" w:ascii="Times New Roman" w:hAnsi="Times New Roman" w:eastAsia="方正仿宋_GBK" w:cs="Times New Roman"/>
          <w:kern w:val="0"/>
          <w:sz w:val="32"/>
          <w:szCs w:val="32"/>
          <w:shd w:val="clear" w:color="auto" w:fill="FFFFFF"/>
          <w:lang w:val="en-US" w:eastAsia="zh-CN" w:bidi="ar-SA"/>
        </w:rPr>
        <w:t>出306.71万元，占4.59%，较年初预算数增加306.71万元，增长100.0%，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追加九龙坡区长江生物多样性保护工程项目和受污染耕地安全利用示范项目。</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w:t>
      </w:r>
      <w:r>
        <w:rPr>
          <w:rFonts w:hint="default" w:ascii="Times New Roman" w:hAnsi="Times New Roman" w:eastAsia="方正仿宋_GBK" w:cs="Times New Roman"/>
          <w:kern w:val="0"/>
          <w:sz w:val="32"/>
          <w:szCs w:val="32"/>
          <w:shd w:val="clear" w:color="auto" w:fill="FFFFFF"/>
          <w:lang w:val="en-US" w:eastAsia="zh-CN" w:bidi="ar-SA"/>
        </w:rPr>
        <w:t>出5</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389.99万元，占80.71%，较年初预算数减少7</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093.13万元，下降56.8%，</w:t>
      </w:r>
      <w:r>
        <w:rPr>
          <w:rFonts w:hint="eastAsia" w:ascii="Times New Roman" w:hAnsi="Times New Roman" w:eastAsia="方正仿宋_GBK" w:cs="Times New Roman"/>
          <w:kern w:val="0"/>
          <w:sz w:val="32"/>
          <w:szCs w:val="32"/>
          <w:shd w:val="clear" w:color="auto" w:fill="FFFFFF"/>
          <w:lang w:val="en-US" w:eastAsia="zh-CN" w:bidi="ar-SA"/>
        </w:rPr>
        <w:t>主</w:t>
      </w:r>
      <w:r>
        <w:rPr>
          <w:rFonts w:hint="eastAsia" w:ascii="方正仿宋_GBK" w:hAnsi="方正仿宋_GBK" w:eastAsia="方正仿宋_GBK" w:cs="方正仿宋_GBK"/>
          <w:kern w:val="0"/>
          <w:sz w:val="32"/>
          <w:szCs w:val="32"/>
          <w:shd w:val="clear" w:fill="FFFFFF"/>
        </w:rPr>
        <w:t>要原因是部分项目资金二次分配进行了预算调减及农业、水利项目实施周期较长，需要跨年实施完成。</w:t>
      </w:r>
    </w:p>
    <w:p>
      <w:pPr>
        <w:keepNext w:val="0"/>
        <w:keepLines w:val="0"/>
        <w:pageBreakBefore w:val="0"/>
        <w:widowControl w:val="0"/>
        <w:kinsoku/>
        <w:wordWrap/>
        <w:overflowPunct/>
        <w:topLinePunct w:val="0"/>
        <w:bidi w:val="0"/>
        <w:adjustRightInd/>
        <w:spacing w:line="600" w:lineRule="exact"/>
        <w:ind w:firstLine="640" w:firstLineChars="200"/>
        <w:jc w:val="both"/>
        <w:textAlignment w:val="auto"/>
        <w:rPr>
          <w:rFonts w:hint="default" w:ascii="方正仿宋_GBK" w:hAnsi="方正仿宋_GBK" w:eastAsia="方正仿宋_GBK" w:cs="方正仿宋_GBK"/>
          <w:b w:val="0"/>
          <w:color w:val="auto"/>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kern w:val="0"/>
          <w:sz w:val="32"/>
          <w:szCs w:val="32"/>
          <w:shd w:val="clear" w:color="auto" w:fill="FFFFFF"/>
          <w:lang w:val="en-US" w:eastAsia="zh-CN" w:bidi="ar-SA"/>
        </w:rPr>
        <w:t>195.36万元，占2.93%，较年初预算数增加5.80万元，增长3.1%，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color w:val="auto"/>
          <w:kern w:val="0"/>
          <w:sz w:val="32"/>
          <w:szCs w:val="32"/>
          <w:shd w:val="clear" w:fill="FFFFFF"/>
          <w:lang w:val="en-US" w:eastAsia="zh-CN"/>
        </w:rPr>
        <w:t>追加核定人员经费。</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度一般公共财政拨款基本支出3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114.22万元。其中：人员经费2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496.31万元，与2023年度相比，减少213.33万元，下降7.9%，主要原因是2023</w:t>
      </w:r>
      <w:r>
        <w:rPr>
          <w:rFonts w:hint="eastAsia" w:ascii="方正仿宋_GBK" w:hAnsi="方正仿宋_GBK" w:eastAsia="方正仿宋_GBK" w:cs="方正仿宋_GBK"/>
          <w:color w:val="auto"/>
          <w:kern w:val="0"/>
          <w:sz w:val="32"/>
          <w:szCs w:val="32"/>
          <w:shd w:val="clear" w:fill="FFFFFF"/>
        </w:rPr>
        <w:t>年聘用人员</w:t>
      </w:r>
      <w:r>
        <w:rPr>
          <w:rFonts w:hint="eastAsia" w:ascii="方正仿宋_GBK" w:hAnsi="方正仿宋_GBK" w:eastAsia="方正仿宋_GBK" w:cs="方正仿宋_GBK"/>
          <w:color w:val="auto"/>
          <w:kern w:val="0"/>
          <w:sz w:val="32"/>
          <w:szCs w:val="32"/>
          <w:shd w:val="clear" w:fill="FFFFFF"/>
          <w:lang w:val="en-US" w:eastAsia="zh-CN"/>
        </w:rPr>
        <w:t>费用预算纳入</w:t>
      </w:r>
      <w:r>
        <w:rPr>
          <w:rFonts w:hint="eastAsia" w:ascii="方正仿宋_GBK" w:hAnsi="方正仿宋_GBK" w:eastAsia="方正仿宋_GBK" w:cs="方正仿宋_GBK"/>
          <w:color w:val="auto"/>
          <w:kern w:val="0"/>
          <w:sz w:val="32"/>
          <w:szCs w:val="32"/>
          <w:shd w:val="clear" w:fill="FFFFFF"/>
        </w:rPr>
        <w:t>人员经费</w:t>
      </w:r>
      <w:r>
        <w:rPr>
          <w:rFonts w:hint="eastAsia" w:ascii="方正仿宋_GBK" w:hAnsi="方正仿宋_GBK" w:eastAsia="方正仿宋_GBK" w:cs="方正仿宋_GBK"/>
          <w:color w:val="auto"/>
          <w:kern w:val="0"/>
          <w:sz w:val="32"/>
          <w:szCs w:val="32"/>
          <w:shd w:val="clear" w:fill="FFFFFF"/>
          <w:lang w:val="en-US" w:eastAsia="zh-CN"/>
        </w:rPr>
        <w:t>并</w:t>
      </w:r>
      <w:r>
        <w:rPr>
          <w:rFonts w:hint="eastAsia" w:ascii="方正仿宋_GBK" w:hAnsi="方正仿宋_GBK" w:eastAsia="方正仿宋_GBK" w:cs="方正仿宋_GBK"/>
          <w:color w:val="auto"/>
          <w:kern w:val="0"/>
          <w:sz w:val="32"/>
          <w:szCs w:val="32"/>
          <w:shd w:val="clear" w:fill="FFFFFF"/>
        </w:rPr>
        <w:t>发放退休人员死亡抚恤丧葬费。</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w:t>
      </w:r>
      <w:r>
        <w:rPr>
          <w:rFonts w:hint="default" w:ascii="Times New Roman" w:hAnsi="Times New Roman" w:eastAsia="方正仿宋_GBK" w:cs="Times New Roman"/>
          <w:kern w:val="0"/>
          <w:sz w:val="32"/>
          <w:szCs w:val="32"/>
          <w:shd w:val="clear" w:color="auto" w:fill="FFFFFF"/>
          <w:lang w:val="en-US" w:eastAsia="zh-CN" w:bidi="ar-SA"/>
        </w:rPr>
        <w:t>主要包括</w:t>
      </w:r>
      <w:r>
        <w:rPr>
          <w:rFonts w:hint="eastAsia" w:ascii="Times New Roman" w:hAnsi="Times New Roman" w:eastAsia="方正仿宋_GBK" w:cs="Times New Roman"/>
          <w:kern w:val="0"/>
          <w:sz w:val="32"/>
          <w:szCs w:val="32"/>
          <w:shd w:val="clear" w:color="auto" w:fill="FFFFFF"/>
          <w:lang w:val="en-US" w:eastAsia="zh-CN" w:bidi="ar-SA"/>
        </w:rPr>
        <w:t>基本工资、津贴补贴、社会保障缴费等</w:t>
      </w:r>
      <w:r>
        <w:rPr>
          <w:rFonts w:hint="default" w:ascii="Times New Roman" w:hAnsi="Times New Roman" w:eastAsia="方正仿宋_GBK" w:cs="Times New Roman"/>
          <w:kern w:val="0"/>
          <w:sz w:val="32"/>
          <w:szCs w:val="32"/>
          <w:shd w:val="clear" w:color="auto" w:fill="FFFFFF"/>
          <w:lang w:val="en-US" w:eastAsia="zh-CN" w:bidi="ar-SA"/>
        </w:rPr>
        <w:t>。公用经费617.91万元，与2023年度相比，增加141.68万元，增长29.8%，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发放聘用人员解聘补偿等费用、调整使用费用经济科目。</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fill="FFFFFF"/>
        </w:rPr>
        <w:t>办公费、咨询费</w:t>
      </w:r>
      <w:r>
        <w:rPr>
          <w:rFonts w:hint="eastAsia" w:ascii="方正仿宋_GBK" w:hAnsi="方正仿宋_GBK" w:eastAsia="方正仿宋_GBK" w:cs="方正仿宋_GBK"/>
          <w:kern w:val="0"/>
          <w:sz w:val="32"/>
          <w:szCs w:val="32"/>
          <w:shd w:val="clear" w:fill="FFFFFF"/>
        </w:rPr>
        <w:t>、邮电费、维修（护）费、福利费、办公用房水电费、办公用房物业管理费、其他商品服务和支出等。</w:t>
      </w:r>
    </w:p>
    <w:p>
      <w:pPr>
        <w:pStyle w:val="10"/>
        <w:keepNext w:val="0"/>
        <w:keepLines w:val="0"/>
        <w:pageBreakBefore w:val="0"/>
        <w:widowControl w:val="0"/>
        <w:kinsoku/>
        <w:wordWrap/>
        <w:overflowPunct/>
        <w:topLinePunct w:val="0"/>
        <w:autoSpaceDE w:val="0"/>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度政府性基金预算财政拨款年初结转结余0.00万元，年末结转结余0.00万元。本年收入28.66万元，与2023年度相比，增加4.42万元，增长18.2%，主要原因是</w:t>
      </w:r>
      <w:r>
        <w:rPr>
          <w:rFonts w:hint="eastAsia" w:ascii="Times New Roman" w:hAnsi="Times New Roman" w:eastAsia="方正仿宋_GBK" w:cs="Times New Roman"/>
          <w:kern w:val="0"/>
          <w:sz w:val="32"/>
          <w:szCs w:val="32"/>
          <w:shd w:val="clear" w:color="auto" w:fill="FFFFFF"/>
          <w:lang w:val="en-US" w:eastAsia="zh-CN" w:bidi="ar-SA"/>
        </w:rPr>
        <w:t>加快</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年水库移民扶持基金项目实施进度造成本年收入增加。</w:t>
      </w:r>
      <w:r>
        <w:rPr>
          <w:rFonts w:hint="default" w:ascii="Times New Roman" w:hAnsi="Times New Roman" w:eastAsia="方正仿宋_GBK" w:cs="Times New Roman"/>
          <w:kern w:val="0"/>
          <w:sz w:val="32"/>
          <w:szCs w:val="32"/>
          <w:shd w:val="clear" w:color="auto" w:fill="FFFFFF"/>
          <w:lang w:val="en-US" w:eastAsia="zh-CN" w:bidi="ar-SA"/>
        </w:rPr>
        <w:t>本年支出28.66万元，与2023年度相比，增加4.42万元，增长18.2%，主要原因是</w:t>
      </w:r>
      <w:r>
        <w:rPr>
          <w:rFonts w:hint="eastAsia" w:ascii="Times New Roman" w:hAnsi="Times New Roman" w:eastAsia="方正仿宋_GBK" w:cs="Times New Roman"/>
          <w:kern w:val="0"/>
          <w:sz w:val="32"/>
          <w:szCs w:val="32"/>
          <w:shd w:val="clear" w:color="auto" w:fill="FFFFFF"/>
          <w:lang w:val="en-US" w:eastAsia="zh-CN" w:bidi="ar-SA"/>
        </w:rPr>
        <w:t>加快</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水库移民扶持基金项目实施进度造成本年</w:t>
      </w:r>
      <w:r>
        <w:rPr>
          <w:rFonts w:hint="eastAsia" w:ascii="方正仿宋_GBK" w:hAnsi="方正仿宋_GBK" w:eastAsia="方正仿宋_GBK" w:cs="方正仿宋_GBK"/>
          <w:kern w:val="0"/>
          <w:sz w:val="32"/>
          <w:szCs w:val="32"/>
          <w:shd w:val="clear" w:fill="FFFFFF"/>
          <w:lang w:val="en-US" w:eastAsia="zh-CN"/>
        </w:rPr>
        <w:t>支出</w:t>
      </w:r>
      <w:r>
        <w:rPr>
          <w:rFonts w:hint="eastAsia" w:ascii="方正仿宋_GBK" w:hAnsi="方正仿宋_GBK" w:eastAsia="方正仿宋_GBK" w:cs="方正仿宋_GBK"/>
          <w:kern w:val="0"/>
          <w:sz w:val="32"/>
          <w:szCs w:val="32"/>
          <w:shd w:val="clear" w:fill="FFFFFF"/>
        </w:rPr>
        <w:t>增加。</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keepNext w:val="0"/>
        <w:keepLines w:val="0"/>
        <w:pageBreakBefore w:val="0"/>
        <w:widowControl w:val="0"/>
        <w:suppressLineNumbers w:val="0"/>
        <w:kinsoku/>
        <w:wordWrap/>
        <w:overflowPunct/>
        <w:topLinePunct w:val="0"/>
        <w:bidi w:val="0"/>
        <w:adjustRightInd/>
        <w:spacing w:line="600" w:lineRule="exact"/>
        <w:ind w:left="0" w:firstLine="709"/>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度“三公”经费支出共计56.15万元，较年初预算数减少20.35万元，下降26.6%，主要原因是</w:t>
      </w:r>
      <w:r>
        <w:rPr>
          <w:rFonts w:hint="eastAsia" w:ascii="Times New Roman" w:hAnsi="Times New Roman" w:eastAsia="方正仿宋_GBK" w:cs="Times New Roman"/>
          <w:kern w:val="0"/>
          <w:sz w:val="32"/>
          <w:szCs w:val="32"/>
          <w:shd w:val="clear" w:color="auto" w:fill="FFFFFF"/>
          <w:lang w:val="en-US" w:eastAsia="zh-CN" w:bidi="ar-SA"/>
        </w:rPr>
        <w:t>严格按照各项规定执行，厉行节约控制各项经费支出。</w:t>
      </w:r>
      <w:r>
        <w:rPr>
          <w:rFonts w:hint="default" w:ascii="Times New Roman" w:hAnsi="Times New Roman" w:eastAsia="方正仿宋_GBK" w:cs="Times New Roman"/>
          <w:kern w:val="0"/>
          <w:sz w:val="32"/>
          <w:szCs w:val="32"/>
          <w:shd w:val="clear" w:color="auto" w:fill="FFFFFF"/>
          <w:lang w:val="en-US" w:eastAsia="zh-CN" w:bidi="ar-SA"/>
        </w:rPr>
        <w:t>较上年支出数减少0.75万元，下降1.3%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厉行节约减少“三公”经费支出</w:t>
      </w:r>
      <w:r>
        <w:rPr>
          <w:rFonts w:hint="eastAsia" w:ascii="仿宋_GB2312" w:hAnsi="仿宋" w:eastAsia="仿宋_GB2312" w:cs="仿宋_GB2312"/>
          <w:kern w:val="0"/>
          <w:sz w:val="32"/>
          <w:szCs w:val="32"/>
        </w:rPr>
        <w:t>。</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度本部门因公出国（境）费用0.00万元，主要是</w:t>
      </w:r>
      <w:r>
        <w:rPr>
          <w:rFonts w:hint="eastAsia" w:ascii="Times New Roman" w:hAnsi="Times New Roman" w:eastAsia="方正仿宋_GBK" w:cs="Times New Roman"/>
          <w:kern w:val="0"/>
          <w:sz w:val="32"/>
          <w:szCs w:val="32"/>
          <w:shd w:val="clear" w:color="auto" w:fill="FFFFFF"/>
          <w:lang w:val="en-US" w:eastAsia="zh-CN" w:bidi="ar-SA"/>
        </w:rPr>
        <w:t>本部门</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年无因公出国</w:t>
      </w:r>
      <w:r>
        <w:rPr>
          <w:rFonts w:hint="default" w:ascii="Times New Roman" w:hAnsi="Times New Roman" w:eastAsia="方正仿宋_GBK" w:cs="Times New Roman"/>
          <w:kern w:val="0"/>
          <w:sz w:val="32"/>
          <w:szCs w:val="32"/>
          <w:shd w:val="clear" w:color="auto" w:fill="FFFFFF"/>
          <w:lang w:val="en-US" w:eastAsia="zh-CN" w:bidi="ar-SA"/>
        </w:rPr>
        <w:t>（境）</w:t>
      </w:r>
      <w:r>
        <w:rPr>
          <w:rFonts w:hint="eastAsia" w:ascii="Times New Roman" w:hAnsi="Times New Roman" w:eastAsia="方正仿宋_GBK" w:cs="Times New Roman"/>
          <w:kern w:val="0"/>
          <w:sz w:val="32"/>
          <w:szCs w:val="32"/>
          <w:shd w:val="clear" w:color="auto" w:fill="FFFFFF"/>
          <w:lang w:val="en-US" w:eastAsia="zh-CN" w:bidi="ar-SA"/>
        </w:rPr>
        <w:t>的安排，未发生支出。</w:t>
      </w:r>
      <w:r>
        <w:rPr>
          <w:rFonts w:hint="default" w:ascii="Times New Roman" w:hAnsi="Times New Roman" w:eastAsia="方正仿宋_GBK" w:cs="Times New Roman"/>
          <w:kern w:val="0"/>
          <w:sz w:val="32"/>
          <w:szCs w:val="32"/>
          <w:shd w:val="clear" w:color="auto" w:fill="FFFFFF"/>
          <w:lang w:val="en-US" w:eastAsia="zh-CN" w:bidi="ar-SA"/>
        </w:rPr>
        <w:t>费用支出较年初预算数无增减，与2023年</w:t>
      </w:r>
      <w:r>
        <w:rPr>
          <w:rFonts w:ascii="方正仿宋_GBK" w:hAnsi="方正仿宋_GBK" w:eastAsia="方正仿宋_GBK" w:cs="方正仿宋_GBK"/>
          <w:sz w:val="32"/>
          <w:szCs w:val="32"/>
          <w:shd w:val="clear" w:color="auto" w:fill="FFFFFF"/>
        </w:rPr>
        <w:t>度相比无增减</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val="0"/>
        <w:suppressLineNumbers w:val="0"/>
        <w:kinsoku/>
        <w:wordWrap/>
        <w:overflowPunct/>
        <w:topLinePunct w:val="0"/>
        <w:bidi w:val="0"/>
        <w:adjustRightInd/>
        <w:ind w:left="0" w:firstLine="709"/>
        <w:jc w:val="both"/>
        <w:textAlignment w:val="auto"/>
        <w:rPr>
          <w:rFonts w:hint="eastAsia" w:ascii="方正仿宋_GBK" w:hAnsi="方正仿宋_GBK" w:eastAsia="方正仿宋_GBK" w:cs="方正仿宋_GBK"/>
          <w:b w:val="0"/>
          <w:color w:val="auto"/>
          <w:kern w:val="0"/>
          <w:sz w:val="32"/>
          <w:szCs w:val="32"/>
          <w:shd w:val="clear" w:fill="FFFFFF"/>
        </w:rPr>
      </w:pPr>
      <w:r>
        <w:rPr>
          <w:rFonts w:ascii="方正仿宋_GBK" w:hAnsi="方正仿宋_GBK" w:eastAsia="方正仿宋_GBK" w:cs="方正仿宋_GBK"/>
          <w:sz w:val="32"/>
          <w:szCs w:val="32"/>
          <w:shd w:val="clear" w:color="auto" w:fill="FFFFFF"/>
        </w:rPr>
        <w:t>公务车购</w:t>
      </w:r>
      <w:r>
        <w:rPr>
          <w:rFonts w:hint="default" w:ascii="Times New Roman" w:hAnsi="Times New Roman" w:eastAsia="方正仿宋_GBK" w:cs="Times New Roman"/>
          <w:kern w:val="0"/>
          <w:sz w:val="32"/>
          <w:szCs w:val="32"/>
          <w:shd w:val="clear" w:color="auto" w:fill="FFFFFF"/>
          <w:lang w:val="en-US" w:eastAsia="zh-CN" w:bidi="ar-SA"/>
        </w:rPr>
        <w:t>置费16.54万元，主要用于</w:t>
      </w:r>
      <w:r>
        <w:rPr>
          <w:rFonts w:hint="eastAsia" w:ascii="Times New Roman" w:hAnsi="Times New Roman" w:eastAsia="方正仿宋_GBK" w:cs="Times New Roman"/>
          <w:kern w:val="0"/>
          <w:sz w:val="32"/>
          <w:szCs w:val="32"/>
          <w:shd w:val="clear" w:color="auto" w:fill="FFFFFF"/>
          <w:lang w:val="en-US" w:eastAsia="zh-CN" w:bidi="ar-SA"/>
        </w:rPr>
        <w:t>事业单位业务用车</w:t>
      </w:r>
      <w:r>
        <w:rPr>
          <w:rFonts w:hint="default" w:ascii="Times New Roman" w:hAnsi="Times New Roman" w:eastAsia="方正仿宋_GBK" w:cs="Times New Roman"/>
          <w:kern w:val="0"/>
          <w:sz w:val="32"/>
          <w:szCs w:val="32"/>
          <w:shd w:val="clear" w:color="auto" w:fill="FFFFFF"/>
          <w:lang w:val="en-US" w:eastAsia="zh-CN" w:bidi="ar-SA"/>
        </w:rPr>
        <w:t>。费用支出较年初预算数减少1.46万元，下降8.1%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厉行节约，严格控制公务车购置费</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kern w:val="0"/>
          <w:sz w:val="32"/>
          <w:szCs w:val="32"/>
          <w:shd w:val="clear" w:color="auto" w:fill="FFFFFF"/>
          <w:lang w:val="en-US" w:eastAsia="zh-CN" w:bidi="ar-SA"/>
        </w:rPr>
        <w:t>0.05万元，增长0.3%，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color w:val="auto"/>
          <w:kern w:val="0"/>
          <w:sz w:val="32"/>
          <w:szCs w:val="32"/>
          <w:shd w:val="clear" w:fill="FFFFFF"/>
        </w:rPr>
        <w:t>购置车辆</w:t>
      </w:r>
      <w:r>
        <w:rPr>
          <w:rFonts w:hint="eastAsia" w:ascii="方正仿宋_GBK" w:hAnsi="方正仿宋_GBK" w:eastAsia="方正仿宋_GBK" w:cs="方正仿宋_GBK"/>
          <w:b w:val="0"/>
          <w:color w:val="auto"/>
          <w:kern w:val="0"/>
          <w:sz w:val="32"/>
          <w:szCs w:val="32"/>
          <w:shd w:val="clear" w:fill="FFFFFF"/>
          <w:lang w:val="en-US" w:eastAsia="zh-CN"/>
        </w:rPr>
        <w:t>品牌、型号不同造成增长</w:t>
      </w:r>
      <w:r>
        <w:rPr>
          <w:rFonts w:hint="eastAsia" w:ascii="方正仿宋_GBK" w:hAnsi="方正仿宋_GBK" w:eastAsia="方正仿宋_GBK" w:cs="方正仿宋_GBK"/>
          <w:b w:val="0"/>
          <w:color w:val="auto"/>
          <w:kern w:val="0"/>
          <w:sz w:val="32"/>
          <w:szCs w:val="32"/>
          <w:shd w:val="clear" w:fill="FFFFFF"/>
        </w:rPr>
        <w:t>。</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w:t>
      </w:r>
      <w:r>
        <w:rPr>
          <w:rFonts w:hint="default" w:ascii="Times New Roman" w:hAnsi="Times New Roman" w:eastAsia="方正仿宋_GBK" w:cs="Times New Roman"/>
          <w:kern w:val="0"/>
          <w:sz w:val="32"/>
          <w:szCs w:val="32"/>
          <w:shd w:val="clear" w:color="auto" w:fill="FFFFFF"/>
          <w:lang w:val="en-US" w:eastAsia="zh-CN" w:bidi="ar-SA"/>
        </w:rPr>
        <w:t>费35.62万元</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kern w:val="0"/>
          <w:sz w:val="32"/>
          <w:szCs w:val="32"/>
          <w:shd w:val="clear" w:fill="FFFFFF"/>
        </w:rPr>
        <w:t>机要文件交换、市内因公出行、业务检查等工作所需车辆的燃料费、维修费、过路费、保险费。</w:t>
      </w:r>
      <w:r>
        <w:rPr>
          <w:rFonts w:ascii="方正仿宋_GBK" w:hAnsi="方正仿宋_GBK" w:eastAsia="方正仿宋_GBK" w:cs="方正仿宋_GBK"/>
          <w:sz w:val="32"/>
          <w:szCs w:val="32"/>
          <w:shd w:val="clear" w:color="auto" w:fill="FFFFFF"/>
        </w:rPr>
        <w:t>费用支出较年初预算数减</w:t>
      </w:r>
      <w:r>
        <w:rPr>
          <w:rFonts w:hint="default" w:ascii="Times New Roman" w:hAnsi="Times New Roman" w:eastAsia="方正仿宋_GBK" w:cs="Times New Roman"/>
          <w:kern w:val="0"/>
          <w:sz w:val="32"/>
          <w:szCs w:val="32"/>
          <w:shd w:val="clear" w:color="auto" w:fill="FFFFFF"/>
          <w:lang w:val="en-US" w:eastAsia="zh-CN" w:bidi="ar-SA"/>
        </w:rPr>
        <w:t>少12.88万元，下降26.6%，主要原因是</w:t>
      </w:r>
      <w:r>
        <w:rPr>
          <w:rFonts w:hint="eastAsia" w:ascii="Times New Roman" w:hAnsi="Times New Roman" w:eastAsia="方正仿宋_GBK" w:cs="Times New Roman"/>
          <w:kern w:val="0"/>
          <w:sz w:val="32"/>
          <w:szCs w:val="32"/>
          <w:shd w:val="clear" w:color="auto" w:fill="FFFFFF"/>
          <w:lang w:val="en-US" w:eastAsia="zh-CN" w:bidi="ar-SA"/>
        </w:rPr>
        <w:t>严格落实公车使用规定，控制费用支出。</w:t>
      </w:r>
      <w:r>
        <w:rPr>
          <w:rFonts w:hint="default" w:ascii="Times New Roman" w:hAnsi="Times New Roman" w:eastAsia="方正仿宋_GBK" w:cs="Times New Roman"/>
          <w:kern w:val="0"/>
          <w:sz w:val="32"/>
          <w:szCs w:val="32"/>
          <w:shd w:val="clear" w:color="auto" w:fill="FFFFFF"/>
          <w:lang w:val="en-US" w:eastAsia="zh-CN" w:bidi="ar-SA"/>
        </w:rPr>
        <w:t>较上年支出数减少0.53万元，下降1.5%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规范车辆使用管理，降低车辆运行维护成本。</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w:t>
      </w:r>
      <w:r>
        <w:rPr>
          <w:rFonts w:hint="default" w:ascii="Times New Roman" w:hAnsi="Times New Roman" w:eastAsia="方正仿宋_GBK" w:cs="Times New Roman"/>
          <w:kern w:val="0"/>
          <w:sz w:val="32"/>
          <w:szCs w:val="32"/>
          <w:shd w:val="clear" w:color="auto" w:fill="FFFFFF"/>
          <w:lang w:val="en-US" w:eastAsia="zh-CN" w:bidi="ar-SA"/>
        </w:rPr>
        <w:t>费3.99万</w:t>
      </w:r>
      <w:r>
        <w:rPr>
          <w:rFonts w:ascii="方正仿宋_GBK" w:hAnsi="方正仿宋_GBK" w:eastAsia="方正仿宋_GBK" w:cs="方正仿宋_GBK"/>
          <w:sz w:val="32"/>
          <w:szCs w:val="32"/>
          <w:shd w:val="clear" w:color="auto" w:fill="FFFFFF"/>
        </w:rPr>
        <w:t>元，主要用于接待</w:t>
      </w:r>
      <w:r>
        <w:rPr>
          <w:rFonts w:hint="eastAsia" w:ascii="方正仿宋_GBK" w:hAnsi="方正仿宋_GBK" w:eastAsia="方正仿宋_GBK" w:cs="方正仿宋_GBK"/>
          <w:b w:val="0"/>
          <w:color w:val="auto"/>
          <w:kern w:val="0"/>
          <w:sz w:val="32"/>
          <w:szCs w:val="32"/>
          <w:shd w:val="clear" w:fill="FFFFFF"/>
        </w:rPr>
        <w:t>四川奉民科技集团有限公司、广东农垦农业发展有限公司、重庆千嘉佳农副产品有限公司招商。</w:t>
      </w:r>
      <w:r>
        <w:rPr>
          <w:rFonts w:ascii="方正仿宋_GBK" w:hAnsi="方正仿宋_GBK" w:eastAsia="方正仿宋_GBK" w:cs="方正仿宋_GBK"/>
          <w:sz w:val="32"/>
          <w:szCs w:val="32"/>
          <w:shd w:val="clear" w:color="auto" w:fill="FFFFFF"/>
        </w:rPr>
        <w:t>费用支出较年初预算数减</w:t>
      </w:r>
      <w:r>
        <w:rPr>
          <w:rFonts w:hint="default" w:ascii="Times New Roman" w:hAnsi="Times New Roman" w:eastAsia="方正仿宋_GBK" w:cs="Times New Roman"/>
          <w:kern w:val="0"/>
          <w:sz w:val="32"/>
          <w:szCs w:val="32"/>
          <w:shd w:val="clear" w:color="auto" w:fill="FFFFFF"/>
          <w:lang w:val="en-US" w:eastAsia="zh-CN" w:bidi="ar-SA"/>
        </w:rPr>
        <w:t>少6.01万元，下降60.1%，主要原因是</w:t>
      </w:r>
      <w:r>
        <w:rPr>
          <w:rFonts w:hint="eastAsia" w:ascii="Times New Roman" w:hAnsi="Times New Roman" w:eastAsia="方正仿宋_GBK" w:cs="Times New Roman"/>
          <w:kern w:val="0"/>
          <w:sz w:val="32"/>
          <w:szCs w:val="32"/>
          <w:shd w:val="clear" w:color="auto" w:fill="FFFFFF"/>
          <w:lang w:val="en-US" w:eastAsia="zh-CN" w:bidi="ar-SA"/>
        </w:rPr>
        <w:t>严格执行公务接待支出管理规定，厉行节约。</w:t>
      </w:r>
      <w:r>
        <w:rPr>
          <w:rFonts w:hint="default" w:ascii="Times New Roman" w:hAnsi="Times New Roman" w:eastAsia="方正仿宋_GBK" w:cs="Times New Roman"/>
          <w:kern w:val="0"/>
          <w:sz w:val="32"/>
          <w:szCs w:val="32"/>
          <w:shd w:val="clear" w:color="auto" w:fill="FFFFFF"/>
          <w:lang w:val="en-US" w:eastAsia="zh-CN" w:bidi="ar-SA"/>
        </w:rPr>
        <w:t>较上年支出数减少0.27万元，下降6.3%，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严格遵守公务接待开支范围和开支标准，控制陪餐人数，降低费用支出。</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度本部门因公出国（境）共计0个团组，0人；公务用车购置1辆，公务车保有量为11辆；国内公务接待42批次433人，其中：国内外事接待0批次，0人；国（境）外公务接待0批次，0人。2024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本部门人均接待费92.12元，车均购置费16.54万元，车均维护费3.24</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color w:val="auto"/>
          <w:kern w:val="0"/>
          <w:sz w:val="32"/>
          <w:szCs w:val="32"/>
          <w:shd w:val="clear"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kern w:val="0"/>
          <w:sz w:val="32"/>
          <w:szCs w:val="32"/>
          <w:shd w:val="clear" w:color="auto" w:fill="FFFFFF"/>
          <w:lang w:val="en-US" w:eastAsia="zh-CN" w:bidi="ar-SA"/>
        </w:rPr>
        <w:t>5.87万元，与2023年度相比，增加2.09万元，增长55.3%，主要原因是</w:t>
      </w:r>
      <w:r>
        <w:rPr>
          <w:rFonts w:hint="eastAsia" w:ascii="Times New Roman" w:hAnsi="Times New Roman" w:eastAsia="方正仿宋_GBK" w:cs="Times New Roman"/>
          <w:kern w:val="0"/>
          <w:sz w:val="32"/>
          <w:szCs w:val="32"/>
          <w:shd w:val="clear" w:color="auto" w:fill="FFFFFF"/>
          <w:lang w:val="en-US" w:eastAsia="zh-CN" w:bidi="ar-SA"/>
        </w:rPr>
        <w:t>推进工作顺利开展，增加业务工作会议。</w:t>
      </w:r>
      <w:r>
        <w:rPr>
          <w:rFonts w:hint="default" w:ascii="Times New Roman" w:hAnsi="Times New Roman" w:eastAsia="方正仿宋_GBK" w:cs="Times New Roman"/>
          <w:kern w:val="0"/>
          <w:sz w:val="32"/>
          <w:szCs w:val="32"/>
          <w:shd w:val="clear" w:color="auto" w:fill="FFFFFF"/>
          <w:lang w:val="en-US" w:eastAsia="zh-CN" w:bidi="ar-SA"/>
        </w:rPr>
        <w:t>本年度培训费支出44.78万元，与2023年度相比，增加0.41万元，增长0.9%，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color w:val="auto"/>
          <w:kern w:val="0"/>
          <w:sz w:val="32"/>
          <w:szCs w:val="32"/>
          <w:shd w:val="clear" w:fill="FFFFFF"/>
          <w:lang w:val="en-US" w:eastAsia="zh-CN"/>
        </w:rPr>
        <w:t>工作需要开展业务培训指导工作实施</w:t>
      </w:r>
      <w:r>
        <w:rPr>
          <w:rFonts w:hint="eastAsia" w:ascii="方正仿宋_GBK" w:hAnsi="方正仿宋_GBK" w:eastAsia="方正仿宋_GBK" w:cs="方正仿宋_GBK"/>
          <w:b w:val="0"/>
          <w:color w:val="auto"/>
          <w:kern w:val="0"/>
          <w:sz w:val="32"/>
          <w:szCs w:val="32"/>
          <w:shd w:val="clear" w:fill="FFFFFF"/>
        </w:rPr>
        <w:t>。</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度本部门机关运行经费支出391.89万元，机关运行经费主要用于开支</w:t>
      </w:r>
      <w:r>
        <w:rPr>
          <w:rFonts w:hint="eastAsia" w:ascii="Times New Roman" w:hAnsi="Times New Roman" w:eastAsia="方正仿宋_GBK" w:cs="Times New Roman"/>
          <w:kern w:val="0"/>
          <w:sz w:val="32"/>
          <w:szCs w:val="32"/>
          <w:shd w:val="clear" w:color="auto" w:fill="FFFFFF"/>
          <w:lang w:val="en-US" w:eastAsia="zh-CN" w:bidi="ar-SA"/>
        </w:rPr>
        <w:t>办公费、邮电费、维修（护）费、福利费、公务用车运行维护费、办公用房水电费、办公用房物业管理费、其他商品服务和支出等。</w:t>
      </w:r>
      <w:r>
        <w:rPr>
          <w:rFonts w:hint="default" w:ascii="Times New Roman" w:hAnsi="Times New Roman" w:eastAsia="方正仿宋_GBK" w:cs="Times New Roman"/>
          <w:kern w:val="0"/>
          <w:sz w:val="32"/>
          <w:szCs w:val="32"/>
          <w:shd w:val="clear" w:color="auto" w:fill="FFFFFF"/>
          <w:lang w:val="en-US" w:eastAsia="zh-CN" w:bidi="ar-SA"/>
        </w:rPr>
        <w:t>机关运行经费较上年支出数增加74.88万元，增长23.6%，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发放聘用人员解聘补偿等费用</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keepNext w:val="0"/>
        <w:keepLines w:val="0"/>
        <w:pageBreakBefore w:val="0"/>
        <w:widowControl w:val="0"/>
        <w:kinsoku/>
        <w:wordWrap/>
        <w:overflowPunct/>
        <w:topLinePunct w:val="0"/>
        <w:bidi w:val="0"/>
        <w:adjustRightInd/>
        <w:spacing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12月31日，本部门共有车辆11辆，其中，副部（省）级及以上领导用车0辆、主要负责人用车0辆、机要通信用车0辆、应急保障用车5辆、执法执勤用车6辆，特种专业技术用车0辆，离退休干部用车0辆。单价100万元（含）以上专用设备0台（</w:t>
      </w:r>
      <w:r>
        <w:rPr>
          <w:rFonts w:ascii="方正仿宋_GBK" w:hAnsi="方正仿宋_GBK" w:eastAsia="方正仿宋_GBK" w:cs="方正仿宋_GBK"/>
          <w:sz w:val="32"/>
          <w:szCs w:val="32"/>
          <w:shd w:val="clear" w:color="auto" w:fill="FFFFFF"/>
        </w:rPr>
        <w:t>套）。</w:t>
      </w:r>
    </w:p>
    <w:p>
      <w:pPr>
        <w:pStyle w:val="10"/>
        <w:keepNext w:val="0"/>
        <w:keepLines w:val="0"/>
        <w:pageBreakBefore w:val="0"/>
        <w:widowControl w:val="0"/>
        <w:kinsoku/>
        <w:wordWrap/>
        <w:overflowPunct/>
        <w:topLinePunct w:val="0"/>
        <w:autoSpaceDE w:val="0"/>
        <w:bidi w:val="0"/>
        <w:adjustRightInd/>
        <w:spacing w:line="600" w:lineRule="exact"/>
        <w:ind w:firstLine="643"/>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keepNext w:val="0"/>
        <w:keepLines w:val="0"/>
        <w:pageBreakBefore w:val="0"/>
        <w:widowControl w:val="0"/>
        <w:kinsoku/>
        <w:wordWrap/>
        <w:overflowPunct/>
        <w:topLinePunct w:val="0"/>
        <w:bidi w:val="0"/>
        <w:adjustRightInd/>
        <w:spacing w:line="600" w:lineRule="exact"/>
        <w:ind w:firstLine="640" w:firstLineChars="200"/>
        <w:jc w:val="both"/>
        <w:textAlignment w:val="auto"/>
        <w:rPr>
          <w:rFonts w:cs="宋体"/>
          <w:kern w:val="0"/>
          <w:szCs w:val="32"/>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度本部门政府采购支出总额656.18万元，其中：政府采购货物支出521.57万元、政府采购工程支出134.61万元、政府采购服务支出0.00万元。授予中小</w:t>
      </w:r>
      <w:r>
        <w:rPr>
          <w:rFonts w:ascii="方正仿宋_GBK" w:hAnsi="方正仿宋_GBK" w:eastAsia="方正仿宋_GBK" w:cs="方正仿宋_GBK"/>
          <w:sz w:val="32"/>
          <w:szCs w:val="32"/>
          <w:shd w:val="clear" w:color="auto" w:fill="FFFFFF"/>
        </w:rPr>
        <w:t>企业合同金额</w:t>
      </w:r>
      <w:r>
        <w:rPr>
          <w:rFonts w:hint="default" w:ascii="Times New Roman" w:hAnsi="Times New Roman" w:eastAsia="方正仿宋_GBK" w:cs="Times New Roman"/>
          <w:kern w:val="0"/>
          <w:sz w:val="32"/>
          <w:szCs w:val="32"/>
          <w:shd w:val="clear" w:color="auto" w:fill="FFFFFF"/>
          <w:lang w:val="en-US" w:eastAsia="zh-CN" w:bidi="ar-SA"/>
        </w:rPr>
        <w:t>656.18万元，占政府采购支出总额的100.00%，其中：授予小微企业合同金额656.18万元，占政府采购支出总额的100.00 %。主要用于采购</w:t>
      </w:r>
      <w:r>
        <w:rPr>
          <w:rFonts w:hint="eastAsia" w:ascii="Times New Roman" w:hAnsi="Times New Roman" w:eastAsia="方正仿宋_GBK" w:cs="Times New Roman"/>
          <w:kern w:val="0"/>
          <w:sz w:val="32"/>
          <w:szCs w:val="32"/>
          <w:shd w:val="clear" w:color="auto" w:fill="FFFFFF"/>
          <w:lang w:val="en-US" w:eastAsia="zh-CN" w:bidi="ar-SA"/>
        </w:rPr>
        <w:t>重庆市九龙坡区长江生物多样性保</w:t>
      </w:r>
      <w:r>
        <w:rPr>
          <w:rFonts w:hint="eastAsia" w:ascii="方正仿宋_GBK" w:hAnsi="方正仿宋_GBK" w:eastAsia="方正仿宋_GBK" w:cs="方正仿宋_GBK"/>
          <w:kern w:val="0"/>
          <w:sz w:val="32"/>
          <w:szCs w:val="32"/>
          <w:shd w:val="clear" w:color="auto" w:fill="FFFFFF"/>
        </w:rPr>
        <w:t>护工程项目、九龙坡区河湖智慧监管能力提升工程一期项目</w:t>
      </w:r>
      <w:r>
        <w:rPr>
          <w:rFonts w:hint="eastAsia" w:ascii="方正仿宋_GBK" w:hAnsi="方正仿宋_GBK" w:eastAsia="方正仿宋_GBK" w:cs="方正仿宋_GBK"/>
          <w:kern w:val="0"/>
          <w:sz w:val="32"/>
          <w:szCs w:val="32"/>
          <w:shd w:val="clear" w:color="auto" w:fill="FFFFFF"/>
          <w:lang w:eastAsia="zh-CN"/>
        </w:rPr>
        <w:t>、九龙坡区小型水库安全监测设施项目</w:t>
      </w:r>
      <w:r>
        <w:rPr>
          <w:rFonts w:hint="eastAsia" w:ascii="方正仿宋_GBK" w:hAnsi="方正仿宋_GBK" w:eastAsia="方正仿宋_GBK" w:cs="方正仿宋_GBK"/>
          <w:kern w:val="0"/>
          <w:sz w:val="32"/>
          <w:szCs w:val="32"/>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w:t>
      </w:r>
      <w:r>
        <w:rPr>
          <w:rStyle w:val="9"/>
          <w:rFonts w:hint="default" w:ascii="Times New Roman" w:hAnsi="Times New Roman" w:eastAsia="黑体" w:cs="Times New Roman"/>
          <w:sz w:val="32"/>
          <w:szCs w:val="32"/>
          <w:shd w:val="clear" w:color="auto" w:fill="FFFFFF"/>
          <w:lang w:val="en-US" w:eastAsia="zh-CN" w:bidi="ar-SA"/>
        </w:rPr>
        <w:t>2024</w:t>
      </w:r>
      <w:r>
        <w:rPr>
          <w:rStyle w:val="9"/>
          <w:rFonts w:hint="eastAsia" w:ascii="黑体" w:hAnsi="黑体" w:eastAsia="黑体" w:cs="黑体"/>
          <w:sz w:val="32"/>
          <w:szCs w:val="32"/>
          <w:shd w:val="clear" w:color="auto" w:fill="FFFFFF"/>
          <w:lang w:val="en-US" w:eastAsia="zh-CN" w:bidi="ar-SA"/>
        </w:rPr>
        <w:t>年度预算绩效管理情况说明</w:t>
      </w:r>
    </w:p>
    <w:p>
      <w:pPr>
        <w:pStyle w:val="1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（一）预算绩效管理工作开展情况</w:t>
      </w:r>
    </w:p>
    <w:p>
      <w:pPr>
        <w:keepNext w:val="0"/>
        <w:keepLines w:val="0"/>
        <w:pageBreakBefore w:val="0"/>
        <w:widowControl w:val="0"/>
        <w:tabs>
          <w:tab w:val="center" w:pos="4153"/>
          <w:tab w:val="left" w:pos="7275"/>
        </w:tabs>
        <w:kinsoku/>
        <w:wordWrap/>
        <w:overflowPunct/>
        <w:topLinePunct w:val="0"/>
        <w:bidi w:val="0"/>
        <w:adjustRightIn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根据预算绩效管理要求，我部门组织本级及所属单位对</w:t>
      </w:r>
      <w:r>
        <w:rPr>
          <w:rFonts w:hint="default" w:ascii="Times New Roman" w:hAnsi="Times New Roman" w:eastAsia="方正仿宋_GBK" w:cs="Times New Roman"/>
          <w:kern w:val="0"/>
          <w:sz w:val="32"/>
          <w:szCs w:val="32"/>
          <w:shd w:val="clear" w:color="auto" w:fill="FFFFFF"/>
          <w:lang w:val="en-US" w:eastAsia="zh-CN" w:bidi="ar-SA"/>
        </w:rPr>
        <w:t>87</w:t>
      </w:r>
      <w:r>
        <w:rPr>
          <w:rFonts w:hint="eastAsia" w:ascii="Times New Roman" w:hAnsi="Times New Roman" w:eastAsia="方正仿宋_GBK" w:cs="Times New Roman"/>
          <w:kern w:val="0"/>
          <w:sz w:val="32"/>
          <w:szCs w:val="32"/>
          <w:shd w:val="clear" w:color="auto" w:fill="FFFFFF"/>
          <w:lang w:val="en-US" w:eastAsia="zh-CN" w:bidi="ar-SA"/>
        </w:rPr>
        <w:t>个二级项目开展了绩效自评，涉及财政拨款项目支出</w:t>
      </w: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592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47</w:t>
      </w:r>
      <w:r>
        <w:rPr>
          <w:rFonts w:hint="eastAsia" w:ascii="Times New Roman" w:hAnsi="Times New Roman" w:eastAsia="方正仿宋_GBK" w:cs="Times New Roman"/>
          <w:kern w:val="0"/>
          <w:sz w:val="32"/>
          <w:szCs w:val="32"/>
          <w:shd w:val="clear" w:color="auto" w:fill="FFFFFF"/>
          <w:lang w:val="en-US" w:eastAsia="zh-CN" w:bidi="ar-SA"/>
        </w:rPr>
        <w:t>万</w:t>
      </w:r>
      <w:r>
        <w:rPr>
          <w:rFonts w:hint="eastAsia" w:ascii="方正仿宋_GBK" w:hAnsi="方正仿宋_GBK" w:eastAsia="方正仿宋_GBK" w:cs="方正仿宋_GBK"/>
          <w:sz w:val="32"/>
          <w:szCs w:val="32"/>
          <w:lang w:val="en-US" w:eastAsia="zh-CN" w:bidi="ar-SA"/>
        </w:rPr>
        <w:t>元。</w:t>
      </w:r>
    </w:p>
    <w:p>
      <w:pPr>
        <w:tabs>
          <w:tab w:val="center" w:pos="4153"/>
          <w:tab w:val="left" w:pos="7275"/>
        </w:tabs>
        <w:spacing w:line="596" w:lineRule="exact"/>
        <w:ind w:firstLine="480" w:firstLineChars="200"/>
        <w:rPr>
          <w:rFonts w:cs="宋体"/>
          <w:kern w:val="0"/>
          <w:szCs w:val="32"/>
        </w:rPr>
      </w:pPr>
    </w:p>
    <w:tbl>
      <w:tblPr>
        <w:tblStyle w:val="7"/>
        <w:tblW w:w="9775" w:type="dxa"/>
        <w:jc w:val="center"/>
        <w:tblLayout w:type="fixed"/>
        <w:tblCellMar>
          <w:top w:w="0" w:type="dxa"/>
          <w:left w:w="108" w:type="dxa"/>
          <w:bottom w:w="0" w:type="dxa"/>
          <w:right w:w="108" w:type="dxa"/>
        </w:tblCellMar>
      </w:tblPr>
      <w:tblGrid>
        <w:gridCol w:w="593"/>
        <w:gridCol w:w="1455"/>
        <w:gridCol w:w="990"/>
        <w:gridCol w:w="900"/>
        <w:gridCol w:w="1020"/>
        <w:gridCol w:w="728"/>
        <w:gridCol w:w="874"/>
        <w:gridCol w:w="780"/>
        <w:gridCol w:w="1050"/>
        <w:gridCol w:w="187"/>
        <w:gridCol w:w="581"/>
        <w:gridCol w:w="617"/>
      </w:tblGrid>
      <w:tr>
        <w:tblPrEx>
          <w:tblCellMar>
            <w:top w:w="0" w:type="dxa"/>
            <w:left w:w="108" w:type="dxa"/>
            <w:bottom w:w="0" w:type="dxa"/>
            <w:right w:w="108" w:type="dxa"/>
          </w:tblCellMar>
        </w:tblPrEx>
        <w:trPr>
          <w:trHeight w:val="552" w:hRule="atLeast"/>
          <w:jc w:val="center"/>
        </w:trPr>
        <w:tc>
          <w:tcPr>
            <w:tcW w:w="9775" w:type="dxa"/>
            <w:gridSpan w:val="12"/>
            <w:tcBorders>
              <w:top w:val="nil"/>
              <w:left w:val="nil"/>
              <w:bottom w:val="nil"/>
              <w:right w:val="nil"/>
            </w:tcBorders>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leftChars="0" w:right="0" w:rightChars="0" w:firstLine="0" w:firstLineChars="0"/>
              <w:jc w:val="center"/>
              <w:outlineLvl w:val="9"/>
              <w:rPr>
                <w:rFonts w:hint="eastAsia" w:ascii="宋体" w:hAnsi="宋体" w:eastAsia="方正小标宋_GBK" w:cs="方正小标宋_GBK"/>
                <w:color w:val="000000"/>
                <w:kern w:val="0"/>
                <w:sz w:val="36"/>
                <w:szCs w:val="36"/>
                <w:lang w:val="en-US" w:eastAsia="zh-CN" w:bidi="ar"/>
              </w:rPr>
            </w:pPr>
            <w:r>
              <w:rPr>
                <w:rFonts w:hint="eastAsia" w:ascii="宋体" w:hAnsi="宋体" w:eastAsia="方正小标宋_GBK" w:cs="方正小标宋_GBK"/>
                <w:color w:val="000000"/>
                <w:kern w:val="0"/>
                <w:sz w:val="36"/>
                <w:szCs w:val="36"/>
                <w:lang w:val="en-US" w:eastAsia="zh-CN" w:bidi="ar"/>
              </w:rPr>
              <w:t>重庆市九龙坡区农业农村委员会</w:t>
            </w:r>
          </w:p>
          <w:p>
            <w:pPr>
              <w:widowControl/>
              <w:jc w:val="center"/>
              <w:textAlignment w:val="center"/>
              <w:rPr>
                <w:rFonts w:eastAsia="方正小标宋_GBK" w:cs="方正小标宋_GBK"/>
                <w:color w:val="000000"/>
                <w:sz w:val="36"/>
                <w:szCs w:val="36"/>
              </w:rPr>
            </w:pPr>
            <w:r>
              <w:rPr>
                <w:rFonts w:hint="default" w:ascii="Times New Roman" w:hAnsi="Times New Roman" w:eastAsia="方正小标宋_GBK" w:cs="Times New Roman"/>
                <w:color w:val="000000"/>
                <w:kern w:val="0"/>
                <w:sz w:val="36"/>
                <w:szCs w:val="36"/>
                <w:lang w:bidi="ar"/>
              </w:rPr>
              <w:t>2024</w:t>
            </w:r>
            <w:r>
              <w:rPr>
                <w:rFonts w:hint="eastAsia" w:eastAsia="方正小标宋_GBK" w:cs="方正小标宋_GBK"/>
                <w:color w:val="000000"/>
                <w:kern w:val="0"/>
                <w:sz w:val="36"/>
                <w:szCs w:val="36"/>
                <w:lang w:bidi="ar"/>
              </w:rPr>
              <w:t>年度部门整体绩效自评表</w:t>
            </w:r>
          </w:p>
        </w:tc>
      </w:tr>
      <w:tr>
        <w:tblPrEx>
          <w:tblCellMar>
            <w:top w:w="0" w:type="dxa"/>
            <w:left w:w="108" w:type="dxa"/>
            <w:bottom w:w="0" w:type="dxa"/>
            <w:right w:w="108" w:type="dxa"/>
          </w:tblCellMar>
        </w:tblPrEx>
        <w:trPr>
          <w:trHeight w:val="60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主管</w:t>
            </w:r>
            <w:r>
              <w:rPr>
                <w:rFonts w:hint="eastAsia" w:cs="方正仿宋_GBK"/>
                <w:color w:val="000000"/>
                <w:kern w:val="0"/>
                <w:sz w:val="18"/>
                <w:szCs w:val="18"/>
                <w:lang w:val="en-US" w:eastAsia="zh-CN" w:bidi="ar"/>
              </w:rPr>
              <w:t xml:space="preserve">  </w:t>
            </w:r>
            <w:r>
              <w:rPr>
                <w:rFonts w:hint="eastAsia" w:cs="方正仿宋_GBK"/>
                <w:color w:val="000000"/>
                <w:kern w:val="0"/>
                <w:sz w:val="18"/>
                <w:szCs w:val="18"/>
                <w:lang w:bidi="ar"/>
              </w:rPr>
              <w:t>部门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方正仿宋_GBK"/>
                <w:color w:val="000000"/>
                <w:sz w:val="18"/>
                <w:szCs w:val="18"/>
              </w:rPr>
            </w:pPr>
            <w:r>
              <w:rPr>
                <w:rFonts w:hint="default" w:ascii="Times New Roman" w:hAnsi="Times New Roman" w:eastAsia="方正仿宋_GBK" w:cs="Times New Roman"/>
                <w:color w:val="000000"/>
                <w:kern w:val="0"/>
                <w:sz w:val="21"/>
                <w:szCs w:val="21"/>
              </w:rPr>
              <w:t>306-</w:t>
            </w:r>
            <w:r>
              <w:rPr>
                <w:rFonts w:hint="eastAsia" w:ascii="Times New Roman" w:hAnsi="Times New Roman" w:eastAsia="方正仿宋_GBK" w:cs="Times New Roman"/>
                <w:color w:val="000000"/>
                <w:kern w:val="0"/>
                <w:sz w:val="21"/>
                <w:szCs w:val="21"/>
              </w:rPr>
              <w:t>重庆市九龙坡区农业农村委员会</w:t>
            </w:r>
          </w:p>
        </w:tc>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部门</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联系人</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000000"/>
                <w:sz w:val="20"/>
              </w:rPr>
            </w:pPr>
            <w:r>
              <w:rPr>
                <w:rFonts w:hint="eastAsia" w:ascii="方正仿宋_GBK" w:hAnsi="方正仿宋_GBK" w:eastAsia="方正仿宋_GBK" w:cs="方正仿宋_GBK"/>
                <w:color w:val="000000"/>
                <w:kern w:val="0"/>
                <w:sz w:val="21"/>
                <w:szCs w:val="21"/>
              </w:rPr>
              <w:t>余老师</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联系电话</w:t>
            </w:r>
          </w:p>
        </w:tc>
        <w:tc>
          <w:tcPr>
            <w:tcW w:w="165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000000"/>
                <w:sz w:val="20"/>
              </w:rPr>
            </w:pPr>
            <w:r>
              <w:rPr>
                <w:rFonts w:hint="default" w:ascii="Times New Roman" w:hAnsi="Times New Roman" w:eastAsia="方正仿宋_GBK" w:cs="Times New Roman"/>
                <w:color w:val="000000"/>
                <w:kern w:val="0"/>
                <w:sz w:val="21"/>
                <w:szCs w:val="21"/>
              </w:rPr>
              <w:t>68827534</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自评总分</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（分）</w:t>
            </w:r>
          </w:p>
        </w:tc>
        <w:tc>
          <w:tcPr>
            <w:tcW w:w="1198" w:type="dxa"/>
            <w:gridSpan w:val="2"/>
            <w:tcBorders>
              <w:top w:val="single" w:color="000000" w:sz="4" w:space="0"/>
              <w:left w:val="single" w:color="000000" w:sz="4" w:space="0"/>
              <w:bottom w:val="single" w:color="000000" w:sz="4" w:space="0"/>
              <w:right w:val="single" w:color="000000" w:sz="4" w:space="0"/>
            </w:tcBorders>
            <w:noWrap/>
            <w:vAlign w:val="center"/>
          </w:tcPr>
          <w:p>
            <w:pPr>
              <w:rPr>
                <w:rFonts w:cs="宋体"/>
                <w:color w:val="000000"/>
                <w:sz w:val="20"/>
              </w:rPr>
            </w:pPr>
            <w:r>
              <w:rPr>
                <w:rFonts w:hint="default" w:ascii="Times New Roman" w:hAnsi="Times New Roman" w:cs="Times New Roman"/>
                <w:color w:val="000000"/>
                <w:sz w:val="20"/>
                <w:lang w:val="en-US" w:eastAsia="zh-CN"/>
              </w:rPr>
              <w:t>99</w:t>
            </w:r>
            <w:r>
              <w:rPr>
                <w:rFonts w:hint="eastAsia" w:cs="宋体"/>
                <w:color w:val="000000"/>
                <w:sz w:val="20"/>
                <w:lang w:val="en-US" w:eastAsia="zh-CN"/>
              </w:rPr>
              <w:t>.</w:t>
            </w:r>
            <w:r>
              <w:rPr>
                <w:rFonts w:hint="default" w:ascii="Times New Roman" w:hAnsi="Times New Roman" w:cs="Times New Roman"/>
                <w:color w:val="000000"/>
                <w:sz w:val="20"/>
                <w:lang w:val="en-US" w:eastAsia="zh-CN"/>
              </w:rPr>
              <w:t>86</w:t>
            </w:r>
          </w:p>
        </w:tc>
      </w:tr>
      <w:tr>
        <w:tblPrEx>
          <w:tblCellMar>
            <w:top w:w="0" w:type="dxa"/>
            <w:left w:w="108" w:type="dxa"/>
            <w:bottom w:w="0" w:type="dxa"/>
            <w:right w:w="108" w:type="dxa"/>
          </w:tblCellMar>
        </w:tblPrEx>
        <w:trPr>
          <w:trHeight w:val="450"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方正仿宋_GBK"/>
                <w:color w:val="000000"/>
                <w:kern w:val="0"/>
                <w:sz w:val="18"/>
                <w:szCs w:val="18"/>
                <w:lang w:bidi="ar"/>
              </w:rPr>
            </w:pPr>
            <w:r>
              <w:rPr>
                <w:rFonts w:hint="eastAsia" w:cs="方正仿宋_GBK"/>
                <w:color w:val="000000"/>
                <w:kern w:val="0"/>
                <w:sz w:val="18"/>
                <w:szCs w:val="18"/>
                <w:lang w:bidi="ar"/>
              </w:rPr>
              <w:t>当年</w:t>
            </w:r>
          </w:p>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绩效</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目标</w:t>
            </w:r>
          </w:p>
        </w:tc>
        <w:tc>
          <w:tcPr>
            <w:tcW w:w="33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年初绩效目标</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方正仿宋_GBK"/>
                <w:color w:val="000000"/>
                <w:kern w:val="0"/>
                <w:sz w:val="18"/>
                <w:szCs w:val="18"/>
                <w:lang w:bidi="ar"/>
              </w:rPr>
            </w:pPr>
            <w:r>
              <w:rPr>
                <w:rFonts w:hint="eastAsia" w:cs="方正仿宋_GBK"/>
                <w:color w:val="000000"/>
                <w:kern w:val="0"/>
                <w:sz w:val="18"/>
                <w:szCs w:val="18"/>
                <w:lang w:bidi="ar"/>
              </w:rPr>
              <w:t>全年（调整）绩效</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目标</w:t>
            </w:r>
          </w:p>
        </w:tc>
        <w:tc>
          <w:tcPr>
            <w:tcW w:w="408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全年目标实际完成情况</w:t>
            </w:r>
          </w:p>
        </w:tc>
      </w:tr>
      <w:tr>
        <w:tblPrEx>
          <w:tblCellMar>
            <w:top w:w="0" w:type="dxa"/>
            <w:left w:w="108" w:type="dxa"/>
            <w:bottom w:w="0" w:type="dxa"/>
            <w:right w:w="108" w:type="dxa"/>
          </w:tblCellMar>
        </w:tblPrEx>
        <w:trPr>
          <w:trHeight w:val="1290"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cs="方正仿宋_GBK"/>
                <w:color w:val="000000"/>
                <w:sz w:val="18"/>
                <w:szCs w:val="18"/>
              </w:rPr>
            </w:pPr>
          </w:p>
        </w:tc>
        <w:tc>
          <w:tcPr>
            <w:tcW w:w="33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cs="方正仿宋_GBK"/>
                <w:color w:val="000000"/>
                <w:sz w:val="18"/>
                <w:szCs w:val="18"/>
              </w:rPr>
            </w:pPr>
            <w:r>
              <w:rPr>
                <w:rFonts w:hint="eastAsia" w:cs="方正仿宋_GBK"/>
                <w:color w:val="000000"/>
                <w:sz w:val="18"/>
                <w:szCs w:val="18"/>
              </w:rPr>
              <w:t>持续改善我区村容村貌，推进乡村振兴和农业农村改革；加强农业综合执法监管力度，保障农产品质量安全；有序开展全区河长制工作，加强全区山洪灾害非工程措施设备设施维护保养，确保全区</w:t>
            </w:r>
            <w:r>
              <w:rPr>
                <w:rFonts w:hint="default" w:ascii="Times New Roman" w:hAnsi="Times New Roman" w:cs="Times New Roman"/>
                <w:color w:val="000000"/>
                <w:sz w:val="18"/>
                <w:szCs w:val="18"/>
              </w:rPr>
              <w:t>13</w:t>
            </w:r>
            <w:r>
              <w:rPr>
                <w:rFonts w:hint="eastAsia" w:cs="方正仿宋_GBK"/>
                <w:color w:val="000000"/>
                <w:sz w:val="18"/>
                <w:szCs w:val="18"/>
              </w:rPr>
              <w:t>座水库安全运行安全度汛，不发生安全事故。</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cs="方正仿宋_GBK"/>
                <w:color w:val="000000"/>
                <w:sz w:val="18"/>
                <w:szCs w:val="18"/>
              </w:rPr>
            </w:pPr>
          </w:p>
        </w:tc>
        <w:tc>
          <w:tcPr>
            <w:tcW w:w="408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cs="方正仿宋_GBK"/>
                <w:color w:val="000000"/>
                <w:sz w:val="18"/>
                <w:szCs w:val="18"/>
              </w:rPr>
            </w:pPr>
            <w:r>
              <w:rPr>
                <w:rFonts w:hint="eastAsia" w:cs="方正仿宋_GBK"/>
                <w:color w:val="000000"/>
                <w:sz w:val="18"/>
                <w:szCs w:val="18"/>
              </w:rPr>
              <w:t>全部完成。我区村容村貌持续改善，乡村振兴和农业农村改革进一步深化；农业综合执法监管力度加强，农产品质量安全得到保障；全区河长制工作有序开展，山洪灾害非工程措施设备设施正常运行，全区</w:t>
            </w:r>
            <w:r>
              <w:rPr>
                <w:rFonts w:hint="default" w:ascii="Times New Roman" w:hAnsi="Times New Roman" w:cs="Times New Roman"/>
                <w:color w:val="000000"/>
                <w:sz w:val="18"/>
                <w:szCs w:val="18"/>
              </w:rPr>
              <w:t>13</w:t>
            </w:r>
            <w:r>
              <w:rPr>
                <w:rFonts w:hint="eastAsia" w:cs="方正仿宋_GBK"/>
                <w:color w:val="000000"/>
                <w:sz w:val="18"/>
                <w:szCs w:val="18"/>
              </w:rPr>
              <w:t>座水库安全运行安全度汛，未发生安全事故。</w:t>
            </w:r>
          </w:p>
        </w:tc>
      </w:tr>
      <w:tr>
        <w:trPr>
          <w:trHeight w:val="67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绩效指标</w:t>
            </w: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计量</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单位</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指标</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性质</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指标</w:t>
            </w:r>
            <w:r>
              <w:rPr>
                <w:rFonts w:hint="eastAsia" w:cs="方正仿宋_GBK"/>
                <w:color w:val="000000"/>
                <w:kern w:val="0"/>
                <w:sz w:val="18"/>
                <w:szCs w:val="18"/>
                <w:lang w:val="en-US" w:eastAsia="zh-CN" w:bidi="ar"/>
              </w:rPr>
              <w:t xml:space="preserve"> </w:t>
            </w:r>
            <w:r>
              <w:rPr>
                <w:rFonts w:hint="eastAsia" w:cs="方正仿宋_GBK"/>
                <w:color w:val="000000"/>
                <w:kern w:val="0"/>
                <w:sz w:val="18"/>
                <w:szCs w:val="18"/>
                <w:lang w:bidi="ar"/>
              </w:rPr>
              <w:t>权重</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全年</w:t>
            </w:r>
          </w:p>
          <w:p>
            <w:pPr>
              <w:widowControl/>
              <w:jc w:val="center"/>
              <w:textAlignment w:val="center"/>
              <w:rPr>
                <w:rFonts w:cs="方正仿宋_GBK"/>
                <w:color w:val="000000"/>
                <w:sz w:val="18"/>
                <w:szCs w:val="18"/>
              </w:rPr>
            </w:pPr>
            <w:r>
              <w:rPr>
                <w:rFonts w:hint="eastAsia" w:cs="方正仿宋_GBK"/>
                <w:color w:val="000000"/>
                <w:kern w:val="0"/>
                <w:sz w:val="18"/>
                <w:szCs w:val="18"/>
                <w:lang w:bidi="ar"/>
              </w:rPr>
              <w:t>完成值</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s="方正仿宋_GBK"/>
                <w:color w:val="000000"/>
                <w:kern w:val="0"/>
                <w:sz w:val="18"/>
                <w:szCs w:val="18"/>
                <w:lang w:eastAsia="zh-CN" w:bidi="ar"/>
              </w:rPr>
            </w:pPr>
            <w:r>
              <w:rPr>
                <w:rFonts w:hint="eastAsia" w:cs="方正仿宋_GBK"/>
                <w:color w:val="000000"/>
                <w:kern w:val="0"/>
                <w:sz w:val="18"/>
                <w:szCs w:val="18"/>
                <w:lang w:bidi="ar"/>
              </w:rPr>
              <w:t>指标</w:t>
            </w:r>
            <w:r>
              <w:rPr>
                <w:rFonts w:hint="eastAsia" w:cs="方正仿宋_GBK"/>
                <w:color w:val="000000"/>
                <w:kern w:val="0"/>
                <w:sz w:val="18"/>
                <w:szCs w:val="18"/>
                <w:lang w:val="en-US" w:eastAsia="zh-CN" w:bidi="ar"/>
              </w:rPr>
              <w:t xml:space="preserve"> </w:t>
            </w:r>
            <w:r>
              <w:rPr>
                <w:rFonts w:hint="eastAsia" w:cs="方正仿宋_GBK"/>
                <w:color w:val="000000"/>
                <w:kern w:val="0"/>
                <w:sz w:val="18"/>
                <w:szCs w:val="18"/>
                <w:lang w:bidi="ar"/>
              </w:rPr>
              <w:t>得分</w:t>
            </w:r>
          </w:p>
          <w:p>
            <w:pPr>
              <w:widowControl/>
              <w:jc w:val="center"/>
              <w:textAlignment w:val="center"/>
            </w:pPr>
            <w:r>
              <w:rPr>
                <w:rFonts w:hint="eastAsia" w:cs="方正仿宋_GBK"/>
                <w:color w:val="000000"/>
                <w:kern w:val="0"/>
                <w:sz w:val="18"/>
                <w:szCs w:val="18"/>
                <w:lang w:bidi="ar"/>
              </w:rPr>
              <w:t>（分）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pPr>
            <w:r>
              <w:rPr>
                <w:rFonts w:hint="eastAsia" w:cs="方正仿宋_GBK"/>
                <w:color w:val="000000"/>
                <w:kern w:val="0"/>
                <w:sz w:val="18"/>
                <w:szCs w:val="18"/>
                <w:lang w:bidi="ar"/>
              </w:rPr>
              <w:t>说明</w:t>
            </w: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河长制断面水质监测次数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次</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12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5</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区级农产品质量安全例行监测（风险监测）数量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个</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1332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1332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5</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全区粮食播种面积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万亩</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2</w:t>
            </w:r>
            <w:r>
              <w:rPr>
                <w:rFonts w:hint="eastAsia" w:ascii="宋体" w:hAnsi="宋体" w:eastAsia="宋体" w:cs="宋体"/>
                <w:i w:val="0"/>
                <w:color w:val="000000"/>
                <w:kern w:val="0"/>
                <w:sz w:val="18"/>
                <w:szCs w:val="18"/>
                <w:u w:val="none"/>
                <w:lang w:val="en-US" w:eastAsia="zh-CN" w:bidi="ar-SA"/>
              </w:rPr>
              <w:t>.</w:t>
            </w:r>
            <w:r>
              <w:rPr>
                <w:rFonts w:hint="default" w:ascii="Times New Roman" w:hAnsi="Times New Roman" w:eastAsia="宋体" w:cs="Times New Roman"/>
                <w:i w:val="0"/>
                <w:color w:val="000000"/>
                <w:kern w:val="0"/>
                <w:sz w:val="18"/>
                <w:szCs w:val="18"/>
                <w:u w:val="none"/>
                <w:lang w:val="en-US" w:eastAsia="zh-CN" w:bidi="ar-SA"/>
              </w:rPr>
              <w:t>32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2</w:t>
            </w:r>
            <w:r>
              <w:rPr>
                <w:rFonts w:hint="eastAsia" w:ascii="宋体" w:hAnsi="宋体" w:eastAsia="宋体" w:cs="宋体"/>
                <w:i w:val="0"/>
                <w:color w:val="000000"/>
                <w:kern w:val="0"/>
                <w:sz w:val="18"/>
                <w:szCs w:val="18"/>
                <w:u w:val="none"/>
                <w:lang w:val="en-US" w:eastAsia="zh-CN" w:bidi="ar-SA"/>
              </w:rPr>
              <w:t>.</w:t>
            </w:r>
            <w:r>
              <w:rPr>
                <w:rFonts w:hint="default" w:ascii="Times New Roman" w:hAnsi="Times New Roman" w:eastAsia="宋体" w:cs="Times New Roman"/>
                <w:i w:val="0"/>
                <w:color w:val="000000"/>
                <w:kern w:val="0"/>
                <w:sz w:val="18"/>
                <w:szCs w:val="18"/>
                <w:u w:val="none"/>
                <w:lang w:val="en-US" w:eastAsia="zh-CN" w:bidi="ar-SA"/>
              </w:rPr>
              <w:t>35</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15</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水利工程维修养护数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座（处）</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12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10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支持农产品加工企业数量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个</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4</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5</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依法对重大动物疫情处置率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100</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eastAsia="宋体" w:cs="Times New Roman"/>
                <w:i w:val="0"/>
                <w:color w:val="000000"/>
                <w:kern w:val="0"/>
                <w:sz w:val="18"/>
                <w:szCs w:val="18"/>
                <w:u w:val="none"/>
                <w:lang w:val="en-US" w:eastAsia="zh-CN" w:bidi="ar-SA"/>
              </w:rPr>
              <w:t>15</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cs="方正仿宋_GBK"/>
                <w:color w:val="000000"/>
                <w:sz w:val="18"/>
                <w:szCs w:val="18"/>
              </w:rPr>
            </w:pP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预算执行率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eastAsia" w:ascii="宋体" w:hAnsi="宋体" w:eastAsia="宋体" w:cs="宋体"/>
                <w:i w:val="0"/>
                <w:color w:val="000000"/>
                <w:kern w:val="0"/>
                <w:sz w:val="18"/>
                <w:szCs w:val="18"/>
                <w:u w:val="none"/>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cs="Times New Roman"/>
                <w:i w:val="0"/>
                <w:color w:val="000000"/>
                <w:kern w:val="0"/>
                <w:sz w:val="18"/>
                <w:szCs w:val="18"/>
                <w:u w:val="none"/>
                <w:lang w:val="en-US" w:eastAsia="zh-CN" w:bidi="ar-SA"/>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方正仿宋_GBK"/>
                <w:color w:val="000000"/>
                <w:sz w:val="18"/>
                <w:szCs w:val="18"/>
              </w:rPr>
            </w:pPr>
            <w:r>
              <w:rPr>
                <w:rFonts w:hint="default" w:ascii="Times New Roman" w:hAnsi="Times New Roman" w:eastAsia="宋体" w:cs="Times New Roman"/>
                <w:i w:val="0"/>
                <w:color w:val="000000"/>
                <w:kern w:val="0"/>
                <w:sz w:val="18"/>
                <w:szCs w:val="18"/>
                <w:u w:val="none"/>
                <w:lang w:val="en-US" w:eastAsia="zh-CN" w:bidi="ar-SA"/>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rPr>
                <w:rFonts w:cs="宋体"/>
                <w:color w:val="000000"/>
                <w:sz w:val="20"/>
              </w:rPr>
            </w:pPr>
            <w:r>
              <w:rPr>
                <w:rFonts w:hint="default" w:ascii="Times New Roman" w:hAnsi="Times New Roman" w:eastAsia="宋体" w:cs="Times New Roman"/>
                <w:i w:val="0"/>
                <w:color w:val="000000"/>
                <w:kern w:val="0"/>
                <w:sz w:val="18"/>
                <w:szCs w:val="18"/>
                <w:u w:val="none"/>
                <w:lang w:val="en-US" w:eastAsia="zh-CN" w:bidi="ar-SA"/>
              </w:rPr>
              <w:t>98</w:t>
            </w:r>
            <w:r>
              <w:rPr>
                <w:rFonts w:hint="eastAsia" w:ascii="宋体" w:hAnsi="宋体" w:eastAsia="宋体" w:cs="宋体"/>
                <w:i w:val="0"/>
                <w:color w:val="000000"/>
                <w:kern w:val="0"/>
                <w:sz w:val="18"/>
                <w:szCs w:val="18"/>
                <w:u w:val="none"/>
                <w:lang w:val="en-US" w:eastAsia="zh-CN" w:bidi="ar-SA"/>
              </w:rPr>
              <w:t>.</w:t>
            </w:r>
            <w:r>
              <w:rPr>
                <w:rFonts w:hint="default" w:ascii="Times New Roman" w:hAnsi="Times New Roman" w:eastAsia="宋体" w:cs="Times New Roman"/>
                <w:i w:val="0"/>
                <w:color w:val="000000"/>
                <w:kern w:val="0"/>
                <w:sz w:val="18"/>
                <w:szCs w:val="18"/>
                <w:u w:val="none"/>
                <w:lang w:val="en-US" w:eastAsia="zh-CN" w:bidi="ar-SA"/>
              </w:rPr>
              <w:t>62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0" w:firstLineChars="100"/>
              <w:jc w:val="center"/>
              <w:textAlignment w:val="center"/>
            </w:pPr>
            <w:r>
              <w:rPr>
                <w:rFonts w:hint="default" w:ascii="Times New Roman" w:hAnsi="Times New Roman" w:cs="Times New Roman"/>
                <w:i w:val="0"/>
                <w:color w:val="000000"/>
                <w:kern w:val="0"/>
                <w:sz w:val="18"/>
                <w:szCs w:val="18"/>
                <w:u w:val="none"/>
                <w:lang w:val="en-US" w:eastAsia="zh-CN" w:bidi="ar-SA"/>
              </w:rPr>
              <w:t>9</w:t>
            </w:r>
            <w:r>
              <w:rPr>
                <w:rFonts w:hint="eastAsia" w:cs="宋体"/>
                <w:i w:val="0"/>
                <w:color w:val="000000"/>
                <w:kern w:val="0"/>
                <w:sz w:val="18"/>
                <w:szCs w:val="18"/>
                <w:u w:val="none"/>
                <w:lang w:val="en-US" w:eastAsia="zh-CN" w:bidi="ar-SA"/>
              </w:rPr>
              <w:t>.</w:t>
            </w:r>
            <w:r>
              <w:rPr>
                <w:rFonts w:hint="default" w:ascii="Times New Roman" w:hAnsi="Times New Roman" w:cs="Times New Roman"/>
                <w:i w:val="0"/>
                <w:color w:val="000000"/>
                <w:kern w:val="0"/>
                <w:sz w:val="18"/>
                <w:szCs w:val="18"/>
                <w:u w:val="none"/>
                <w:lang w:val="en-US" w:eastAsia="zh-CN" w:bidi="ar-SA"/>
              </w:rPr>
              <w:t>86</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tc>
      </w:tr>
    </w:tbl>
    <w:p>
      <w:pPr>
        <w:tabs>
          <w:tab w:val="center" w:pos="4153"/>
          <w:tab w:val="left" w:pos="7275"/>
        </w:tabs>
        <w:spacing w:line="596" w:lineRule="exact"/>
        <w:ind w:firstLine="480" w:firstLineChars="200"/>
        <w:rPr>
          <w:rFonts w:cs="宋体"/>
          <w:kern w:val="0"/>
          <w:szCs w:val="32"/>
        </w:rPr>
      </w:pP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方正小标宋_GBK" w:cs="方正小标宋_GBK"/>
          <w:color w:val="000000"/>
          <w:kern w:val="0"/>
          <w:sz w:val="36"/>
          <w:szCs w:val="36"/>
          <w:lang w:val="en-US" w:eastAsia="zh-CN"/>
        </w:rPr>
      </w:pPr>
      <w:r>
        <w:rPr>
          <w:rFonts w:hint="eastAsia" w:ascii="宋体" w:hAnsi="宋体" w:eastAsia="方正小标宋_GBK" w:cs="方正小标宋_GBK"/>
          <w:color w:val="000000"/>
          <w:kern w:val="0"/>
          <w:sz w:val="36"/>
          <w:szCs w:val="36"/>
          <w:lang w:val="en-US" w:eastAsia="zh-CN"/>
        </w:rPr>
        <w:t>重庆市九龙坡区农业农村委员会</w:t>
      </w:r>
    </w:p>
    <w:p>
      <w:pPr>
        <w:keepNext w:val="0"/>
        <w:keepLines w:val="0"/>
        <w:pageBreakBefore w:val="0"/>
        <w:widowControl/>
        <w:tabs>
          <w:tab w:val="center" w:pos="4153"/>
          <w:tab w:val="left" w:pos="7275"/>
        </w:tabs>
        <w:kinsoku/>
        <w:wordWrap/>
        <w:overflowPunct/>
        <w:topLinePunct w:val="0"/>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方正小标宋_GBK" w:cs="方正小标宋_GBK"/>
          <w:color w:val="000000"/>
          <w:kern w:val="0"/>
          <w:sz w:val="36"/>
          <w:szCs w:val="36"/>
          <w:lang w:val="en-US" w:eastAsia="zh-CN"/>
        </w:rPr>
      </w:pPr>
      <w:r>
        <w:rPr>
          <w:rFonts w:hint="default" w:ascii="Times New Roman" w:hAnsi="Times New Roman" w:eastAsia="方正小标宋_GBK" w:cs="Times New Roman"/>
          <w:color w:val="000000"/>
          <w:kern w:val="0"/>
          <w:sz w:val="36"/>
          <w:szCs w:val="36"/>
          <w:lang w:val="en-US" w:eastAsia="zh-CN"/>
        </w:rPr>
        <w:t>2024</w:t>
      </w:r>
      <w:r>
        <w:rPr>
          <w:rFonts w:hint="eastAsia" w:ascii="宋体" w:hAnsi="宋体" w:eastAsia="方正小标宋_GBK" w:cs="方正小标宋_GBK"/>
          <w:color w:val="000000"/>
          <w:kern w:val="0"/>
          <w:sz w:val="36"/>
          <w:szCs w:val="36"/>
          <w:lang w:val="en-US" w:eastAsia="zh-CN"/>
        </w:rPr>
        <w:t>年度项目支出绩效自评表</w:t>
      </w:r>
    </w:p>
    <w:tbl>
      <w:tblPr>
        <w:tblStyle w:val="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9"/>
        <w:gridCol w:w="1701"/>
        <w:gridCol w:w="705"/>
        <w:gridCol w:w="870"/>
        <w:gridCol w:w="720"/>
        <w:gridCol w:w="705"/>
        <w:gridCol w:w="870"/>
        <w:gridCol w:w="885"/>
        <w:gridCol w:w="765"/>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34"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序号</w:t>
            </w:r>
          </w:p>
        </w:tc>
        <w:tc>
          <w:tcPr>
            <w:tcW w:w="1419"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项目名称</w:t>
            </w:r>
          </w:p>
        </w:tc>
        <w:tc>
          <w:tcPr>
            <w:tcW w:w="170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指标名称</w:t>
            </w:r>
          </w:p>
        </w:tc>
        <w:tc>
          <w:tcPr>
            <w:tcW w:w="70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指标性质</w:t>
            </w:r>
          </w:p>
        </w:tc>
        <w:tc>
          <w:tcPr>
            <w:tcW w:w="87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指标值</w:t>
            </w:r>
          </w:p>
        </w:tc>
        <w:tc>
          <w:tcPr>
            <w:tcW w:w="72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计量单位</w:t>
            </w:r>
          </w:p>
        </w:tc>
        <w:tc>
          <w:tcPr>
            <w:tcW w:w="70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指标权重</w:t>
            </w:r>
          </w:p>
        </w:tc>
        <w:tc>
          <w:tcPr>
            <w:tcW w:w="87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全年完成值</w:t>
            </w:r>
          </w:p>
        </w:tc>
        <w:tc>
          <w:tcPr>
            <w:tcW w:w="88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指标</w:t>
            </w:r>
            <w:r>
              <w:rPr>
                <w:rFonts w:hint="eastAsia" w:eastAsia="方正黑体_GBK" w:cs="方正黑体_GBK"/>
                <w:b w:val="0"/>
                <w:bCs w:val="0"/>
                <w:color w:val="000000"/>
                <w:kern w:val="0"/>
                <w:sz w:val="22"/>
                <w:szCs w:val="22"/>
                <w:lang w:val="en-US" w:eastAsia="zh-CN"/>
              </w:rPr>
              <w:t xml:space="preserve"> </w:t>
            </w:r>
            <w:r>
              <w:rPr>
                <w:rFonts w:hint="eastAsia" w:eastAsia="方正黑体_GBK" w:cs="方正黑体_GBK"/>
                <w:b w:val="0"/>
                <w:bCs w:val="0"/>
                <w:color w:val="000000"/>
                <w:kern w:val="0"/>
                <w:sz w:val="22"/>
                <w:szCs w:val="22"/>
              </w:rPr>
              <w:t>得分</w:t>
            </w:r>
          </w:p>
        </w:tc>
        <w:tc>
          <w:tcPr>
            <w:tcW w:w="76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说明</w:t>
            </w:r>
          </w:p>
        </w:tc>
        <w:tc>
          <w:tcPr>
            <w:tcW w:w="5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eastAsia="方正黑体_GBK" w:cs="方正黑体_GBK"/>
                <w:b w:val="0"/>
                <w:bCs w:val="0"/>
                <w:color w:val="000000"/>
                <w:sz w:val="22"/>
                <w:szCs w:val="22"/>
              </w:rPr>
            </w:pPr>
            <w:r>
              <w:rPr>
                <w:rFonts w:hint="eastAsia" w:eastAsia="方正黑体_GBK" w:cs="方正黑体_GBK"/>
                <w:b w:val="0"/>
                <w:bCs w:val="0"/>
                <w:color w:val="000000"/>
                <w:kern w:val="0"/>
                <w:sz w:val="22"/>
                <w:szCs w:val="22"/>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34" w:type="dxa"/>
            <w:vMerge w:val="restart"/>
            <w:noWrap w:val="0"/>
            <w:vAlign w:val="center"/>
          </w:tcPr>
          <w:p>
            <w:pPr>
              <w:jc w:val="center"/>
              <w:textAlignment w:val="center"/>
              <w:rPr>
                <w:rFonts w:hint="eastAsia" w:ascii="方正仿宋_GBK" w:hAnsi="方正仿宋_GBK" w:eastAsia="方正仿宋_GBK" w:cs="方正仿宋_GBK"/>
                <w:color w:val="000000"/>
                <w:sz w:val="21"/>
                <w:szCs w:val="21"/>
              </w:rPr>
            </w:pPr>
            <w:r>
              <w:rPr>
                <w:rFonts w:hint="default" w:ascii="Times New Roman" w:hAnsi="Times New Roman" w:eastAsia="方正仿宋_GBK" w:cs="Times New Roman"/>
                <w:color w:val="000000"/>
                <w:kern w:val="0"/>
                <w:sz w:val="21"/>
                <w:szCs w:val="21"/>
              </w:rPr>
              <w:t>1</w:t>
            </w:r>
          </w:p>
        </w:tc>
        <w:tc>
          <w:tcPr>
            <w:tcW w:w="141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小型病险水库除险加固</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小型病险水库除险加固座数量</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座</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w:t>
            </w:r>
          </w:p>
        </w:tc>
        <w:tc>
          <w:tcPr>
            <w:tcW w:w="765" w:type="dxa"/>
            <w:noWrap w:val="0"/>
            <w:vAlign w:val="center"/>
          </w:tcPr>
          <w:p>
            <w:pPr>
              <w:rPr>
                <w:rFonts w:hint="eastAsia" w:ascii="仿宋" w:hAnsi="仿宋" w:eastAsia="仿宋" w:cs="仿宋"/>
                <w:color w:val="000000"/>
                <w:sz w:val="21"/>
                <w:szCs w:val="21"/>
              </w:rPr>
            </w:pPr>
          </w:p>
        </w:tc>
        <w:tc>
          <w:tcPr>
            <w:tcW w:w="540" w:type="dxa"/>
            <w:vMerge w:val="restart"/>
            <w:noWrap w:val="0"/>
            <w:vAlign w:val="center"/>
          </w:tcPr>
          <w:p>
            <w:pPr>
              <w:jc w:val="center"/>
              <w:rPr>
                <w:rFonts w:hint="eastAsia" w:ascii="方正仿宋_GBK" w:hAnsi="方正仿宋_GBK" w:eastAsia="方正仿宋_GBK" w:cs="方正仿宋_GBK"/>
                <w:color w:val="000000"/>
                <w:sz w:val="21"/>
                <w:szCs w:val="21"/>
                <w:lang w:val="en-US" w:eastAsia="zh-CN"/>
              </w:rPr>
            </w:pPr>
            <w:r>
              <w:rPr>
                <w:rFonts w:hint="default" w:ascii="Times New Roman" w:hAnsi="Times New Roman" w:eastAsia="方正仿宋_GBK" w:cs="Times New Roman"/>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4" w:type="dxa"/>
            <w:vMerge w:val="continue"/>
            <w:noWrap w:val="0"/>
            <w:vAlign w:val="center"/>
          </w:tcPr>
          <w:p>
            <w:pPr>
              <w:jc w:val="center"/>
              <w:textAlignment w:val="center"/>
              <w:rPr>
                <w:color w:val="000000"/>
                <w:sz w:val="22"/>
              </w:rPr>
            </w:pPr>
          </w:p>
        </w:tc>
        <w:tc>
          <w:tcPr>
            <w:tcW w:w="1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水利工程验收合格率</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100</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30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100</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30</w:t>
            </w:r>
          </w:p>
        </w:tc>
        <w:tc>
          <w:tcPr>
            <w:tcW w:w="765" w:type="dxa"/>
            <w:noWrap w:val="0"/>
            <w:vAlign w:val="center"/>
          </w:tcPr>
          <w:p>
            <w:pPr>
              <w:rPr>
                <w:rFonts w:hint="eastAsia" w:ascii="仿宋" w:hAnsi="仿宋" w:eastAsia="仿宋" w:cs="仿宋"/>
                <w:color w:val="000000"/>
                <w:sz w:val="21"/>
                <w:szCs w:val="21"/>
              </w:rPr>
            </w:pPr>
          </w:p>
        </w:tc>
        <w:tc>
          <w:tcPr>
            <w:tcW w:w="540" w:type="dxa"/>
            <w:vMerge w:val="continue"/>
            <w:noWrap w:val="0"/>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34" w:type="dxa"/>
            <w:vMerge w:val="continue"/>
            <w:noWrap w:val="0"/>
            <w:vAlign w:val="center"/>
          </w:tcPr>
          <w:p>
            <w:pPr>
              <w:jc w:val="center"/>
              <w:textAlignment w:val="center"/>
              <w:rPr>
                <w:color w:val="000000"/>
                <w:sz w:val="22"/>
              </w:rPr>
            </w:pPr>
          </w:p>
        </w:tc>
        <w:tc>
          <w:tcPr>
            <w:tcW w:w="1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2024</w:t>
            </w:r>
            <w:r>
              <w:rPr>
                <w:rFonts w:hint="eastAsia" w:ascii="仿宋" w:hAnsi="仿宋" w:eastAsia="仿宋" w:cs="仿宋"/>
                <w:i w:val="0"/>
                <w:color w:val="000000"/>
                <w:kern w:val="0"/>
                <w:sz w:val="21"/>
                <w:szCs w:val="21"/>
                <w:u w:val="none"/>
                <w:lang w:val="en-US" w:eastAsia="zh-CN" w:bidi="ar-SA"/>
              </w:rPr>
              <w:t>年工程完工验收率</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100</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100</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w:t>
            </w:r>
          </w:p>
        </w:tc>
        <w:tc>
          <w:tcPr>
            <w:tcW w:w="765" w:type="dxa"/>
            <w:noWrap w:val="0"/>
            <w:vAlign w:val="center"/>
          </w:tcPr>
          <w:p>
            <w:pPr>
              <w:rPr>
                <w:rFonts w:hint="eastAsia" w:ascii="仿宋" w:hAnsi="仿宋" w:eastAsia="仿宋" w:cs="仿宋"/>
                <w:color w:val="000000"/>
                <w:sz w:val="21"/>
                <w:szCs w:val="21"/>
              </w:rPr>
            </w:pPr>
          </w:p>
        </w:tc>
        <w:tc>
          <w:tcPr>
            <w:tcW w:w="540" w:type="dxa"/>
            <w:vMerge w:val="continue"/>
            <w:noWrap w:val="0"/>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34" w:type="dxa"/>
            <w:vMerge w:val="continue"/>
            <w:noWrap w:val="0"/>
            <w:vAlign w:val="center"/>
          </w:tcPr>
          <w:p>
            <w:pPr>
              <w:jc w:val="center"/>
              <w:textAlignment w:val="center"/>
              <w:rPr>
                <w:color w:val="000000"/>
                <w:sz w:val="22"/>
              </w:rPr>
            </w:pPr>
          </w:p>
        </w:tc>
        <w:tc>
          <w:tcPr>
            <w:tcW w:w="1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预算执行率</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i w:val="0"/>
                <w:color w:val="000000"/>
                <w:kern w:val="0"/>
                <w:sz w:val="21"/>
                <w:szCs w:val="21"/>
                <w:u w:val="none"/>
                <w:lang w:val="en-US" w:eastAsia="zh-CN" w:bidi="ar-SA"/>
              </w:rPr>
            </w:pPr>
            <w:r>
              <w:rPr>
                <w:rFonts w:hint="default" w:ascii="Times New Roman" w:hAnsi="Times New Roman" w:eastAsia="仿宋" w:cs="Times New Roman"/>
                <w:i w:val="0"/>
                <w:color w:val="000000"/>
                <w:kern w:val="0"/>
                <w:sz w:val="21"/>
                <w:szCs w:val="21"/>
                <w:u w:val="none"/>
                <w:lang w:val="en-US" w:eastAsia="zh-CN" w:bidi="ar-SA"/>
              </w:rPr>
              <w:t>100</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i w:val="0"/>
                <w:color w:val="000000"/>
                <w:kern w:val="0"/>
                <w:sz w:val="21"/>
                <w:szCs w:val="21"/>
                <w:u w:val="none"/>
                <w:lang w:val="en-US" w:eastAsia="zh-CN" w:bidi="ar-SA"/>
              </w:rPr>
            </w:pPr>
            <w:r>
              <w:rPr>
                <w:rFonts w:hint="default" w:ascii="Times New Roman" w:hAnsi="Times New Roman" w:eastAsia="仿宋" w:cs="Times New Roman"/>
                <w:i w:val="0"/>
                <w:color w:val="000000"/>
                <w:kern w:val="0"/>
                <w:sz w:val="21"/>
                <w:szCs w:val="21"/>
                <w:u w:val="none"/>
                <w:lang w:val="en-US" w:eastAsia="zh-CN" w:bidi="ar-SA"/>
              </w:rPr>
              <w:t>10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i w:val="0"/>
                <w:color w:val="000000"/>
                <w:kern w:val="0"/>
                <w:sz w:val="21"/>
                <w:szCs w:val="21"/>
                <w:u w:val="none"/>
                <w:lang w:val="en-US" w:eastAsia="zh-CN" w:bidi="ar-SA"/>
              </w:rPr>
            </w:pPr>
            <w:r>
              <w:rPr>
                <w:rFonts w:hint="default" w:ascii="Times New Roman" w:hAnsi="Times New Roman" w:eastAsia="仿宋" w:cs="Times New Roman"/>
                <w:i w:val="0"/>
                <w:color w:val="000000"/>
                <w:kern w:val="0"/>
                <w:sz w:val="21"/>
                <w:szCs w:val="21"/>
                <w:u w:val="none"/>
                <w:lang w:val="en-US" w:eastAsia="zh-CN" w:bidi="ar-SA"/>
              </w:rPr>
              <w:t>100</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i w:val="0"/>
                <w:color w:val="000000"/>
                <w:kern w:val="0"/>
                <w:sz w:val="21"/>
                <w:szCs w:val="21"/>
                <w:u w:val="none"/>
                <w:lang w:val="en-US" w:eastAsia="zh-CN" w:bidi="ar-SA"/>
              </w:rPr>
            </w:pPr>
            <w:r>
              <w:rPr>
                <w:rFonts w:hint="default" w:ascii="Times New Roman" w:hAnsi="Times New Roman" w:eastAsia="仿宋" w:cs="Times New Roman"/>
                <w:i w:val="0"/>
                <w:color w:val="000000"/>
                <w:kern w:val="0"/>
                <w:sz w:val="21"/>
                <w:szCs w:val="21"/>
                <w:u w:val="none"/>
                <w:lang w:val="en-US" w:eastAsia="zh-CN" w:bidi="ar-SA"/>
              </w:rPr>
              <w:t>10</w:t>
            </w:r>
          </w:p>
        </w:tc>
        <w:tc>
          <w:tcPr>
            <w:tcW w:w="765" w:type="dxa"/>
            <w:noWrap w:val="0"/>
            <w:vAlign w:val="center"/>
          </w:tcPr>
          <w:p>
            <w:pPr>
              <w:rPr>
                <w:rFonts w:hint="eastAsia" w:ascii="仿宋" w:hAnsi="仿宋" w:eastAsia="仿宋" w:cs="仿宋"/>
                <w:color w:val="000000"/>
                <w:sz w:val="21"/>
                <w:szCs w:val="21"/>
              </w:rPr>
            </w:pPr>
          </w:p>
        </w:tc>
        <w:tc>
          <w:tcPr>
            <w:tcW w:w="540" w:type="dxa"/>
            <w:vMerge w:val="continue"/>
            <w:noWrap w:val="0"/>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34" w:type="dxa"/>
            <w:vMerge w:val="continue"/>
            <w:noWrap w:val="0"/>
            <w:vAlign w:val="center"/>
          </w:tcPr>
          <w:p>
            <w:pPr>
              <w:jc w:val="center"/>
              <w:textAlignment w:val="center"/>
              <w:rPr>
                <w:color w:val="000000"/>
                <w:sz w:val="22"/>
              </w:rPr>
            </w:pPr>
          </w:p>
        </w:tc>
        <w:tc>
          <w:tcPr>
            <w:tcW w:w="1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保护人口</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2000</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人</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2000</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20</w:t>
            </w:r>
          </w:p>
        </w:tc>
        <w:tc>
          <w:tcPr>
            <w:tcW w:w="765" w:type="dxa"/>
            <w:noWrap w:val="0"/>
            <w:vAlign w:val="center"/>
          </w:tcPr>
          <w:p>
            <w:pPr>
              <w:rPr>
                <w:rFonts w:hint="eastAsia" w:ascii="仿宋" w:hAnsi="仿宋" w:eastAsia="仿宋" w:cs="仿宋"/>
                <w:color w:val="000000"/>
                <w:sz w:val="21"/>
                <w:szCs w:val="21"/>
              </w:rPr>
            </w:pPr>
          </w:p>
        </w:tc>
        <w:tc>
          <w:tcPr>
            <w:tcW w:w="540" w:type="dxa"/>
            <w:vMerge w:val="continue"/>
            <w:noWrap w:val="0"/>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34" w:type="dxa"/>
            <w:vMerge w:val="continue"/>
            <w:noWrap w:val="0"/>
            <w:vAlign w:val="center"/>
          </w:tcPr>
          <w:p>
            <w:pPr>
              <w:jc w:val="center"/>
              <w:textAlignment w:val="center"/>
              <w:rPr>
                <w:color w:val="000000"/>
                <w:sz w:val="22"/>
              </w:rPr>
            </w:pPr>
          </w:p>
        </w:tc>
        <w:tc>
          <w:tcPr>
            <w:tcW w:w="1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outlineLvl w:val="9"/>
              <w:rPr>
                <w:rFonts w:hint="eastAsia" w:ascii="方正仿宋_GBK" w:hAnsi="方正仿宋_GBK" w:eastAsia="方正仿宋_GBK" w:cs="方正仿宋_GBK"/>
                <w:color w:val="000000"/>
                <w:sz w:val="21"/>
                <w:szCs w:val="21"/>
              </w:rPr>
            </w:pP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群众满意度</w:t>
            </w:r>
          </w:p>
        </w:tc>
        <w:tc>
          <w:tcPr>
            <w:tcW w:w="705" w:type="dxa"/>
            <w:noWrap w:val="0"/>
            <w:vAlign w:val="center"/>
          </w:tcPr>
          <w:p>
            <w:pPr>
              <w:keepNext w:val="0"/>
              <w:keepLines w:val="0"/>
              <w:widowControl/>
              <w:suppressLineNumbers w:val="0"/>
              <w:ind w:firstLine="210" w:firstLineChars="100"/>
              <w:jc w:val="left"/>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90</w:t>
            </w:r>
          </w:p>
        </w:tc>
        <w:tc>
          <w:tcPr>
            <w:tcW w:w="72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eastAsia" w:ascii="仿宋" w:hAnsi="仿宋" w:eastAsia="仿宋" w:cs="仿宋"/>
                <w:i w:val="0"/>
                <w:color w:val="000000"/>
                <w:kern w:val="0"/>
                <w:sz w:val="21"/>
                <w:szCs w:val="21"/>
                <w:u w:val="none"/>
                <w:lang w:val="en-US" w:eastAsia="zh-CN" w:bidi="ar-SA"/>
              </w:rPr>
              <w:t>%</w:t>
            </w:r>
          </w:p>
        </w:tc>
        <w:tc>
          <w:tcPr>
            <w:tcW w:w="70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w:t>
            </w:r>
          </w:p>
        </w:tc>
        <w:tc>
          <w:tcPr>
            <w:tcW w:w="870"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90</w:t>
            </w:r>
          </w:p>
        </w:tc>
        <w:tc>
          <w:tcPr>
            <w:tcW w:w="885" w:type="dxa"/>
            <w:noWrap w:val="0"/>
            <w:vAlign w:val="center"/>
          </w:tcPr>
          <w:p>
            <w:pPr>
              <w:keepNext w:val="0"/>
              <w:keepLines w:val="0"/>
              <w:widowControl/>
              <w:suppressLineNumbers w:val="0"/>
              <w:ind w:firstLine="210" w:firstLineChars="100"/>
              <w:jc w:val="center"/>
              <w:textAlignment w:val="center"/>
              <w:rPr>
                <w:rFonts w:hint="eastAsia" w:ascii="仿宋" w:hAnsi="仿宋" w:eastAsia="仿宋" w:cs="仿宋"/>
                <w:color w:val="000000"/>
                <w:sz w:val="21"/>
                <w:szCs w:val="21"/>
              </w:rPr>
            </w:pPr>
            <w:r>
              <w:rPr>
                <w:rFonts w:hint="default" w:ascii="Times New Roman" w:hAnsi="Times New Roman" w:eastAsia="仿宋" w:cs="Times New Roman"/>
                <w:i w:val="0"/>
                <w:color w:val="000000"/>
                <w:kern w:val="0"/>
                <w:sz w:val="21"/>
                <w:szCs w:val="21"/>
                <w:u w:val="none"/>
                <w:lang w:val="en-US" w:eastAsia="zh-CN" w:bidi="ar-SA"/>
              </w:rPr>
              <w:t>10</w:t>
            </w:r>
          </w:p>
        </w:tc>
        <w:tc>
          <w:tcPr>
            <w:tcW w:w="765" w:type="dxa"/>
            <w:noWrap w:val="0"/>
            <w:vAlign w:val="center"/>
          </w:tcPr>
          <w:p>
            <w:pPr>
              <w:rPr>
                <w:rFonts w:hint="eastAsia" w:ascii="仿宋" w:hAnsi="仿宋" w:eastAsia="仿宋" w:cs="仿宋"/>
                <w:color w:val="000000"/>
                <w:sz w:val="21"/>
                <w:szCs w:val="21"/>
              </w:rPr>
            </w:pPr>
          </w:p>
        </w:tc>
        <w:tc>
          <w:tcPr>
            <w:tcW w:w="540" w:type="dxa"/>
            <w:vMerge w:val="continue"/>
            <w:noWrap w:val="0"/>
            <w:vAlign w:val="center"/>
          </w:tcPr>
          <w:p>
            <w:pPr>
              <w:jc w:val="center"/>
              <w:rPr>
                <w:rFonts w:cs="宋体"/>
                <w:color w:val="000000"/>
                <w:sz w:val="22"/>
              </w:rPr>
            </w:pPr>
          </w:p>
        </w:tc>
      </w:tr>
    </w:tbl>
    <w:p>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3" w:firstLineChars="200"/>
        <w:jc w:val="both"/>
        <w:textAlignment w:val="auto"/>
        <w:rPr>
          <w:rStyle w:val="9"/>
          <w:rFonts w:hint="eastAsia" w:ascii="楷体" w:hAnsi="楷体" w:eastAsia="楷体" w:cs="楷体"/>
          <w:sz w:val="32"/>
          <w:szCs w:val="32"/>
          <w:shd w:val="clear" w:color="auto" w:fill="FFFFFF"/>
          <w:lang w:val="en-US" w:eastAsia="zh-CN" w:bidi="ar-SA"/>
        </w:rPr>
      </w:pPr>
      <w:r>
        <w:rPr>
          <w:rStyle w:val="9"/>
          <w:rFonts w:hint="eastAsia" w:ascii="楷体" w:hAnsi="楷体" w:eastAsia="楷体" w:cs="楷体"/>
          <w:sz w:val="32"/>
          <w:szCs w:val="32"/>
          <w:shd w:val="clear" w:color="auto" w:fill="FFFFFF"/>
          <w:lang w:val="en-US" w:eastAsia="zh-CN" w:bidi="ar-SA"/>
        </w:rPr>
        <w:t>（二）部门重点绩效评价情况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我部门对小型病险水库除险加固项目开展了绩效评价，涉及财政拨款项目</w:t>
      </w:r>
      <w:r>
        <w:rPr>
          <w:rFonts w:hint="eastAsia" w:ascii="Times New Roman" w:hAnsi="Times New Roman" w:eastAsia="方正仿宋_GBK" w:cs="Times New Roman"/>
          <w:kern w:val="0"/>
          <w:sz w:val="32"/>
          <w:szCs w:val="32"/>
          <w:shd w:val="clear" w:color="auto" w:fill="FFFFFF"/>
          <w:lang w:val="en-US" w:eastAsia="zh-CN" w:bidi="ar-SA"/>
        </w:rPr>
        <w:t>资金</w:t>
      </w:r>
      <w:r>
        <w:rPr>
          <w:rFonts w:hint="default" w:ascii="Times New Roman" w:hAnsi="Times New Roman" w:eastAsia="方正仿宋_GBK" w:cs="Times New Roman"/>
          <w:kern w:val="0"/>
          <w:sz w:val="32"/>
          <w:szCs w:val="32"/>
          <w:shd w:val="clear" w:color="auto" w:fill="FFFFFF"/>
          <w:lang w:val="en-US" w:eastAsia="zh-CN" w:bidi="ar-SA"/>
        </w:rPr>
        <w:t>160</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00</w:t>
      </w:r>
      <w:r>
        <w:rPr>
          <w:rFonts w:hint="eastAsia" w:ascii="Times New Roman" w:hAnsi="Times New Roman" w:eastAsia="方正仿宋_GBK" w:cs="Times New Roman"/>
          <w:kern w:val="0"/>
          <w:sz w:val="32"/>
          <w:szCs w:val="32"/>
          <w:shd w:val="clear" w:color="auto" w:fill="FFFFFF"/>
          <w:lang w:val="en-US" w:eastAsia="zh-CN" w:bidi="ar-SA"/>
        </w:rPr>
        <w:t>万元，评价得分</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分</w:t>
      </w:r>
      <w:r>
        <w:rPr>
          <w:rFonts w:hint="eastAsia" w:ascii="方正仿宋_GBK" w:hAnsi="方正仿宋_GBK" w:eastAsia="方正仿宋_GBK" w:cs="方正仿宋_GBK"/>
          <w:kern w:val="0"/>
          <w:sz w:val="32"/>
          <w:szCs w:val="32"/>
          <w:shd w:val="clear" w:color="auto" w:fill="FFFFFF"/>
          <w:lang w:val="en-US" w:eastAsia="zh-CN" w:bidi="ar-SA"/>
        </w:rPr>
        <w:t>，评价等次为优。绩效评价发现了项目批复时间短导致工期紧张，施工时间与汛期部分重合，影响施工进度</w:t>
      </w:r>
      <w:r>
        <w:rPr>
          <w:rFonts w:hint="default" w:ascii="方正仿宋_GBK" w:hAnsi="方正仿宋_GBK" w:eastAsia="方正仿宋_GBK" w:cs="方正仿宋_GBK"/>
          <w:kern w:val="0"/>
          <w:sz w:val="32"/>
          <w:szCs w:val="32"/>
          <w:shd w:val="clear" w:color="auto" w:fill="FFFFFF"/>
          <w:lang w:val="en-US" w:eastAsia="zh-CN" w:bidi="ar-SA"/>
        </w:rPr>
        <w:t>，施工难度较大</w:t>
      </w:r>
      <w:r>
        <w:rPr>
          <w:rFonts w:hint="eastAsia" w:ascii="方正仿宋_GBK" w:hAnsi="方正仿宋_GBK" w:eastAsia="方正仿宋_GBK" w:cs="方正仿宋_GBK"/>
          <w:kern w:val="0"/>
          <w:sz w:val="32"/>
          <w:szCs w:val="32"/>
          <w:shd w:val="clear" w:color="auto" w:fill="FFFFFF"/>
          <w:lang w:val="en-US" w:eastAsia="zh-CN" w:bidi="ar-SA"/>
        </w:rPr>
        <w:t>等主要问题，提出水利工程项目应</w:t>
      </w:r>
      <w:r>
        <w:rPr>
          <w:rFonts w:hint="default" w:ascii="方正仿宋_GBK" w:hAnsi="方正仿宋_GBK" w:eastAsia="方正仿宋_GBK" w:cs="方正仿宋_GBK"/>
          <w:kern w:val="0"/>
          <w:sz w:val="32"/>
          <w:szCs w:val="32"/>
          <w:shd w:val="clear" w:color="auto" w:fill="FFFFFF"/>
          <w:lang w:val="en-US" w:eastAsia="zh-CN" w:bidi="ar-SA"/>
        </w:rPr>
        <w:t>尽量安排在非主汛期施工，降低施工风险和难度。</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六、专业名词解释</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color="auto" w:fill="FFFFFF"/>
          <w:lang w:val="en-US" w:eastAsia="zh-CN" w:bidi="ar-SA"/>
        </w:rPr>
        <w:t>023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68827534</w:t>
      </w:r>
    </w:p>
    <w:p>
      <w:pPr>
        <w:keepNext w:val="0"/>
        <w:keepLines w:val="0"/>
        <w:pageBreakBefore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p>
    <w:p>
      <w:pPr>
        <w:keepNext w:val="0"/>
        <w:keepLines w:val="0"/>
        <w:pageBreakBefore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default" w:ascii="Times New Roman" w:hAnsi="Times New Roman" w:eastAsia="方正仿宋_GBK" w:cs="Times New Roman"/>
          <w:kern w:val="0"/>
          <w:sz w:val="32"/>
          <w:szCs w:val="32"/>
          <w:shd w:val="clear" w:fill="FFFFFF"/>
          <w:lang w:val="en-US" w:eastAsia="zh-CN" w:bidi="ar-SA"/>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w:t>
      </w:r>
      <w:r>
        <w:rPr>
          <w:rFonts w:hint="eastAsia" w:ascii="方正仿宋_GBK" w:hAnsi="方正仿宋_GBK" w:eastAsia="方正仿宋_GBK" w:cs="方正仿宋_GBK"/>
          <w:kern w:val="0"/>
          <w:sz w:val="32"/>
          <w:szCs w:val="32"/>
          <w:shd w:val="clear" w:fill="FFFFFF"/>
          <w:lang w:val="en-US" w:eastAsia="zh-CN" w:bidi="ar-SA"/>
        </w:rPr>
        <w:t>.收入决算表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w:t>
      </w:r>
      <w:r>
        <w:rPr>
          <w:rFonts w:hint="eastAsia" w:ascii="方正仿宋_GBK" w:hAnsi="方正仿宋_GBK" w:eastAsia="方正仿宋_GBK" w:cs="方正仿宋_GBK"/>
          <w:kern w:val="0"/>
          <w:sz w:val="32"/>
          <w:szCs w:val="32"/>
          <w:shd w:val="clear" w:fill="FFFFFF"/>
          <w:lang w:val="en-US" w:eastAsia="zh-CN" w:bidi="ar-SA"/>
        </w:rPr>
        <w:t>.支出决算表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pPr>
        <w:keepNext w:val="0"/>
        <w:keepLines w:val="0"/>
        <w:pageBreakBefore w:val="0"/>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w:t>
      </w:r>
      <w:r>
        <w:rPr>
          <w:rFonts w:hint="default" w:ascii="Times New Roman" w:hAnsi="Times New Roman" w:eastAsia="方正仿宋_GBK" w:cs="Times New Roman"/>
          <w:kern w:val="0"/>
          <w:sz w:val="32"/>
          <w:szCs w:val="32"/>
          <w:shd w:val="clear" w:fill="FFFFFF"/>
          <w:lang w:val="en-US" w:eastAsia="zh-CN" w:bidi="ar-SA"/>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0"/>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重庆市九龙坡区农业农村委员会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6,678.03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5,418.65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6,706.69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6,706.69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6,706.69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6,706.69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eastAsia" w:eastAsia="宋体" w:cs="宋体"/>
          <w:sz w:val="20"/>
          <w:szCs w:val="20"/>
          <w:lang w:eastAsia="zh-CN"/>
        </w:rPr>
      </w:pPr>
      <w:r>
        <w:rPr>
          <w:rFonts w:cs="宋体"/>
          <w:sz w:val="20"/>
          <w:szCs w:val="20"/>
        </w:rPr>
        <w:t>备注：1.本表反映部门本年度的总收支和年末结转结余情况。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eastAsia" w:eastAsia="宋体" w:cs="宋体"/>
          <w:sz w:val="20"/>
          <w:szCs w:val="20"/>
          <w:lang w:eastAsia="zh-CN"/>
        </w:rPr>
      </w:pPr>
    </w:p>
    <w:tbl>
      <w:tblPr>
        <w:tblStyle w:val="7"/>
        <w:tblW w:w="5009" w:type="pct"/>
        <w:tblInd w:w="0" w:type="dxa"/>
        <w:tblLayout w:type="fixed"/>
        <w:tblCellMar>
          <w:top w:w="0" w:type="dxa"/>
          <w:left w:w="0" w:type="dxa"/>
          <w:bottom w:w="0" w:type="dxa"/>
          <w:right w:w="0" w:type="dxa"/>
        </w:tblCellMar>
      </w:tblPr>
      <w:tblGrid>
        <w:gridCol w:w="1363"/>
        <w:gridCol w:w="2972"/>
        <w:gridCol w:w="1378"/>
        <w:gridCol w:w="1431"/>
        <w:gridCol w:w="1466"/>
        <w:gridCol w:w="1357"/>
        <w:gridCol w:w="1383"/>
        <w:gridCol w:w="1256"/>
        <w:gridCol w:w="1256"/>
        <w:gridCol w:w="148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6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重庆市九龙坡区农业农村委员会</w:t>
            </w:r>
          </w:p>
        </w:tc>
        <w:tc>
          <w:tcPr>
            <w:tcW w:w="46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6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1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4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6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4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4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4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6,706.69</w:t>
            </w:r>
            <w:r>
              <w:rPr>
                <w:rFonts w:ascii="Times New Roman" w:hAnsi="Times New Roman"/>
                <w:b/>
                <w:color w:val="000000"/>
                <w:sz w:val="20"/>
                <w:u w:color="auto"/>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6,706.69</w:t>
            </w:r>
            <w:r>
              <w:rPr>
                <w:rFonts w:ascii="Times New Roman" w:hAnsi="Times New Roman"/>
                <w:b/>
                <w:color w:val="000000"/>
                <w:sz w:val="20"/>
                <w:u w:color="auto"/>
              </w:rPr>
              <w:t xml:space="preserve"> </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8"/>
                <w:szCs w:val="18"/>
              </w:rPr>
              <w:t>机关事业单位基本养老保险缴费支出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68"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48"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466"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47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9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44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46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5,418.65</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5,418.65</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4,455.99</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4,455.99</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865.42</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865.42</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389.85</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5"/>
                <w:szCs w:val="15"/>
              </w:rPr>
              <w:t>其他巩固脱贫攻坚成果衔接乡村</w:t>
            </w:r>
            <w:r>
              <w:rPr>
                <w:rFonts w:cs="宋体"/>
                <w:color w:val="000000"/>
                <w:sz w:val="20"/>
                <w:szCs w:val="20"/>
              </w:rPr>
              <w:t>振兴支出</w:t>
            </w:r>
          </w:p>
        </w:tc>
        <w:tc>
          <w:tcPr>
            <w:tcW w:w="44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44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44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968"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44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2137201</w:t>
            </w:r>
          </w:p>
        </w:tc>
        <w:tc>
          <w:tcPr>
            <w:tcW w:w="9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移民补助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备注：1.本表反映部门本年度取得的各项收入情况。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ind w:left="600" w:hanging="600" w:hangingChars="300"/>
        <w:rPr>
          <w:rFonts w:hint="eastAsia" w:eastAsia="宋体" w:cs="宋体"/>
          <w:sz w:val="20"/>
          <w:szCs w:val="20"/>
          <w:lang w:eastAsia="zh-CN"/>
        </w:rPr>
      </w:pPr>
    </w:p>
    <w:p>
      <w:pPr>
        <w:ind w:left="600" w:hanging="600" w:hangingChars="300"/>
        <w:rPr>
          <w:rFonts w:hint="eastAsia" w:eastAsia="宋体" w:cs="宋体"/>
          <w:sz w:val="20"/>
          <w:szCs w:val="20"/>
          <w:lang w:eastAsia="zh-CN"/>
        </w:rPr>
      </w:pP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1"/>
        <w:gridCol w:w="1572"/>
        <w:gridCol w:w="1508"/>
        <w:gridCol w:w="1670"/>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重庆市九龙坡区农业农村委员会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6,706.69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3,114.22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3,592.47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12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5,418.65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4,455.99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移民补助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备注：1.本表反映部门本年度各项支出情况。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p>
      <w:pPr>
        <w:rPr>
          <w:rFonts w:hint="default" w:cs="宋体"/>
          <w:sz w:val="21"/>
          <w:szCs w:val="21"/>
        </w:rPr>
      </w:pPr>
    </w:p>
    <w:tbl>
      <w:tblPr>
        <w:tblStyle w:val="7"/>
        <w:tblW w:w="4914" w:type="pct"/>
        <w:tblInd w:w="0" w:type="dxa"/>
        <w:tblLayout w:type="autofit"/>
        <w:tblCellMar>
          <w:top w:w="0" w:type="dxa"/>
          <w:left w:w="0" w:type="dxa"/>
          <w:bottom w:w="0" w:type="dxa"/>
          <w:right w:w="0" w:type="dxa"/>
        </w:tblCellMar>
      </w:tblPr>
      <w:tblGrid>
        <w:gridCol w:w="2960"/>
        <w:gridCol w:w="1518"/>
        <w:gridCol w:w="3177"/>
        <w:gridCol w:w="1690"/>
        <w:gridCol w:w="2012"/>
        <w:gridCol w:w="1765"/>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重庆市九龙坡区农业农村委员会</w:t>
            </w:r>
          </w:p>
        </w:tc>
        <w:tc>
          <w:tcPr>
            <w:tcW w:w="5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6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8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54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6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8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1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5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w:t>
            </w:r>
            <w:r>
              <w:rPr>
                <w:rFonts w:hint="eastAsia" w:cs="宋体"/>
                <w:b/>
                <w:color w:val="000000"/>
                <w:sz w:val="18"/>
                <w:szCs w:val="18"/>
                <w:lang w:val="en-US" w:eastAsia="zh-CN"/>
              </w:rPr>
              <w:t xml:space="preserve">    </w:t>
            </w:r>
            <w:r>
              <w:rPr>
                <w:rFonts w:cs="宋体"/>
                <w:b/>
                <w:color w:val="000000"/>
                <w:sz w:val="18"/>
                <w:szCs w:val="18"/>
              </w:rPr>
              <w:t>拨款</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6,678.03</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645.85</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645.85</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137.51</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137.51</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306.71</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306.71</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5,418.65</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5,389.99</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195.36</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195.36</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6,706.69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6,706.69</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6,678.03</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6,706.69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6,706.69</w:t>
            </w:r>
            <w:r>
              <w:rPr>
                <w:rFonts w:ascii="Times New Roman" w:hAnsi="Times New Roman"/>
                <w:color w:val="000000"/>
                <w:sz w:val="18"/>
                <w:u w:color="auto"/>
              </w:rPr>
              <w:t xml:space="preserve"> </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6,678.03</w:t>
            </w:r>
            <w:r>
              <w:rPr>
                <w:rFonts w:ascii="Times New Roman" w:hAnsi="Times New Roman"/>
                <w:color w:val="000000"/>
                <w:sz w:val="18"/>
                <w:u w:color="auto"/>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备注：1.本表反映部门本年度一般公共预算财政拨款、政府性基金预算财政拨款及国有资本经营预算财政拨款的总收支和年末结转结余情况。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重庆市九龙坡区农业农村委员会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6,678.03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3,114.22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4,455.99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2,403.62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865.42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备注：1.本表反映部门本年度一般公共预算财政拨款支出情况。</w:t>
      </w:r>
    </w:p>
    <w:p>
      <w:pPr>
        <w:keepNext w:val="0"/>
        <w:keepLines w:val="0"/>
        <w:pageBreakBefore w:val="0"/>
        <w:widowControl/>
        <w:kinsoku/>
        <w:overflowPunct/>
        <w:topLinePunct w:val="0"/>
        <w:autoSpaceDE/>
        <w:autoSpaceDN/>
        <w:bidi w:val="0"/>
        <w:adjustRightInd/>
        <w:snapToGrid/>
        <w:spacing w:line="200" w:lineRule="exact"/>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重庆市九龙坡区农业农村委员会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2,496.31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617.91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备注：1.本表反映部门本年度一般公共预算财政拨款基本支出明细情况。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重庆市九龙坡区农业农村委员会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移民补助</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备注：1.本表反映部门本年度政府性基金预算财政拨款收入支出及结转和结余情况。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4"/>
        <w:gridCol w:w="340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重庆市九龙坡区农业农村委员会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备注：本表反映部门本年度国有资本经营预算财政拨款支出情况。本部门无国有资本经营收支，故本表无数据。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7"/>
        <w:tblW w:w="4963" w:type="pct"/>
        <w:tblInd w:w="0" w:type="dxa"/>
        <w:tblLayout w:type="autofit"/>
        <w:tblCellMar>
          <w:top w:w="0" w:type="dxa"/>
          <w:left w:w="170" w:type="dxa"/>
          <w:bottom w:w="0" w:type="dxa"/>
          <w:right w:w="170" w:type="dxa"/>
        </w:tblCellMar>
      </w:tblPr>
      <w:tblGrid>
        <w:gridCol w:w="3159"/>
        <w:gridCol w:w="2402"/>
        <w:gridCol w:w="2356"/>
        <w:gridCol w:w="3727"/>
        <w:gridCol w:w="3565"/>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03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89"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75"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70"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82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重庆市九龙坡区农业农村委员会</w:t>
            </w:r>
          </w:p>
        </w:tc>
        <w:tc>
          <w:tcPr>
            <w:tcW w:w="77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2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7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391.89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56.15</w:t>
            </w: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56.15</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129.69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262.19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52.16</w:t>
            </w: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52.16</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35.62</w:t>
            </w: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35.62</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521.57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5.87</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44.78</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29.85</w:t>
            </w:r>
            <w:r>
              <w:rPr>
                <w:rFonts w:ascii="Times New Roman" w:hAnsi="Times New Roman"/>
                <w:color w:val="000000"/>
                <w:sz w:val="18"/>
                <w:u w:color="auto"/>
              </w:rPr>
              <w:t xml:space="preserve"> </w:t>
            </w:r>
          </w:p>
        </w:tc>
        <w:tc>
          <w:tcPr>
            <w:tcW w:w="1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1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pStyle w:val="2"/>
        <w:rPr>
          <w:rFonts w:hint="eastAsia"/>
          <w:lang w:eastAsia="zh-CN"/>
        </w:rPr>
      </w:pPr>
    </w:p>
    <w:p>
      <w:pPr>
        <w:pStyle w:val="2"/>
        <w:rPr>
          <w:rFonts w:hint="eastAsia"/>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39423D"/>
    <w:rsid w:val="00550ABE"/>
    <w:rsid w:val="007B419D"/>
    <w:rsid w:val="009B67B8"/>
    <w:rsid w:val="00B03CCD"/>
    <w:rsid w:val="00C026B9"/>
    <w:rsid w:val="01474EBF"/>
    <w:rsid w:val="01515C34"/>
    <w:rsid w:val="01BC1664"/>
    <w:rsid w:val="01F3521E"/>
    <w:rsid w:val="01FA0542"/>
    <w:rsid w:val="02B81A3C"/>
    <w:rsid w:val="02E93A0D"/>
    <w:rsid w:val="02F47782"/>
    <w:rsid w:val="037554E5"/>
    <w:rsid w:val="03A52548"/>
    <w:rsid w:val="03E3214F"/>
    <w:rsid w:val="04446191"/>
    <w:rsid w:val="044C50BA"/>
    <w:rsid w:val="04A73623"/>
    <w:rsid w:val="050D234B"/>
    <w:rsid w:val="0536621F"/>
    <w:rsid w:val="05883273"/>
    <w:rsid w:val="05E71467"/>
    <w:rsid w:val="06247E33"/>
    <w:rsid w:val="068A36B5"/>
    <w:rsid w:val="069A492B"/>
    <w:rsid w:val="06A2550B"/>
    <w:rsid w:val="06A65B7E"/>
    <w:rsid w:val="06F80EE2"/>
    <w:rsid w:val="07001CCA"/>
    <w:rsid w:val="075321D2"/>
    <w:rsid w:val="075678DB"/>
    <w:rsid w:val="07932335"/>
    <w:rsid w:val="07EE35F6"/>
    <w:rsid w:val="08051BCA"/>
    <w:rsid w:val="080A21BB"/>
    <w:rsid w:val="08BA052C"/>
    <w:rsid w:val="08DB07BA"/>
    <w:rsid w:val="08DE3907"/>
    <w:rsid w:val="0932644C"/>
    <w:rsid w:val="098305D0"/>
    <w:rsid w:val="09B72B6E"/>
    <w:rsid w:val="0A0C7F04"/>
    <w:rsid w:val="0A227275"/>
    <w:rsid w:val="0A5C4B69"/>
    <w:rsid w:val="0AA1534A"/>
    <w:rsid w:val="0B8E58E1"/>
    <w:rsid w:val="0B9335CE"/>
    <w:rsid w:val="0BA10C97"/>
    <w:rsid w:val="0C554661"/>
    <w:rsid w:val="0C7927C4"/>
    <w:rsid w:val="0C9B098C"/>
    <w:rsid w:val="0CE80A8F"/>
    <w:rsid w:val="0D472B48"/>
    <w:rsid w:val="0D673E11"/>
    <w:rsid w:val="0DB50EFE"/>
    <w:rsid w:val="0DD25DDB"/>
    <w:rsid w:val="0DDA54E4"/>
    <w:rsid w:val="0E3A5F83"/>
    <w:rsid w:val="0E9478E1"/>
    <w:rsid w:val="0E9863E0"/>
    <w:rsid w:val="0EE430A6"/>
    <w:rsid w:val="0F836721"/>
    <w:rsid w:val="103645A3"/>
    <w:rsid w:val="107B59E5"/>
    <w:rsid w:val="10AA219D"/>
    <w:rsid w:val="11003CB0"/>
    <w:rsid w:val="11124E18"/>
    <w:rsid w:val="111445C7"/>
    <w:rsid w:val="1158083A"/>
    <w:rsid w:val="11882A48"/>
    <w:rsid w:val="11F03528"/>
    <w:rsid w:val="12771554"/>
    <w:rsid w:val="129973FF"/>
    <w:rsid w:val="12C921C4"/>
    <w:rsid w:val="12DA353E"/>
    <w:rsid w:val="13850DCB"/>
    <w:rsid w:val="13871C70"/>
    <w:rsid w:val="13A71CB4"/>
    <w:rsid w:val="13AF1D43"/>
    <w:rsid w:val="13CE1647"/>
    <w:rsid w:val="14200702"/>
    <w:rsid w:val="144F3F11"/>
    <w:rsid w:val="14A91173"/>
    <w:rsid w:val="1580711B"/>
    <w:rsid w:val="15A128DD"/>
    <w:rsid w:val="16D80EBF"/>
    <w:rsid w:val="16EA3350"/>
    <w:rsid w:val="189B0D0B"/>
    <w:rsid w:val="18DE010E"/>
    <w:rsid w:val="18E03A42"/>
    <w:rsid w:val="192B2A39"/>
    <w:rsid w:val="19313430"/>
    <w:rsid w:val="194A1770"/>
    <w:rsid w:val="19B906A4"/>
    <w:rsid w:val="19BC4734"/>
    <w:rsid w:val="1A1F744B"/>
    <w:rsid w:val="1A3B6E65"/>
    <w:rsid w:val="1AB10093"/>
    <w:rsid w:val="1ACA7E24"/>
    <w:rsid w:val="1AF30D7D"/>
    <w:rsid w:val="1B0B6AC0"/>
    <w:rsid w:val="1B501DE7"/>
    <w:rsid w:val="1B6F15B6"/>
    <w:rsid w:val="1B7966EB"/>
    <w:rsid w:val="1BAA2EDC"/>
    <w:rsid w:val="1BC027C5"/>
    <w:rsid w:val="1C0F1E58"/>
    <w:rsid w:val="1C103268"/>
    <w:rsid w:val="1C4108E5"/>
    <w:rsid w:val="1CE157EE"/>
    <w:rsid w:val="1D014A01"/>
    <w:rsid w:val="1D022362"/>
    <w:rsid w:val="1D091B60"/>
    <w:rsid w:val="1D6D1692"/>
    <w:rsid w:val="1D794AE5"/>
    <w:rsid w:val="1DD26311"/>
    <w:rsid w:val="1DE57DAF"/>
    <w:rsid w:val="1EF67CA4"/>
    <w:rsid w:val="1F213FD9"/>
    <w:rsid w:val="1F2A5ADC"/>
    <w:rsid w:val="1F301ABF"/>
    <w:rsid w:val="1F3402D0"/>
    <w:rsid w:val="1FCD26AF"/>
    <w:rsid w:val="20225D4F"/>
    <w:rsid w:val="20642787"/>
    <w:rsid w:val="20746942"/>
    <w:rsid w:val="20C83310"/>
    <w:rsid w:val="20EC77A3"/>
    <w:rsid w:val="21556F04"/>
    <w:rsid w:val="216838F8"/>
    <w:rsid w:val="22403BD3"/>
    <w:rsid w:val="23F020FB"/>
    <w:rsid w:val="24890EAB"/>
    <w:rsid w:val="24B92327"/>
    <w:rsid w:val="24D3717D"/>
    <w:rsid w:val="2533755C"/>
    <w:rsid w:val="25603591"/>
    <w:rsid w:val="26396DF4"/>
    <w:rsid w:val="266B763B"/>
    <w:rsid w:val="27167136"/>
    <w:rsid w:val="27B23302"/>
    <w:rsid w:val="27D424D7"/>
    <w:rsid w:val="27FE52AA"/>
    <w:rsid w:val="285722C3"/>
    <w:rsid w:val="28DC1FF8"/>
    <w:rsid w:val="29310A5F"/>
    <w:rsid w:val="29C37A35"/>
    <w:rsid w:val="2A076083"/>
    <w:rsid w:val="2A306CA5"/>
    <w:rsid w:val="2A3E0C9C"/>
    <w:rsid w:val="2A73162E"/>
    <w:rsid w:val="2A9B3456"/>
    <w:rsid w:val="2AFA2E94"/>
    <w:rsid w:val="2B167953"/>
    <w:rsid w:val="2B200583"/>
    <w:rsid w:val="2B4104F9"/>
    <w:rsid w:val="2B8209DE"/>
    <w:rsid w:val="2BE31254"/>
    <w:rsid w:val="2C304F24"/>
    <w:rsid w:val="2C6762A3"/>
    <w:rsid w:val="2C954D1E"/>
    <w:rsid w:val="2D5F4C37"/>
    <w:rsid w:val="2D683252"/>
    <w:rsid w:val="2D800C75"/>
    <w:rsid w:val="2E277985"/>
    <w:rsid w:val="2E6D2C8C"/>
    <w:rsid w:val="2FE029D7"/>
    <w:rsid w:val="2FF06E00"/>
    <w:rsid w:val="30D75C41"/>
    <w:rsid w:val="30F178BF"/>
    <w:rsid w:val="315F0B22"/>
    <w:rsid w:val="31BE24D6"/>
    <w:rsid w:val="31D84415"/>
    <w:rsid w:val="32285F6F"/>
    <w:rsid w:val="32770556"/>
    <w:rsid w:val="329C0913"/>
    <w:rsid w:val="3337290D"/>
    <w:rsid w:val="334B0167"/>
    <w:rsid w:val="337D1290"/>
    <w:rsid w:val="350D4E94"/>
    <w:rsid w:val="352930DB"/>
    <w:rsid w:val="354D2A76"/>
    <w:rsid w:val="35573069"/>
    <w:rsid w:val="356063FC"/>
    <w:rsid w:val="358C217E"/>
    <w:rsid w:val="359E7284"/>
    <w:rsid w:val="359F188C"/>
    <w:rsid w:val="35B245B5"/>
    <w:rsid w:val="364D395A"/>
    <w:rsid w:val="368E094E"/>
    <w:rsid w:val="36C9128A"/>
    <w:rsid w:val="36D73D5C"/>
    <w:rsid w:val="36FC151A"/>
    <w:rsid w:val="37841E99"/>
    <w:rsid w:val="379C594F"/>
    <w:rsid w:val="37BF1123"/>
    <w:rsid w:val="37C85E36"/>
    <w:rsid w:val="38BC1135"/>
    <w:rsid w:val="38BE4696"/>
    <w:rsid w:val="39B326DF"/>
    <w:rsid w:val="39B82A39"/>
    <w:rsid w:val="39D22730"/>
    <w:rsid w:val="39F33306"/>
    <w:rsid w:val="3ADC3D9A"/>
    <w:rsid w:val="3B1705E5"/>
    <w:rsid w:val="3B18334B"/>
    <w:rsid w:val="3B2866BE"/>
    <w:rsid w:val="3B36794F"/>
    <w:rsid w:val="3B544954"/>
    <w:rsid w:val="3B5C1951"/>
    <w:rsid w:val="3B793FF0"/>
    <w:rsid w:val="3B815DBD"/>
    <w:rsid w:val="3B8D5E7E"/>
    <w:rsid w:val="3B97076E"/>
    <w:rsid w:val="3B9F72A2"/>
    <w:rsid w:val="3C5A5928"/>
    <w:rsid w:val="3C6A5B02"/>
    <w:rsid w:val="3D2757A1"/>
    <w:rsid w:val="3D3D4FC4"/>
    <w:rsid w:val="3DDF3AB1"/>
    <w:rsid w:val="3DE60B7E"/>
    <w:rsid w:val="3E1D0952"/>
    <w:rsid w:val="3E42660A"/>
    <w:rsid w:val="3E7555B1"/>
    <w:rsid w:val="3E956664"/>
    <w:rsid w:val="3EA72472"/>
    <w:rsid w:val="3EDE1208"/>
    <w:rsid w:val="3F0527E5"/>
    <w:rsid w:val="3F16459E"/>
    <w:rsid w:val="3F4A6687"/>
    <w:rsid w:val="4004000C"/>
    <w:rsid w:val="402170C1"/>
    <w:rsid w:val="402A0C83"/>
    <w:rsid w:val="40907E71"/>
    <w:rsid w:val="411B6CE5"/>
    <w:rsid w:val="411C32E6"/>
    <w:rsid w:val="412070D7"/>
    <w:rsid w:val="41314E40"/>
    <w:rsid w:val="415C674B"/>
    <w:rsid w:val="426C1EA8"/>
    <w:rsid w:val="428A62CA"/>
    <w:rsid w:val="42E86A87"/>
    <w:rsid w:val="43136432"/>
    <w:rsid w:val="443A3B12"/>
    <w:rsid w:val="44487B36"/>
    <w:rsid w:val="44EF6BE8"/>
    <w:rsid w:val="45A30364"/>
    <w:rsid w:val="45CA49AE"/>
    <w:rsid w:val="465B470D"/>
    <w:rsid w:val="469D6AD4"/>
    <w:rsid w:val="46D54840"/>
    <w:rsid w:val="472C794E"/>
    <w:rsid w:val="472F702D"/>
    <w:rsid w:val="47674801"/>
    <w:rsid w:val="48225EF7"/>
    <w:rsid w:val="48A36D47"/>
    <w:rsid w:val="495C4A24"/>
    <w:rsid w:val="49A21DF3"/>
    <w:rsid w:val="49C811E4"/>
    <w:rsid w:val="4A216E30"/>
    <w:rsid w:val="4A662B54"/>
    <w:rsid w:val="4AE07D26"/>
    <w:rsid w:val="4B7951CB"/>
    <w:rsid w:val="4B7C315C"/>
    <w:rsid w:val="4B9300D7"/>
    <w:rsid w:val="4B99567B"/>
    <w:rsid w:val="4BAB7F90"/>
    <w:rsid w:val="4BD53EDA"/>
    <w:rsid w:val="4BE11807"/>
    <w:rsid w:val="4C484CE5"/>
    <w:rsid w:val="4D54467B"/>
    <w:rsid w:val="4DAC4ACA"/>
    <w:rsid w:val="4DD06F63"/>
    <w:rsid w:val="4E043596"/>
    <w:rsid w:val="4E7C3473"/>
    <w:rsid w:val="4E995202"/>
    <w:rsid w:val="4E9B0C57"/>
    <w:rsid w:val="4EA8523F"/>
    <w:rsid w:val="4F186D58"/>
    <w:rsid w:val="4F224836"/>
    <w:rsid w:val="4F254C9E"/>
    <w:rsid w:val="51760217"/>
    <w:rsid w:val="51E36677"/>
    <w:rsid w:val="51F01F7D"/>
    <w:rsid w:val="522F6E0C"/>
    <w:rsid w:val="52463BA1"/>
    <w:rsid w:val="527F7DDA"/>
    <w:rsid w:val="529E0423"/>
    <w:rsid w:val="529F078E"/>
    <w:rsid w:val="535123CB"/>
    <w:rsid w:val="537911F1"/>
    <w:rsid w:val="53C0244D"/>
    <w:rsid w:val="53DD4D4E"/>
    <w:rsid w:val="53DF00B3"/>
    <w:rsid w:val="53E578CE"/>
    <w:rsid w:val="53EA10F5"/>
    <w:rsid w:val="541768A0"/>
    <w:rsid w:val="543B029D"/>
    <w:rsid w:val="54977029"/>
    <w:rsid w:val="554E5773"/>
    <w:rsid w:val="555A3CBC"/>
    <w:rsid w:val="559543BD"/>
    <w:rsid w:val="55EF4EA6"/>
    <w:rsid w:val="56530F5D"/>
    <w:rsid w:val="56EE372E"/>
    <w:rsid w:val="57086932"/>
    <w:rsid w:val="571976A9"/>
    <w:rsid w:val="580B70C4"/>
    <w:rsid w:val="583F082A"/>
    <w:rsid w:val="5842572D"/>
    <w:rsid w:val="58E430DD"/>
    <w:rsid w:val="58F51C1C"/>
    <w:rsid w:val="58F85F95"/>
    <w:rsid w:val="598A28E2"/>
    <w:rsid w:val="59A2085F"/>
    <w:rsid w:val="5A1B0613"/>
    <w:rsid w:val="5AB144F3"/>
    <w:rsid w:val="5AD563E4"/>
    <w:rsid w:val="5C1336B7"/>
    <w:rsid w:val="5C263CE4"/>
    <w:rsid w:val="5C5D2777"/>
    <w:rsid w:val="5C722D7F"/>
    <w:rsid w:val="5D290C69"/>
    <w:rsid w:val="5DC17CC6"/>
    <w:rsid w:val="5DDE493F"/>
    <w:rsid w:val="5E8B51A1"/>
    <w:rsid w:val="5EB1181C"/>
    <w:rsid w:val="5EFA176D"/>
    <w:rsid w:val="5F0247F9"/>
    <w:rsid w:val="5F2D4A41"/>
    <w:rsid w:val="5F3E68C4"/>
    <w:rsid w:val="6002711C"/>
    <w:rsid w:val="601C34ED"/>
    <w:rsid w:val="60A511FB"/>
    <w:rsid w:val="61025A59"/>
    <w:rsid w:val="613D5BBC"/>
    <w:rsid w:val="61536C39"/>
    <w:rsid w:val="615C79F6"/>
    <w:rsid w:val="616D60F9"/>
    <w:rsid w:val="62944DD7"/>
    <w:rsid w:val="62FB445C"/>
    <w:rsid w:val="634265E1"/>
    <w:rsid w:val="63497036"/>
    <w:rsid w:val="63B1171E"/>
    <w:rsid w:val="63C1619B"/>
    <w:rsid w:val="63C25DC5"/>
    <w:rsid w:val="63C62057"/>
    <w:rsid w:val="63C73832"/>
    <w:rsid w:val="64192A39"/>
    <w:rsid w:val="647531C9"/>
    <w:rsid w:val="64754794"/>
    <w:rsid w:val="64FB113D"/>
    <w:rsid w:val="6544377C"/>
    <w:rsid w:val="655F5939"/>
    <w:rsid w:val="656152C6"/>
    <w:rsid w:val="6587477F"/>
    <w:rsid w:val="65880001"/>
    <w:rsid w:val="658C3A08"/>
    <w:rsid w:val="65C031CA"/>
    <w:rsid w:val="65CE6852"/>
    <w:rsid w:val="65F004F9"/>
    <w:rsid w:val="66267C04"/>
    <w:rsid w:val="663F505A"/>
    <w:rsid w:val="667F2393"/>
    <w:rsid w:val="66EE5541"/>
    <w:rsid w:val="67086152"/>
    <w:rsid w:val="670D01EF"/>
    <w:rsid w:val="67A9595A"/>
    <w:rsid w:val="684B3B9A"/>
    <w:rsid w:val="687E45FE"/>
    <w:rsid w:val="692172FD"/>
    <w:rsid w:val="69965756"/>
    <w:rsid w:val="6A3829EE"/>
    <w:rsid w:val="6A522ED7"/>
    <w:rsid w:val="6A924CB7"/>
    <w:rsid w:val="6AE0292E"/>
    <w:rsid w:val="6B440F1B"/>
    <w:rsid w:val="6B474EF5"/>
    <w:rsid w:val="6B4F1240"/>
    <w:rsid w:val="6B4F1494"/>
    <w:rsid w:val="6BC27679"/>
    <w:rsid w:val="6BC54EFE"/>
    <w:rsid w:val="6C0737CC"/>
    <w:rsid w:val="6C560CAE"/>
    <w:rsid w:val="6CD15296"/>
    <w:rsid w:val="6CE97134"/>
    <w:rsid w:val="6D903FF5"/>
    <w:rsid w:val="6DA955B8"/>
    <w:rsid w:val="6DE346AB"/>
    <w:rsid w:val="6EFD6738"/>
    <w:rsid w:val="6FDB2919"/>
    <w:rsid w:val="6FFB2E76"/>
    <w:rsid w:val="70AB70D6"/>
    <w:rsid w:val="70DE5507"/>
    <w:rsid w:val="71322B02"/>
    <w:rsid w:val="71C34D91"/>
    <w:rsid w:val="71ED38AA"/>
    <w:rsid w:val="723F3B65"/>
    <w:rsid w:val="72DB435C"/>
    <w:rsid w:val="739A0237"/>
    <w:rsid w:val="73E7295F"/>
    <w:rsid w:val="744B0763"/>
    <w:rsid w:val="74ED1B1B"/>
    <w:rsid w:val="750837F0"/>
    <w:rsid w:val="75AE51F8"/>
    <w:rsid w:val="75D326B4"/>
    <w:rsid w:val="76201B13"/>
    <w:rsid w:val="762A73EF"/>
    <w:rsid w:val="7631412E"/>
    <w:rsid w:val="763E150D"/>
    <w:rsid w:val="764F62AB"/>
    <w:rsid w:val="765C45EC"/>
    <w:rsid w:val="768A7619"/>
    <w:rsid w:val="76E649C1"/>
    <w:rsid w:val="770272DE"/>
    <w:rsid w:val="770769F7"/>
    <w:rsid w:val="7714640F"/>
    <w:rsid w:val="77714D11"/>
    <w:rsid w:val="77EA362A"/>
    <w:rsid w:val="780417D4"/>
    <w:rsid w:val="780E2ADE"/>
    <w:rsid w:val="784327F6"/>
    <w:rsid w:val="7875383E"/>
    <w:rsid w:val="79411895"/>
    <w:rsid w:val="796D60A4"/>
    <w:rsid w:val="79A031D5"/>
    <w:rsid w:val="79A52681"/>
    <w:rsid w:val="7A1525F7"/>
    <w:rsid w:val="7A3E6CB6"/>
    <w:rsid w:val="7A99799F"/>
    <w:rsid w:val="7AAB4252"/>
    <w:rsid w:val="7AE52EB9"/>
    <w:rsid w:val="7B420052"/>
    <w:rsid w:val="7B7D43A1"/>
    <w:rsid w:val="7B850012"/>
    <w:rsid w:val="7BD06A28"/>
    <w:rsid w:val="7C0C5586"/>
    <w:rsid w:val="7C1E4CD7"/>
    <w:rsid w:val="7C3A7C0B"/>
    <w:rsid w:val="7C5248E4"/>
    <w:rsid w:val="7C566698"/>
    <w:rsid w:val="7CE56AF6"/>
    <w:rsid w:val="7CF02E5B"/>
    <w:rsid w:val="7D213FB2"/>
    <w:rsid w:val="7FF723E4"/>
    <w:rsid w:val="7FFF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1"/>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4">
    <w:name w:val="29"/>
    <w:basedOn w:val="8"/>
    <w:qFormat/>
    <w:uiPriority w:val="0"/>
    <w:rPr>
      <w:rFonts w:hint="default" w:ascii="Times New Roman" w:hAnsi="Times New Roman" w:cs="Times New Roman"/>
      <w:b/>
    </w:rPr>
  </w:style>
  <w:style w:type="paragraph" w:customStyle="1" w:styleId="15">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11404</Words>
  <Characters>17299</Characters>
  <Lines>161</Lines>
  <Paragraphs>45</Paragraphs>
  <TotalTime>2</TotalTime>
  <ScaleCrop>false</ScaleCrop>
  <LinksUpToDate>false</LinksUpToDate>
  <CharactersWithSpaces>19003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2025-10-27T04:38:00Z</cp:lastPrinted>
  <dcterms:modified xsi:type="dcterms:W3CDTF">2025-10-29T04:40:27Z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