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D89BE">
      <w:pPr>
        <w:spacing w:line="600" w:lineRule="exact"/>
        <w:rPr>
          <w:rFonts w:ascii="Times New Roman" w:hAnsi="Times New Roman" w:eastAsia="方正仿宋_GBK" w:cs="方正仿宋_GBK"/>
          <w:szCs w:val="32"/>
        </w:rPr>
      </w:pPr>
    </w:p>
    <w:p w14:paraId="4F932FFE">
      <w:pPr>
        <w:spacing w:line="600" w:lineRule="exact"/>
        <w:jc w:val="center"/>
        <w:rPr>
          <w:rFonts w:ascii="Times New Roman" w:hAnsi="Times New Roman" w:eastAsia="方正仿宋_GBK" w:cs="方正仿宋_GBK"/>
          <w:szCs w:val="32"/>
        </w:rPr>
      </w:pPr>
      <w:bookmarkStart w:id="10" w:name="_GoBack"/>
    </w:p>
    <w:p w14:paraId="0488CE14">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重庆市九龙坡区人民政府</w:t>
      </w:r>
    </w:p>
    <w:p w14:paraId="47B6CB5B">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关于印发《九龙坡区支撑提升成渝地区双城经济圈发展能级行动方案（2026—2030年）》的通知</w:t>
      </w:r>
    </w:p>
    <w:bookmarkEnd w:id="10"/>
    <w:p w14:paraId="52D9D628">
      <w:pPr>
        <w:pStyle w:val="23"/>
      </w:pPr>
      <w:r>
        <w:rPr>
          <w:rFonts w:hint="eastAsia"/>
        </w:rPr>
        <w:t>九龙坡府发〔202</w:t>
      </w:r>
      <w:r>
        <w:rPr>
          <w:rFonts w:hint="eastAsia"/>
          <w:lang w:val="en-US" w:eastAsia="zh-CN"/>
        </w:rPr>
        <w:t>6</w:t>
      </w:r>
      <w:r>
        <w:rPr>
          <w:rFonts w:hint="eastAsia"/>
        </w:rPr>
        <w:t>〕</w:t>
      </w:r>
      <w:r>
        <w:rPr>
          <w:rFonts w:hint="eastAsia"/>
          <w:lang w:val="en-US" w:eastAsia="zh-CN"/>
        </w:rPr>
        <w:t>9</w:t>
      </w:r>
      <w:r>
        <w:rPr>
          <w:rFonts w:hint="eastAsia"/>
        </w:rPr>
        <w:t>号</w:t>
      </w:r>
    </w:p>
    <w:p w14:paraId="79A9AD1B">
      <w:pPr>
        <w:spacing w:line="600" w:lineRule="atLeast"/>
        <w:rPr>
          <w:rFonts w:ascii="Times New Roman" w:hAnsi="Times New Roman" w:eastAsia="宋体" w:cs="宋体"/>
          <w:sz w:val="44"/>
          <w:szCs w:val="44"/>
          <w:shd w:val="clear" w:color="auto" w:fill="FFFFFF"/>
        </w:rPr>
      </w:pPr>
    </w:p>
    <w:p w14:paraId="71C83956">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jc w:val="both"/>
        <w:textAlignment w:val="auto"/>
        <w:rPr>
          <w:rFonts w:hint="eastAsia" w:ascii="Times New Roman" w:hAnsi="Times New Roman" w:eastAsia="方正仿宋_GBK" w:cs="方正仿宋_GBK"/>
          <w:sz w:val="32"/>
          <w:szCs w:val="32"/>
          <w:u w:val="none" w:color="auto"/>
          <w:lang w:val="zh-CN" w:eastAsia="zh-CN"/>
        </w:rPr>
      </w:pPr>
      <w:r>
        <w:rPr>
          <w:rFonts w:ascii="Times New Roman" w:hAnsi="Times New Roman" w:eastAsia="方正仿宋_GBK" w:cs="方正仿宋_GBK"/>
          <w:snapToGrid w:val="0"/>
          <w:kern w:val="0"/>
          <w:sz w:val="32"/>
          <w:szCs w:val="32"/>
        </w:rPr>
        <w:t>各</w:t>
      </w:r>
      <w:r>
        <w:rPr>
          <w:rFonts w:hint="eastAsia" w:ascii="Times New Roman" w:hAnsi="Times New Roman" w:eastAsia="方正仿宋_GBK" w:cs="方正仿宋_GBK"/>
          <w:sz w:val="32"/>
          <w:szCs w:val="32"/>
          <w:u w:val="none" w:color="auto"/>
          <w:lang w:val="zh-CN" w:eastAsia="zh-CN"/>
        </w:rPr>
        <w:t>镇人民政府、街道办事处，区级有关部门，有关单位：</w:t>
      </w:r>
    </w:p>
    <w:p w14:paraId="70FF18BE">
      <w:pPr>
        <w:pStyle w:val="37"/>
        <w:widowControl w:val="0"/>
        <w:spacing w:line="600" w:lineRule="exact"/>
        <w:ind w:firstLine="640" w:firstLineChars="200"/>
        <w:jc w:val="both"/>
        <w:rPr>
          <w:rFonts w:ascii="Times New Roman" w:hAnsi="Times New Roman" w:eastAsia="方正仿宋_GBK"/>
          <w:szCs w:val="32"/>
        </w:rPr>
      </w:pPr>
      <w:r>
        <w:rPr>
          <w:rFonts w:hint="eastAsia" w:eastAsia="方正仿宋_GBK" w:cs="方正仿宋_GBK"/>
          <w:sz w:val="32"/>
          <w:szCs w:val="32"/>
          <w:u w:val="none" w:color="auto"/>
          <w:lang w:val="zh-CN" w:eastAsia="zh-CN"/>
        </w:rPr>
        <w:t>现将</w:t>
      </w:r>
      <w:r>
        <w:rPr>
          <w:rFonts w:hint="eastAsia" w:ascii="Times New Roman" w:hAnsi="Times New Roman" w:eastAsia="方正仿宋_GBK" w:cs="方正仿宋_GBK"/>
          <w:sz w:val="32"/>
          <w:szCs w:val="32"/>
          <w:u w:val="none" w:color="auto"/>
          <w:lang w:val="zh-CN" w:eastAsia="zh-CN"/>
        </w:rPr>
        <w:t>《九龙坡区支撑提升成渝地区双城经济圈发展能级行动方案（2026—2030年）》印发给你们，请认真贯彻执行</w:t>
      </w:r>
      <w:r>
        <w:rPr>
          <w:rFonts w:ascii="Times New Roman" w:hAnsi="Times New Roman" w:eastAsia="方正仿宋_GBK"/>
          <w:szCs w:val="32"/>
        </w:rPr>
        <w:t>。</w:t>
      </w:r>
    </w:p>
    <w:p w14:paraId="10B27249">
      <w:pPr>
        <w:snapToGrid w:val="0"/>
        <w:spacing w:line="600" w:lineRule="exact"/>
        <w:ind w:firstLine="420" w:firstLineChars="200"/>
        <w:rPr>
          <w:rFonts w:ascii="Times New Roman" w:hAnsi="Times New Roman" w:eastAsia="方正仿宋_GBK"/>
        </w:rPr>
      </w:pPr>
    </w:p>
    <w:p w14:paraId="76895BFA">
      <w:pPr>
        <w:spacing w:line="600" w:lineRule="exact"/>
        <w:rPr>
          <w:rFonts w:ascii="Times New Roman" w:hAnsi="Times New Roman"/>
        </w:rPr>
      </w:pPr>
    </w:p>
    <w:p w14:paraId="49182685">
      <w:pPr>
        <w:pStyle w:val="25"/>
        <w:wordWrap w:val="0"/>
      </w:pPr>
      <w:r>
        <w:rPr>
          <w:rFonts w:hint="eastAsia"/>
        </w:rPr>
        <w:t xml:space="preserve">重庆市九龙坡区人民政府    </w:t>
      </w:r>
    </w:p>
    <w:p w14:paraId="3F9CC793">
      <w:pPr>
        <w:pStyle w:val="25"/>
        <w:wordWrap w:val="0"/>
        <w:ind w:right="737"/>
        <w:jc w:val="center"/>
      </w:pPr>
      <w:r>
        <w:rPr>
          <w:rFonts w:hint="eastAsia" w:cs="Times New Roman"/>
        </w:rPr>
        <w:t xml:space="preserve">                               </w:t>
      </w:r>
      <w:r>
        <w:rPr>
          <w:rFonts w:cs="Times New Roman"/>
        </w:rPr>
        <w:t>202</w:t>
      </w:r>
      <w:r>
        <w:rPr>
          <w:rFonts w:hint="eastAsia" w:cs="Times New Roman"/>
          <w:lang w:val="en-US" w:eastAsia="zh-CN"/>
        </w:rPr>
        <w:t>6</w:t>
      </w:r>
      <w:r>
        <w:rPr>
          <w:rFonts w:cs="Times New Roman"/>
        </w:rPr>
        <w:t>年</w:t>
      </w:r>
      <w:r>
        <w:rPr>
          <w:rFonts w:hint="eastAsia" w:cs="Times New Roman"/>
          <w:lang w:val="en-US" w:eastAsia="zh-CN"/>
        </w:rPr>
        <w:t>7</w:t>
      </w:r>
      <w:r>
        <w:rPr>
          <w:rFonts w:cs="Times New Roman"/>
        </w:rPr>
        <w:t>月</w:t>
      </w:r>
      <w:r>
        <w:rPr>
          <w:rFonts w:hint="eastAsia" w:cs="Times New Roman"/>
          <w:lang w:val="en-US" w:eastAsia="zh-CN"/>
        </w:rPr>
        <w:t>10</w:t>
      </w:r>
      <w:r>
        <w:rPr>
          <w:rFonts w:hint="eastAsia" w:cs="Times New Roman"/>
        </w:rPr>
        <w:t>日</w:t>
      </w:r>
      <w:r>
        <w:rPr>
          <w:rFonts w:hint="eastAsia"/>
        </w:rPr>
        <w:t xml:space="preserve"> </w:t>
      </w:r>
    </w:p>
    <w:p w14:paraId="3B66CFA5">
      <w:pPr>
        <w:pStyle w:val="25"/>
        <w:wordWrap w:val="0"/>
        <w:ind w:right="958" w:firstLine="640" w:firstLineChars="200"/>
        <w:jc w:val="both"/>
      </w:pPr>
      <w:r>
        <w:rPr>
          <w:rFonts w:hint="eastAsia"/>
          <w:lang w:eastAsia="zh-CN"/>
        </w:rPr>
        <w:t>（</w:t>
      </w:r>
      <w:r>
        <w:rPr>
          <w:rFonts w:hint="eastAsia"/>
        </w:rPr>
        <w:t>此件公开发布</w:t>
      </w:r>
      <w:r>
        <w:rPr>
          <w:rFonts w:hint="eastAsia"/>
          <w:lang w:eastAsia="zh-CN"/>
        </w:rPr>
        <w:t>）</w:t>
      </w:r>
    </w:p>
    <w:p w14:paraId="23599B04">
      <w:pPr>
        <w:widowControl/>
        <w:jc w:val="left"/>
        <w:rPr>
          <w:rFonts w:ascii="Times New Roman" w:hAnsi="Times New Roman" w:eastAsia="方正仿宋_GBK" w:cs="方正仿宋_GBK"/>
          <w:kern w:val="0"/>
          <w:szCs w:val="32"/>
          <w:shd w:val="clear" w:color="auto" w:fill="FFFFFF"/>
        </w:rPr>
      </w:pPr>
      <w:r>
        <w:rPr>
          <w:rFonts w:ascii="Times New Roman" w:hAnsi="Times New Roman" w:eastAsia="方正仿宋_GBK" w:cs="方正仿宋_GBK"/>
          <w:szCs w:val="32"/>
          <w:shd w:val="clear" w:color="auto" w:fill="FFFFFF"/>
        </w:rPr>
        <w:br w:type="page"/>
      </w:r>
    </w:p>
    <w:p w14:paraId="51F8FDBE">
      <w:pPr>
        <w:pStyle w:val="25"/>
        <w:ind w:right="480"/>
      </w:pPr>
    </w:p>
    <w:p w14:paraId="24F324B6">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九龙坡区支撑提升成渝地区双城经济圈发展</w:t>
      </w:r>
    </w:p>
    <w:p w14:paraId="7FA2A61D">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能级行动方案（2026—2030年）</w:t>
      </w:r>
    </w:p>
    <w:p w14:paraId="3D0E4053">
      <w:pPr>
        <w:pStyle w:val="37"/>
        <w:widowControl w:val="0"/>
        <w:spacing w:line="540" w:lineRule="exact"/>
        <w:rPr>
          <w:rFonts w:ascii="Times New Roman" w:hAnsi="Times New Roman" w:eastAsia="方正黑体_GBK"/>
          <w:color w:val="auto"/>
          <w:sz w:val="32"/>
          <w:szCs w:val="32"/>
        </w:rPr>
      </w:pPr>
    </w:p>
    <w:p w14:paraId="491FC740">
      <w:pPr>
        <w:pStyle w:val="37"/>
        <w:widowControl w:val="0"/>
        <w:spacing w:line="540" w:lineRule="exact"/>
        <w:rPr>
          <w:rFonts w:ascii="Times New Roman" w:hAnsi="Times New Roman" w:eastAsia="方正黑体_GBK"/>
          <w:color w:val="auto"/>
          <w:sz w:val="32"/>
          <w:szCs w:val="32"/>
        </w:rPr>
      </w:pPr>
    </w:p>
    <w:p w14:paraId="244BF9E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rPr>
      </w:pPr>
      <w:r>
        <w:rPr>
          <w:rFonts w:hint="eastAsia" w:ascii="Times New Roman" w:hAnsi="Times New Roman" w:eastAsia="方正仿宋_GBK"/>
          <w:sz w:val="32"/>
          <w:szCs w:val="32"/>
        </w:rPr>
        <w:t>为</w:t>
      </w:r>
      <w:r>
        <w:rPr>
          <w:rFonts w:hint="eastAsia" w:ascii="Times New Roman" w:hAnsi="Times New Roman" w:eastAsia="方正仿宋_GBK" w:cs="方正仿宋_GBK"/>
          <w:sz w:val="32"/>
          <w:szCs w:val="32"/>
          <w:u w:val="none" w:color="auto"/>
        </w:rPr>
        <w:t>深入学习贯彻习近平总书记关于推动成渝地区双城经济圈建设重要讲话重要指示批示精神，加快落实党中央关于“提升成渝地区双城经济圈发展能级”战略部署，按照市委要求和区委安排，推动全区在支撑提升成渝地区双城经济圈发展能级中勇挑重担、走在前列，</w:t>
      </w:r>
      <w:r>
        <w:rPr>
          <w:rFonts w:hint="eastAsia" w:ascii="Times New Roman" w:hAnsi="Times New Roman" w:eastAsia="方正仿宋_GBK" w:cs="方正仿宋_GBK"/>
          <w:sz w:val="32"/>
          <w:szCs w:val="32"/>
          <w:u w:val="none" w:color="auto"/>
          <w:lang w:eastAsia="zh"/>
        </w:rPr>
        <w:t>根据</w:t>
      </w:r>
      <w:r>
        <w:rPr>
          <w:rFonts w:hint="eastAsia" w:ascii="Times New Roman" w:hAnsi="Times New Roman" w:eastAsia="方正仿宋_GBK" w:cs="方正仿宋_GBK"/>
          <w:sz w:val="32"/>
          <w:szCs w:val="32"/>
          <w:u w:val="none" w:color="auto"/>
        </w:rPr>
        <w:t>《重庆市推动成渝地区双城经济圈发展能级提升行动方案（</w:t>
      </w:r>
      <w:r>
        <w:rPr>
          <w:rFonts w:ascii="Times New Roman" w:hAnsi="Times New Roman" w:eastAsia="方正仿宋_GBK"/>
          <w:sz w:val="32"/>
          <w:szCs w:val="32"/>
          <w:u w:val="none" w:color="auto"/>
        </w:rPr>
        <w:t>2026</w:t>
      </w:r>
      <w:r>
        <w:rPr>
          <w:rFonts w:hint="eastAsia" w:ascii="Times New Roman" w:hAnsi="Times New Roman" w:eastAsia="方正仿宋_GBK" w:cs="方正仿宋_GBK"/>
          <w:sz w:val="32"/>
          <w:szCs w:val="32"/>
          <w:u w:val="none" w:color="auto"/>
        </w:rPr>
        <w:t>—</w:t>
      </w:r>
      <w:r>
        <w:rPr>
          <w:rFonts w:ascii="Times New Roman" w:hAnsi="Times New Roman" w:eastAsia="方正仿宋_GBK"/>
          <w:sz w:val="32"/>
          <w:szCs w:val="32"/>
          <w:u w:val="none" w:color="auto"/>
        </w:rPr>
        <w:t>2030</w:t>
      </w:r>
      <w:r>
        <w:rPr>
          <w:rFonts w:hint="eastAsia" w:ascii="Times New Roman" w:hAnsi="Times New Roman" w:eastAsia="方正仿宋_GBK" w:cs="方正仿宋_GBK"/>
          <w:sz w:val="32"/>
          <w:szCs w:val="32"/>
          <w:u w:val="none" w:color="auto"/>
        </w:rPr>
        <w:t>年）》，制定本行动方案。</w:t>
      </w:r>
    </w:p>
    <w:p w14:paraId="5CDCEDE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黑体_GBK" w:cs="方正黑体_GBK"/>
          <w:sz w:val="32"/>
          <w:szCs w:val="32"/>
          <w:u w:val="none" w:color="auto"/>
        </w:rPr>
      </w:pPr>
      <w:r>
        <w:rPr>
          <w:rFonts w:hint="eastAsia" w:ascii="Times New Roman" w:hAnsi="Times New Roman" w:eastAsia="方正黑体_GBK" w:cs="方正黑体_GBK"/>
          <w:sz w:val="32"/>
          <w:szCs w:val="32"/>
          <w:u w:val="none" w:color="auto"/>
        </w:rPr>
        <w:t>一、总体要求</w:t>
      </w:r>
    </w:p>
    <w:p w14:paraId="4FD9807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rPr>
      </w:pPr>
      <w:r>
        <w:rPr>
          <w:rFonts w:hint="eastAsia" w:ascii="Times New Roman" w:hAnsi="Times New Roman" w:eastAsia="方正仿宋_GBK" w:cs="方正仿宋_GBK"/>
          <w:sz w:val="32"/>
          <w:szCs w:val="32"/>
          <w:u w:val="none" w:color="auto"/>
        </w:rPr>
        <w:t>坚持以习近平新时代中国特色社会主义思想为指导，全面贯彻党的二十大和二十届历次全会精神，深入贯彻习近平总书记视察重庆重要讲话重要指示批示精神，紧扣“两中心两地”战略定位和“三中心一走廊”部署要求，认真贯彻市委六届历次全会及重庆市提升成渝地区双城经济圈发展能级推进大会精神，</w:t>
      </w:r>
      <w:r>
        <w:rPr>
          <w:rFonts w:hint="eastAsia" w:ascii="Times New Roman" w:hAnsi="Times New Roman" w:eastAsia="方正仿宋_GBK" w:cs="方正仿宋_GBK"/>
          <w:sz w:val="32"/>
          <w:szCs w:val="32"/>
          <w:u w:val="none" w:color="auto"/>
          <w:lang w:val="en-US" w:eastAsia="zh-CN"/>
        </w:rPr>
        <w:t>紧扣全区“十五五”时期经济社会发展“16912”总体思路</w:t>
      </w:r>
      <w:r>
        <w:rPr>
          <w:rFonts w:hint="eastAsia" w:ascii="Times New Roman" w:hAnsi="Times New Roman" w:eastAsia="方正仿宋_GBK" w:cs="方正仿宋_GBK"/>
          <w:sz w:val="32"/>
          <w:szCs w:val="32"/>
          <w:u w:val="none" w:color="auto"/>
        </w:rPr>
        <w:t>，</w:t>
      </w:r>
      <w:r>
        <w:rPr>
          <w:rFonts w:hint="eastAsia" w:ascii="Times New Roman" w:hAnsi="Times New Roman" w:eastAsia="方正仿宋_GBK" w:cs="方正仿宋_GBK"/>
          <w:sz w:val="32"/>
          <w:szCs w:val="32"/>
          <w:u w:val="none" w:color="auto"/>
          <w:lang w:val="en-US" w:eastAsia="zh-CN"/>
        </w:rPr>
        <w:t>坚持</w:t>
      </w:r>
      <w:r>
        <w:rPr>
          <w:rFonts w:hint="eastAsia" w:ascii="Times New Roman" w:hAnsi="Times New Roman" w:eastAsia="方正仿宋_GBK" w:cs="方正仿宋_GBK"/>
          <w:sz w:val="32"/>
          <w:szCs w:val="32"/>
          <w:u w:val="none" w:color="auto"/>
        </w:rPr>
        <w:t>全区域融入、全方位推进，着力打造“西部领先、全国进位和九龙坡辨识度”的标志性成果，</w:t>
      </w:r>
      <w:r>
        <w:rPr>
          <w:rFonts w:hint="eastAsia" w:ascii="Times New Roman" w:hAnsi="Times New Roman" w:eastAsia="方正仿宋_GBK" w:cs="方正仿宋_GBK"/>
          <w:sz w:val="32"/>
          <w:szCs w:val="32"/>
          <w:u w:val="none" w:color="auto"/>
          <w:lang w:val="en-US" w:eastAsia="zh-CN"/>
        </w:rPr>
        <w:t>更好支撑成渝地区双城经济圈发展能级整体跃升，更好支撑</w:t>
      </w:r>
      <w:r>
        <w:rPr>
          <w:rFonts w:hint="eastAsia" w:ascii="Times New Roman" w:hAnsi="Times New Roman" w:eastAsia="方正仿宋_GBK" w:cs="方正仿宋_GBK"/>
          <w:sz w:val="32"/>
          <w:szCs w:val="32"/>
          <w:u w:val="none" w:color="auto"/>
        </w:rPr>
        <w:t>成渝地区打造全国高质量发展重要增长极和新的动力源。</w:t>
      </w:r>
    </w:p>
    <w:p w14:paraId="7697973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Times New Roman" w:hAnsi="Times New Roman" w:eastAsia="方正黑体_GBK" w:cs="方正黑体_GBK"/>
          <w:sz w:val="32"/>
          <w:szCs w:val="32"/>
          <w:u w:val="none" w:color="auto"/>
        </w:rPr>
      </w:pPr>
      <w:r>
        <w:rPr>
          <w:rFonts w:hint="eastAsia" w:ascii="Times New Roman" w:hAnsi="Times New Roman" w:eastAsia="方正黑体_GBK" w:cs="方正黑体_GBK"/>
          <w:sz w:val="32"/>
          <w:szCs w:val="32"/>
          <w:u w:val="none" w:color="auto"/>
        </w:rPr>
        <w:t>二、发展目标</w:t>
      </w:r>
    </w:p>
    <w:p w14:paraId="2E22B81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pacing w:val="-11"/>
          <w:sz w:val="32"/>
          <w:szCs w:val="32"/>
          <w:u w:val="none" w:color="auto"/>
        </w:rPr>
      </w:pPr>
      <w:r>
        <w:rPr>
          <w:rFonts w:hint="eastAsia" w:ascii="Times New Roman" w:hAnsi="Times New Roman" w:eastAsia="方正仿宋_GBK" w:cs="方正仿宋_GBK"/>
          <w:sz w:val="32"/>
          <w:szCs w:val="32"/>
          <w:u w:val="none" w:color="auto"/>
        </w:rPr>
        <w:t>锚定支撑成渝地区双城经济圈建设“到</w:t>
      </w:r>
      <w:r>
        <w:rPr>
          <w:rFonts w:hint="eastAsia" w:ascii="Times New Roman" w:hAnsi="Times New Roman" w:eastAsia="方正仿宋_GBK"/>
          <w:sz w:val="32"/>
          <w:szCs w:val="32"/>
          <w:u w:val="none" w:color="auto"/>
        </w:rPr>
        <w:t>2030</w:t>
      </w:r>
      <w:r>
        <w:rPr>
          <w:rFonts w:hint="eastAsia" w:ascii="Times New Roman" w:hAnsi="Times New Roman" w:eastAsia="方正仿宋_GBK" w:cs="方正仿宋_GBK"/>
          <w:sz w:val="32"/>
          <w:szCs w:val="32"/>
          <w:u w:val="none" w:color="auto"/>
        </w:rPr>
        <w:t>年高质量建成全国区域发展‘第四极’”总体目标，经过</w:t>
      </w:r>
      <w:r>
        <w:rPr>
          <w:rFonts w:hint="eastAsia" w:ascii="Times New Roman" w:hAnsi="Times New Roman" w:eastAsia="方正仿宋_GBK"/>
          <w:sz w:val="32"/>
          <w:szCs w:val="32"/>
          <w:u w:val="none" w:color="auto"/>
        </w:rPr>
        <w:t>5</w:t>
      </w:r>
      <w:r>
        <w:rPr>
          <w:rFonts w:hint="eastAsia" w:ascii="Times New Roman" w:hAnsi="Times New Roman" w:eastAsia="方正仿宋_GBK" w:cs="方正仿宋_GBK"/>
          <w:sz w:val="32"/>
          <w:szCs w:val="32"/>
          <w:u w:val="none" w:color="auto"/>
        </w:rPr>
        <w:t>年时间的努力，区域经济承载和辐射带动、创新资源集聚和成果转化、改革集成和开放门户、人口吸纳和综合服务功能全面跃升，在全市加</w:t>
      </w:r>
      <w:r>
        <w:rPr>
          <w:rFonts w:hint="eastAsia" w:ascii="Times New Roman" w:hAnsi="Times New Roman" w:eastAsia="方正仿宋_GBK" w:cs="方正仿宋_GBK"/>
          <w:spacing w:val="-11"/>
          <w:sz w:val="32"/>
          <w:szCs w:val="32"/>
          <w:u w:val="none" w:color="auto"/>
        </w:rPr>
        <w:t>快迈入具有国际影响力的现代化</w:t>
      </w:r>
      <w:r>
        <w:rPr>
          <w:rFonts w:hint="eastAsia" w:ascii="Times New Roman" w:hAnsi="Times New Roman" w:eastAsia="方正仿宋_GBK" w:cs="方正仿宋_GBK"/>
          <w:spacing w:val="-11"/>
          <w:sz w:val="32"/>
          <w:szCs w:val="32"/>
          <w:u w:val="none" w:color="auto"/>
          <w:lang w:val="en-US" w:eastAsia="zh-CN"/>
        </w:rPr>
        <w:t>城市</w:t>
      </w:r>
      <w:r>
        <w:rPr>
          <w:rFonts w:hint="eastAsia" w:ascii="Times New Roman" w:hAnsi="Times New Roman" w:eastAsia="方正仿宋_GBK" w:cs="方正仿宋_GBK"/>
          <w:spacing w:val="-11"/>
          <w:sz w:val="32"/>
          <w:szCs w:val="32"/>
          <w:u w:val="none" w:color="auto"/>
        </w:rPr>
        <w:t>群行列中勇挑重担、走在前列。</w:t>
      </w:r>
    </w:p>
    <w:p w14:paraId="28FB5AB5">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rPr>
      </w:pPr>
      <w:r>
        <w:rPr>
          <w:rFonts w:hint="eastAsia" w:ascii="Times New Roman" w:hAnsi="Times New Roman" w:eastAsia="方正楷体_GBK" w:cs="方正楷体_GBK"/>
          <w:sz w:val="32"/>
          <w:szCs w:val="32"/>
          <w:u w:val="none" w:color="auto"/>
        </w:rPr>
        <w:t>——区域综合经济实力显著增强。</w:t>
      </w:r>
      <w:r>
        <w:rPr>
          <w:rFonts w:hint="eastAsia" w:ascii="Times New Roman" w:hAnsi="Times New Roman" w:eastAsia="方正仿宋_GBK" w:cs="方正仿宋_GBK"/>
          <w:sz w:val="32"/>
          <w:szCs w:val="32"/>
          <w:u w:val="none" w:color="auto"/>
        </w:rPr>
        <w:t>地区生产总值较2020年“翻一番”、达3000亿元，占双城经济圈比重达2.5%，经济总量稳居双城经济圈前三。</w:t>
      </w:r>
    </w:p>
    <w:p w14:paraId="7320DE9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lang w:eastAsia="zh-CN"/>
        </w:rPr>
      </w:pPr>
      <w:r>
        <w:rPr>
          <w:rFonts w:hint="eastAsia" w:ascii="Times New Roman" w:hAnsi="Times New Roman" w:eastAsia="方正楷体_GBK" w:cs="方正楷体_GBK"/>
          <w:sz w:val="32"/>
          <w:szCs w:val="32"/>
          <w:u w:val="none" w:color="auto"/>
        </w:rPr>
        <w:t>——现代化产业集群能级大幅跃升。</w:t>
      </w:r>
      <w:r>
        <w:rPr>
          <w:rFonts w:hint="eastAsia" w:ascii="Times New Roman" w:hAnsi="Times New Roman" w:eastAsia="方正仿宋_GBK" w:cs="方正仿宋_GBK"/>
          <w:sz w:val="32"/>
          <w:szCs w:val="32"/>
          <w:u w:val="none" w:color="auto"/>
        </w:rPr>
        <w:t>先进材料产业集群、智能网联新能源商用车基地、摩托车产业集群</w:t>
      </w:r>
      <w:r>
        <w:rPr>
          <w:rFonts w:hint="eastAsia" w:ascii="Times New Roman" w:hAnsi="Times New Roman" w:eastAsia="方正仿宋_GBK" w:cs="方正仿宋_GBK"/>
          <w:sz w:val="32"/>
          <w:szCs w:val="32"/>
          <w:u w:val="none" w:color="auto"/>
          <w:lang w:val="en-US" w:eastAsia="zh-CN"/>
        </w:rPr>
        <w:t>综合竞争力全面提升，</w:t>
      </w:r>
      <w:r>
        <w:rPr>
          <w:rFonts w:hint="eastAsia" w:ascii="Times New Roman" w:hAnsi="Times New Roman" w:eastAsia="方正仿宋_GBK" w:cs="方正仿宋_GBK"/>
          <w:sz w:val="32"/>
          <w:szCs w:val="32"/>
          <w:u w:val="none" w:color="auto"/>
        </w:rPr>
        <w:t>氢能、人工智能、空天信息等新兴产业成为新的经济增长点</w:t>
      </w:r>
      <w:r>
        <w:rPr>
          <w:rFonts w:hint="eastAsia" w:ascii="Times New Roman" w:hAnsi="Times New Roman" w:eastAsia="方正仿宋_GBK" w:cs="方正仿宋_GBK"/>
          <w:sz w:val="32"/>
          <w:szCs w:val="32"/>
          <w:u w:val="none" w:color="auto"/>
          <w:lang w:eastAsia="zh-CN"/>
        </w:rPr>
        <w:t>。</w:t>
      </w:r>
      <w:r>
        <w:rPr>
          <w:rFonts w:hint="eastAsia" w:ascii="Times New Roman" w:hAnsi="Times New Roman" w:eastAsia="方正仿宋_GBK" w:cs="方正仿宋_GBK"/>
          <w:sz w:val="32"/>
          <w:szCs w:val="32"/>
          <w:u w:val="none" w:color="auto"/>
        </w:rPr>
        <w:t>科技研发设计、软件信息、商务服务、现代金融、现代物流等生产性服务业向专业化和价值链高端延伸</w:t>
      </w:r>
      <w:r>
        <w:rPr>
          <w:rFonts w:hint="eastAsia" w:ascii="Times New Roman" w:hAnsi="Times New Roman" w:eastAsia="方正仿宋_GBK" w:cs="方正仿宋_GBK"/>
          <w:sz w:val="32"/>
          <w:szCs w:val="32"/>
          <w:u w:val="none" w:color="auto"/>
          <w:lang w:eastAsia="zh-CN"/>
        </w:rPr>
        <w:t>，全力支撑成渝地区世界级先进制造业集群发展。</w:t>
      </w:r>
    </w:p>
    <w:p w14:paraId="6A8D2CAC">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Times New Roman" w:hAnsi="Times New Roman" w:eastAsia="方正仿宋_GBK" w:cs="方正仿宋_GBK"/>
          <w:sz w:val="32"/>
          <w:szCs w:val="32"/>
          <w:u w:val="none" w:color="auto"/>
        </w:rPr>
      </w:pPr>
      <w:r>
        <w:rPr>
          <w:rFonts w:hint="eastAsia" w:ascii="Times New Roman" w:hAnsi="Times New Roman" w:eastAsia="方正楷体_GBK" w:cs="方正楷体_GBK"/>
          <w:sz w:val="32"/>
          <w:szCs w:val="32"/>
          <w:u w:val="none" w:color="auto"/>
        </w:rPr>
        <w:t>——科技创新能级显著提升。</w:t>
      </w:r>
      <w:r>
        <w:rPr>
          <w:rFonts w:hint="eastAsia" w:ascii="Times New Roman" w:hAnsi="Times New Roman" w:eastAsia="方正仿宋_GBK" w:cs="方正仿宋_GBK"/>
          <w:sz w:val="32"/>
          <w:szCs w:val="32"/>
          <w:u w:val="none" w:color="auto"/>
        </w:rPr>
        <w:t>“</w:t>
      </w:r>
      <w:r>
        <w:rPr>
          <w:rFonts w:ascii="Times New Roman" w:hAnsi="Times New Roman" w:eastAsia="方正仿宋_GBK"/>
          <w:sz w:val="32"/>
          <w:szCs w:val="32"/>
          <w:u w:val="none" w:color="auto"/>
        </w:rPr>
        <w:t>411</w:t>
      </w:r>
      <w:r>
        <w:rPr>
          <w:rFonts w:hint="eastAsia" w:ascii="Times New Roman" w:hAnsi="Times New Roman" w:eastAsia="方正仿宋_GBK" w:cs="方正仿宋_GBK"/>
          <w:sz w:val="32"/>
          <w:szCs w:val="32"/>
          <w:u w:val="none" w:color="auto"/>
        </w:rPr>
        <w:t>”科技创新布局迭代升级，教育科技人才一体发展格局基本形成，研发经费投入强度超</w:t>
      </w:r>
      <w:r>
        <w:rPr>
          <w:rFonts w:hint="eastAsia" w:ascii="Times New Roman" w:hAnsi="Times New Roman" w:eastAsia="方正仿宋_GBK"/>
          <w:sz w:val="32"/>
          <w:szCs w:val="32"/>
          <w:u w:val="none" w:color="auto"/>
        </w:rPr>
        <w:t>3.3%</w:t>
      </w:r>
      <w:r>
        <w:rPr>
          <w:rFonts w:hint="eastAsia" w:ascii="Times New Roman" w:hAnsi="Times New Roman" w:eastAsia="方正仿宋_GBK" w:cs="方正仿宋_GBK"/>
          <w:sz w:val="32"/>
          <w:szCs w:val="32"/>
          <w:u w:val="none" w:color="auto"/>
        </w:rPr>
        <w:t>，综合科技创新指数稳居全市前列，建成具有全国影响力的创新型城区</w:t>
      </w:r>
      <w:r>
        <w:rPr>
          <w:rFonts w:hint="eastAsia" w:ascii="Times New Roman" w:hAnsi="Times New Roman" w:eastAsia="方正仿宋_GBK" w:cs="方正仿宋_GBK"/>
          <w:sz w:val="32"/>
          <w:szCs w:val="32"/>
          <w:u w:val="none" w:color="auto"/>
          <w:lang w:eastAsia="zh-CN"/>
        </w:rPr>
        <w:t>，全力支撑</w:t>
      </w:r>
      <w:r>
        <w:rPr>
          <w:rFonts w:hint="eastAsia" w:ascii="Times New Roman" w:hAnsi="Times New Roman" w:eastAsia="方正仿宋_GBK" w:cs="方正仿宋_GBK"/>
          <w:sz w:val="32"/>
          <w:szCs w:val="32"/>
          <w:u w:val="none" w:color="auto"/>
          <w:lang w:val="en-US" w:eastAsia="zh-CN"/>
        </w:rPr>
        <w:t>成渝地区创新能力从参与跟跑向面上提速竞跑、点上主动领跑跃升。</w:t>
      </w:r>
    </w:p>
    <w:p w14:paraId="33795945">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rPr>
      </w:pPr>
      <w:r>
        <w:rPr>
          <w:rFonts w:hint="eastAsia" w:ascii="Times New Roman" w:hAnsi="Times New Roman" w:eastAsia="方正楷体_GBK" w:cs="方正楷体_GBK"/>
          <w:sz w:val="32"/>
          <w:szCs w:val="32"/>
          <w:u w:val="none" w:color="auto"/>
        </w:rPr>
        <w:t>——内陆开放综合枢纽重要展示区基本建成。</w:t>
      </w:r>
      <w:r>
        <w:rPr>
          <w:rFonts w:hint="eastAsia" w:ascii="Times New Roman" w:hAnsi="Times New Roman" w:eastAsia="方正仿宋_GBK" w:cs="方正仿宋_GBK"/>
          <w:sz w:val="32"/>
          <w:szCs w:val="32"/>
          <w:u w:val="none" w:color="auto"/>
        </w:rPr>
        <w:t>经西部陆海新通道3种主要运输组织方式货运量达</w:t>
      </w:r>
      <w:r>
        <w:rPr>
          <w:rFonts w:ascii="Times New Roman" w:hAnsi="Times New Roman" w:eastAsia="方正仿宋_GBK"/>
          <w:sz w:val="32"/>
          <w:szCs w:val="32"/>
          <w:u w:val="none" w:color="auto"/>
        </w:rPr>
        <w:t>3</w:t>
      </w:r>
      <w:r>
        <w:rPr>
          <w:rFonts w:hint="eastAsia" w:ascii="Times New Roman" w:hAnsi="Times New Roman" w:eastAsia="方正仿宋_GBK" w:cs="方正仿宋_GBK"/>
          <w:sz w:val="32"/>
          <w:szCs w:val="32"/>
          <w:u w:val="none" w:color="auto"/>
        </w:rPr>
        <w:t>万标箱，进出口总额年均增长</w:t>
      </w:r>
      <w:r>
        <w:rPr>
          <w:rFonts w:ascii="Times New Roman" w:hAnsi="Times New Roman" w:eastAsia="方正仿宋_GBK" w:cs="方正仿宋_GBK"/>
          <w:sz w:val="32"/>
          <w:szCs w:val="32"/>
          <w:u w:val="none" w:color="auto"/>
        </w:rPr>
        <w:t>7%</w:t>
      </w:r>
      <w:r>
        <w:rPr>
          <w:rFonts w:hint="eastAsia" w:ascii="Times New Roman" w:hAnsi="Times New Roman" w:eastAsia="方正仿宋_GBK" w:cs="方正仿宋_GBK"/>
          <w:sz w:val="32"/>
          <w:szCs w:val="32"/>
          <w:u w:val="none" w:color="auto"/>
          <w:lang w:eastAsia="zh-CN"/>
        </w:rPr>
        <w:t>，贸易进出口总额占双城经济圈比重达</w:t>
      </w:r>
      <w:r>
        <w:rPr>
          <w:rFonts w:hint="eastAsia" w:ascii="Times New Roman" w:hAnsi="Times New Roman" w:eastAsia="方正仿宋_GBK" w:cs="方正仿宋_GBK"/>
          <w:sz w:val="32"/>
          <w:szCs w:val="32"/>
          <w:u w:val="none" w:color="auto"/>
          <w:lang w:val="en-US" w:eastAsia="zh-CN"/>
        </w:rPr>
        <w:t>1.75</w:t>
      </w:r>
      <w:r>
        <w:rPr>
          <w:rFonts w:hint="eastAsia" w:ascii="Times New Roman" w:hAnsi="Times New Roman" w:eastAsia="方正仿宋_GBK" w:cs="方正仿宋_GBK"/>
          <w:sz w:val="32"/>
          <w:szCs w:val="32"/>
          <w:u w:val="none" w:color="auto"/>
          <w:lang w:eastAsia="zh-CN"/>
        </w:rPr>
        <w:t>%</w:t>
      </w:r>
      <w:r>
        <w:rPr>
          <w:rFonts w:hint="eastAsia" w:ascii="Times New Roman" w:hAnsi="Times New Roman" w:eastAsia="方正仿宋_GBK" w:cs="方正仿宋_GBK"/>
          <w:sz w:val="32"/>
          <w:szCs w:val="32"/>
          <w:u w:val="none" w:color="auto"/>
        </w:rPr>
        <w:t>。西部金融中心产业金融集聚区全面建成。</w:t>
      </w:r>
    </w:p>
    <w:p w14:paraId="31831403">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rPr>
      </w:pPr>
      <w:r>
        <w:rPr>
          <w:rFonts w:hint="eastAsia" w:ascii="Times New Roman" w:hAnsi="Times New Roman" w:eastAsia="方正楷体_GBK" w:cs="方正楷体_GBK"/>
          <w:sz w:val="32"/>
          <w:szCs w:val="32"/>
          <w:u w:val="none" w:color="auto"/>
        </w:rPr>
        <w:t>——进一步全面深化改革红利持续释放。</w:t>
      </w:r>
      <w:r>
        <w:rPr>
          <w:rFonts w:hint="eastAsia" w:ascii="Times New Roman" w:hAnsi="Times New Roman" w:eastAsia="方正仿宋_GBK" w:cs="方正仿宋_GBK"/>
          <w:sz w:val="32"/>
          <w:szCs w:val="32"/>
          <w:u w:val="none" w:color="auto"/>
        </w:rPr>
        <w:t>数智赋能城市发展、服务、安全、治理现代化水平显著提升</w:t>
      </w:r>
      <w:r>
        <w:rPr>
          <w:rFonts w:hint="eastAsia" w:ascii="Times New Roman" w:hAnsi="Times New Roman" w:eastAsia="方正仿宋_GBK" w:cs="方正仿宋_GBK"/>
          <w:sz w:val="32"/>
          <w:szCs w:val="32"/>
          <w:u w:val="none" w:color="auto"/>
          <w:lang w:eastAsia="zh-CN"/>
        </w:rPr>
        <w:t>，</w:t>
      </w:r>
      <w:r>
        <w:rPr>
          <w:rFonts w:hint="eastAsia" w:ascii="Times New Roman" w:hAnsi="Times New Roman" w:eastAsia="方正仿宋_GBK" w:cs="方正仿宋_GBK"/>
          <w:sz w:val="32"/>
          <w:szCs w:val="32"/>
          <w:u w:val="none" w:color="auto"/>
        </w:rPr>
        <w:t>要素市场化配置综合改革形成典型案例，民营经济发展活力充分激发，升级打造“西部一流、重庆最优”的营商环境。</w:t>
      </w:r>
    </w:p>
    <w:p w14:paraId="0E40DED0">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Times New Roman" w:hAnsi="Times New Roman" w:eastAsia="方正仿宋_GBK" w:cs="方正仿宋_GBK"/>
          <w:sz w:val="32"/>
          <w:szCs w:val="32"/>
          <w:u w:val="none" w:color="auto"/>
        </w:rPr>
      </w:pPr>
      <w:r>
        <w:rPr>
          <w:rFonts w:hint="eastAsia" w:ascii="Times New Roman" w:hAnsi="Times New Roman" w:eastAsia="方正楷体_GBK" w:cs="方正楷体_GBK"/>
          <w:sz w:val="32"/>
          <w:szCs w:val="32"/>
          <w:u w:val="none" w:color="auto"/>
        </w:rPr>
        <w:t>——生态宜居水平和人口集聚能力</w:t>
      </w:r>
      <w:r>
        <w:rPr>
          <w:rFonts w:hint="eastAsia" w:ascii="Times New Roman" w:hAnsi="Times New Roman" w:eastAsia="方正楷体_GBK" w:cs="方正楷体_GBK"/>
          <w:sz w:val="32"/>
          <w:szCs w:val="32"/>
          <w:u w:val="none" w:color="auto"/>
          <w:lang w:eastAsia="zh-CN"/>
        </w:rPr>
        <w:t>同步增强</w:t>
      </w:r>
      <w:r>
        <w:rPr>
          <w:rFonts w:hint="eastAsia" w:ascii="Times New Roman" w:hAnsi="Times New Roman" w:eastAsia="方正楷体_GBK" w:cs="方正楷体_GBK"/>
          <w:sz w:val="32"/>
          <w:szCs w:val="32"/>
          <w:u w:val="none" w:color="auto"/>
        </w:rPr>
        <w:t>。</w:t>
      </w:r>
      <w:r>
        <w:rPr>
          <w:rFonts w:hint="eastAsia" w:ascii="Times New Roman" w:hAnsi="Times New Roman" w:eastAsia="方正仿宋_GBK" w:cs="方正仿宋_GBK"/>
          <w:sz w:val="32"/>
          <w:szCs w:val="32"/>
          <w:u w:val="none" w:color="auto"/>
        </w:rPr>
        <w:t>“九治一体、九龙九美”美丽九龙坡</w:t>
      </w:r>
      <w:r>
        <w:rPr>
          <w:rFonts w:hint="eastAsia" w:ascii="Times New Roman" w:hAnsi="Times New Roman" w:eastAsia="方正仿宋_GBK" w:cs="方正仿宋_GBK"/>
          <w:sz w:val="32"/>
          <w:szCs w:val="32"/>
          <w:u w:val="none" w:color="auto"/>
          <w:lang w:val="en-US" w:eastAsia="zh-CN"/>
        </w:rPr>
        <w:t>建设取得显著成效，“15分钟高品质生活服务圈”全域覆盖，优质公共服务更加便利可及，</w:t>
      </w:r>
      <w:r>
        <w:rPr>
          <w:rFonts w:hint="eastAsia" w:ascii="Times New Roman" w:hAnsi="Times New Roman" w:eastAsia="方正仿宋_GBK" w:cs="方正仿宋_GBK"/>
          <w:sz w:val="32"/>
          <w:szCs w:val="32"/>
          <w:u w:val="none" w:color="auto"/>
        </w:rPr>
        <w:t>成为西部地区</w:t>
      </w:r>
      <w:r>
        <w:rPr>
          <w:rFonts w:hint="eastAsia" w:ascii="Times New Roman" w:hAnsi="Times New Roman" w:eastAsia="方正仿宋_GBK" w:cs="方正仿宋_GBK"/>
          <w:sz w:val="32"/>
          <w:szCs w:val="32"/>
          <w:u w:val="none" w:color="auto"/>
          <w:lang w:eastAsia="zh-CN"/>
        </w:rPr>
        <w:t>最</w:t>
      </w:r>
      <w:r>
        <w:rPr>
          <w:rFonts w:hint="eastAsia" w:ascii="Times New Roman" w:hAnsi="Times New Roman" w:eastAsia="方正仿宋_GBK" w:cs="方正仿宋_GBK"/>
          <w:sz w:val="32"/>
          <w:szCs w:val="32"/>
          <w:u w:val="none" w:color="auto"/>
        </w:rPr>
        <w:t>具吸引力的高品质生活宜居地。</w:t>
      </w:r>
    </w:p>
    <w:p w14:paraId="10F5AC91">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lang w:val="en-US" w:eastAsia="zh-CN"/>
        </w:rPr>
      </w:pPr>
      <w:r>
        <w:rPr>
          <w:rFonts w:hint="eastAsia" w:ascii="Times New Roman" w:hAnsi="Times New Roman" w:eastAsia="方正楷体_GBK" w:cs="方正楷体_GBK"/>
          <w:sz w:val="32"/>
          <w:szCs w:val="32"/>
          <w:u w:val="none" w:color="auto"/>
        </w:rPr>
        <w:t>——区域高水平协作样板示范效应凸显。</w:t>
      </w:r>
      <w:r>
        <w:rPr>
          <w:rFonts w:hint="eastAsia" w:ascii="Times New Roman" w:hAnsi="Times New Roman" w:eastAsia="方正仿宋_GBK" w:cs="方正仿宋_GBK"/>
          <w:sz w:val="32"/>
          <w:szCs w:val="32"/>
          <w:highlight w:val="none"/>
          <w:u w:val="none" w:color="auto"/>
        </w:rPr>
        <w:t>联动两江新区、重庆高新区“四链融合”优势进一步增强，川渝“朋友圈”持续扩大，“新龙合作”成效显著，形成“新龙—成渝—川渝”</w:t>
      </w:r>
      <w:r>
        <w:rPr>
          <w:rFonts w:hint="eastAsia" w:ascii="Times New Roman" w:hAnsi="Times New Roman" w:eastAsia="方正仿宋_GBK" w:cs="方正仿宋_GBK"/>
          <w:sz w:val="32"/>
          <w:szCs w:val="32"/>
          <w:highlight w:val="none"/>
          <w:u w:val="none" w:color="auto"/>
          <w:lang w:eastAsia="zh-CN"/>
        </w:rPr>
        <w:t>迈上新台阶</w:t>
      </w:r>
      <w:r>
        <w:rPr>
          <w:rFonts w:hint="eastAsia" w:ascii="Times New Roman" w:hAnsi="Times New Roman" w:eastAsia="方正仿宋_GBK" w:cs="方正仿宋_GBK"/>
          <w:sz w:val="32"/>
          <w:szCs w:val="32"/>
          <w:u w:val="none" w:color="auto"/>
        </w:rPr>
        <w:t>。</w:t>
      </w:r>
      <w:r>
        <w:rPr>
          <w:rFonts w:hint="eastAsia" w:ascii="Times New Roman" w:hAnsi="Times New Roman" w:eastAsia="方正仿宋_GBK" w:cs="方正仿宋_GBK"/>
          <w:sz w:val="32"/>
          <w:szCs w:val="32"/>
          <w:u w:val="none" w:color="auto"/>
          <w:lang w:val="en-US" w:eastAsia="zh-CN"/>
        </w:rPr>
        <w:t>深度融入东南西北四极牵引、内陆沿海互促共进的区域发展新格局。</w:t>
      </w:r>
    </w:p>
    <w:p w14:paraId="6DD81718">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lang w:val="en-US" w:eastAsia="zh-CN"/>
        </w:rPr>
      </w:pPr>
    </w:p>
    <w:p w14:paraId="58D2A090">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2"/>
          <w:u w:val="none" w:color="auto"/>
          <w:lang w:val="en-US" w:eastAsia="zh-CN"/>
        </w:rPr>
      </w:pPr>
    </w:p>
    <w:p w14:paraId="0471F43A">
      <w:pPr>
        <w:keepNext w:val="0"/>
        <w:keepLines w:val="0"/>
        <w:pageBreakBefore w:val="0"/>
        <w:widowControl/>
        <w:suppressAutoHyphens/>
        <w:kinsoku/>
        <w:wordWrap/>
        <w:overflowPunct/>
        <w:topLinePunct w:val="0"/>
        <w:autoSpaceDE/>
        <w:autoSpaceDN/>
        <w:bidi w:val="0"/>
        <w:adjustRightInd w:val="0"/>
        <w:snapToGrid w:val="0"/>
        <w:spacing w:line="600" w:lineRule="exact"/>
        <w:ind w:left="0" w:leftChars="0" w:right="0" w:rightChars="0"/>
        <w:jc w:val="center"/>
        <w:rPr>
          <w:rFonts w:hint="eastAsia" w:ascii="Times New Roman" w:hAnsi="Times New Roman" w:eastAsia="方正黑体_GBK" w:cs="方正黑体_GBK"/>
          <w:sz w:val="32"/>
          <w:szCs w:val="32"/>
          <w:u w:val="none" w:color="auto"/>
        </w:rPr>
      </w:pPr>
      <w:r>
        <w:rPr>
          <w:rFonts w:hint="eastAsia" w:ascii="Times New Roman" w:hAnsi="Times New Roman" w:eastAsia="方正黑体_GBK" w:cs="方正黑体_GBK"/>
          <w:sz w:val="32"/>
          <w:szCs w:val="32"/>
          <w:u w:val="none" w:color="auto"/>
        </w:rPr>
        <w:t>“十五五”时期支撑提升成渝地区双城经济圈发展能级主要指标</w:t>
      </w:r>
    </w:p>
    <w:tbl>
      <w:tblPr>
        <w:tblStyle w:val="15"/>
        <w:tblW w:w="55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264"/>
        <w:gridCol w:w="1102"/>
        <w:gridCol w:w="1102"/>
        <w:gridCol w:w="1194"/>
        <w:gridCol w:w="2589"/>
      </w:tblGrid>
      <w:tr w14:paraId="3E66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jc w:val="center"/>
        </w:trPr>
        <w:tc>
          <w:tcPr>
            <w:tcW w:w="880" w:type="dxa"/>
            <w:noWrap w:val="0"/>
            <w:vAlign w:val="center"/>
          </w:tcPr>
          <w:p w14:paraId="5388D78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ascii="Times New Roman" w:hAnsi="Times New Roman" w:eastAsia="方正黑体_GBK"/>
                <w:spacing w:val="-17"/>
                <w:kern w:val="0"/>
                <w:sz w:val="32"/>
                <w:szCs w:val="32"/>
                <w:highlight w:val="none"/>
                <w:u w:val="none" w:color="auto"/>
              </w:rPr>
              <w:t>序号</w:t>
            </w:r>
          </w:p>
        </w:tc>
        <w:tc>
          <w:tcPr>
            <w:tcW w:w="3368" w:type="dxa"/>
            <w:noWrap w:val="0"/>
            <w:vAlign w:val="center"/>
          </w:tcPr>
          <w:p w14:paraId="679968C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ascii="Times New Roman" w:hAnsi="Times New Roman" w:eastAsia="方正黑体_GBK"/>
                <w:spacing w:val="-17"/>
                <w:kern w:val="0"/>
                <w:sz w:val="32"/>
                <w:szCs w:val="32"/>
                <w:highlight w:val="none"/>
                <w:u w:val="none" w:color="auto"/>
              </w:rPr>
              <w:t>指标名称</w:t>
            </w:r>
          </w:p>
        </w:tc>
        <w:tc>
          <w:tcPr>
            <w:tcW w:w="1134" w:type="dxa"/>
            <w:noWrap w:val="0"/>
            <w:vAlign w:val="center"/>
          </w:tcPr>
          <w:p w14:paraId="4C4755C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黑体_GBK"/>
                <w:spacing w:val="-17"/>
                <w:kern w:val="0"/>
                <w:sz w:val="32"/>
                <w:szCs w:val="32"/>
                <w:highlight w:val="none"/>
                <w:u w:val="none" w:color="auto"/>
                <w:lang w:eastAsia="zh-CN"/>
              </w:rPr>
            </w:pPr>
            <w:r>
              <w:rPr>
                <w:rFonts w:ascii="Times New Roman" w:hAnsi="Times New Roman" w:eastAsia="方正黑体_GBK"/>
                <w:spacing w:val="-17"/>
                <w:kern w:val="0"/>
                <w:sz w:val="32"/>
                <w:szCs w:val="32"/>
                <w:highlight w:val="none"/>
                <w:u w:val="none" w:color="auto"/>
              </w:rPr>
              <w:t>2025年</w:t>
            </w:r>
            <w:r>
              <w:rPr>
                <w:rFonts w:hint="eastAsia" w:ascii="Times New Roman" w:hAnsi="Times New Roman" w:eastAsia="方正黑体_GBK"/>
                <w:spacing w:val="-17"/>
                <w:kern w:val="0"/>
                <w:sz w:val="32"/>
                <w:szCs w:val="32"/>
                <w:highlight w:val="none"/>
                <w:u w:val="none" w:color="auto"/>
                <w:lang w:eastAsia="zh-CN"/>
              </w:rPr>
              <w:t>完成</w:t>
            </w:r>
          </w:p>
        </w:tc>
        <w:tc>
          <w:tcPr>
            <w:tcW w:w="1134" w:type="dxa"/>
            <w:noWrap w:val="0"/>
            <w:vAlign w:val="center"/>
          </w:tcPr>
          <w:p w14:paraId="209D19E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黑体_GBK"/>
                <w:spacing w:val="-17"/>
                <w:kern w:val="0"/>
                <w:sz w:val="32"/>
                <w:szCs w:val="32"/>
                <w:highlight w:val="none"/>
                <w:u w:val="none" w:color="auto"/>
              </w:rPr>
            </w:pPr>
            <w:r>
              <w:rPr>
                <w:rFonts w:ascii="Times New Roman" w:hAnsi="Times New Roman" w:eastAsia="方正黑体_GBK"/>
                <w:spacing w:val="-17"/>
                <w:kern w:val="0"/>
                <w:sz w:val="32"/>
                <w:szCs w:val="32"/>
                <w:highlight w:val="none"/>
                <w:u w:val="none" w:color="auto"/>
              </w:rPr>
              <w:t>2030年目标</w:t>
            </w:r>
          </w:p>
        </w:tc>
        <w:tc>
          <w:tcPr>
            <w:tcW w:w="1229" w:type="dxa"/>
            <w:noWrap w:val="0"/>
            <w:vAlign w:val="center"/>
          </w:tcPr>
          <w:p w14:paraId="12B2EC84">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属性</w:t>
            </w:r>
          </w:p>
        </w:tc>
        <w:tc>
          <w:tcPr>
            <w:tcW w:w="2671" w:type="dxa"/>
            <w:noWrap w:val="0"/>
            <w:vAlign w:val="center"/>
          </w:tcPr>
          <w:p w14:paraId="35A5364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责任单位</w:t>
            </w:r>
          </w:p>
        </w:tc>
      </w:tr>
      <w:tr w14:paraId="6BE5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gridSpan w:val="6"/>
            <w:noWrap w:val="0"/>
            <w:vAlign w:val="center"/>
          </w:tcPr>
          <w:p w14:paraId="03393BC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textAlignment w:val="auto"/>
              <w:rPr>
                <w:rFonts w:hint="eastAsia" w:ascii="Times New Roman" w:hAnsi="Times New Roman" w:eastAsia="方正黑体_GBK" w:cs="方正黑体_GBK"/>
                <w:spacing w:val="-17"/>
                <w:kern w:val="0"/>
                <w:sz w:val="32"/>
                <w:szCs w:val="32"/>
                <w:highlight w:val="none"/>
                <w:u w:val="none" w:color="auto"/>
              </w:rPr>
            </w:pPr>
            <w:r>
              <w:rPr>
                <w:rFonts w:hint="eastAsia" w:ascii="Times New Roman" w:hAnsi="Times New Roman" w:eastAsia="方正黑体_GBK" w:cs="方正黑体_GBK"/>
                <w:spacing w:val="-17"/>
                <w:kern w:val="0"/>
                <w:sz w:val="32"/>
                <w:szCs w:val="32"/>
                <w:highlight w:val="none"/>
                <w:u w:val="none" w:color="auto"/>
              </w:rPr>
              <w:t>一、增强经济承载和辐射带动功能</w:t>
            </w:r>
          </w:p>
        </w:tc>
      </w:tr>
      <w:tr w14:paraId="54EF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0749FFC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ascii="Times New Roman" w:hAnsi="Times New Roman" w:eastAsia="方正黑体_GBK"/>
                <w:spacing w:val="-17"/>
                <w:kern w:val="0"/>
                <w:sz w:val="32"/>
                <w:szCs w:val="32"/>
                <w:highlight w:val="none"/>
                <w:u w:val="none" w:color="auto"/>
              </w:rPr>
              <w:t>1</w:t>
            </w:r>
          </w:p>
        </w:tc>
        <w:tc>
          <w:tcPr>
            <w:tcW w:w="3368" w:type="dxa"/>
            <w:noWrap w:val="0"/>
            <w:vAlign w:val="center"/>
          </w:tcPr>
          <w:p w14:paraId="24C3FE5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ascii="Times New Roman" w:hAnsi="Times New Roman" w:eastAsia="方正仿宋_GBK"/>
                <w:spacing w:val="-17"/>
                <w:kern w:val="0"/>
                <w:sz w:val="32"/>
                <w:szCs w:val="32"/>
                <w:highlight w:val="none"/>
                <w:u w:val="none" w:color="auto"/>
              </w:rPr>
              <w:t>地区生产总值</w:t>
            </w:r>
            <w:r>
              <w:rPr>
                <w:rFonts w:hint="eastAsia" w:ascii="Times New Roman" w:hAnsi="Times New Roman" w:eastAsia="方正仿宋_GBK"/>
                <w:spacing w:val="-17"/>
                <w:kern w:val="0"/>
                <w:sz w:val="32"/>
                <w:szCs w:val="32"/>
                <w:highlight w:val="none"/>
                <w:u w:val="none" w:color="auto"/>
              </w:rPr>
              <w:t>（亿元）</w:t>
            </w:r>
          </w:p>
        </w:tc>
        <w:tc>
          <w:tcPr>
            <w:tcW w:w="1134" w:type="dxa"/>
            <w:noWrap w:val="0"/>
            <w:vAlign w:val="center"/>
          </w:tcPr>
          <w:p w14:paraId="102054E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黑体_GBK"/>
                <w:spacing w:val="-17"/>
                <w:kern w:val="0"/>
                <w:sz w:val="32"/>
                <w:szCs w:val="32"/>
                <w:highlight w:val="none"/>
                <w:u w:val="none" w:color="auto"/>
                <w:lang w:val="en-US" w:eastAsia="zh-CN"/>
              </w:rPr>
            </w:pPr>
            <w:r>
              <w:rPr>
                <w:rFonts w:hint="eastAsia" w:ascii="Times New Roman" w:hAnsi="Times New Roman" w:eastAsia="方正黑体_GBK"/>
                <w:spacing w:val="-17"/>
                <w:kern w:val="0"/>
                <w:sz w:val="32"/>
                <w:szCs w:val="32"/>
                <w:highlight w:val="none"/>
                <w:u w:val="none" w:color="auto"/>
              </w:rPr>
              <w:t>22</w:t>
            </w:r>
            <w:r>
              <w:rPr>
                <w:rFonts w:hint="eastAsia" w:ascii="Times New Roman" w:hAnsi="Times New Roman" w:eastAsia="方正黑体_GBK"/>
                <w:spacing w:val="-17"/>
                <w:kern w:val="0"/>
                <w:sz w:val="32"/>
                <w:szCs w:val="32"/>
                <w:highlight w:val="none"/>
                <w:u w:val="none" w:color="auto"/>
                <w:lang w:val="en-US" w:eastAsia="zh-CN"/>
              </w:rPr>
              <w:t>29.4</w:t>
            </w:r>
          </w:p>
        </w:tc>
        <w:tc>
          <w:tcPr>
            <w:tcW w:w="1134" w:type="dxa"/>
            <w:noWrap w:val="0"/>
            <w:vAlign w:val="center"/>
          </w:tcPr>
          <w:p w14:paraId="5AFE5A7E">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3000</w:t>
            </w:r>
          </w:p>
        </w:tc>
        <w:tc>
          <w:tcPr>
            <w:tcW w:w="1229" w:type="dxa"/>
            <w:noWrap w:val="0"/>
            <w:vAlign w:val="center"/>
          </w:tcPr>
          <w:p w14:paraId="5B4CD81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0C5F84B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区发展改革委</w:t>
            </w:r>
          </w:p>
        </w:tc>
      </w:tr>
      <w:tr w14:paraId="11B1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60A0DEB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spacing w:val="-17"/>
                <w:sz w:val="32"/>
                <w:szCs w:val="32"/>
                <w:highlight w:val="none"/>
                <w:u w:val="none" w:color="auto"/>
              </w:rPr>
            </w:pPr>
            <w:r>
              <w:rPr>
                <w:rFonts w:ascii="Times New Roman" w:hAnsi="Times New Roman"/>
                <w:spacing w:val="-17"/>
                <w:sz w:val="32"/>
                <w:szCs w:val="32"/>
                <w:highlight w:val="none"/>
                <w:u w:val="none" w:color="auto"/>
              </w:rPr>
              <w:t>2</w:t>
            </w:r>
          </w:p>
        </w:tc>
        <w:tc>
          <w:tcPr>
            <w:tcW w:w="3368" w:type="dxa"/>
            <w:noWrap w:val="0"/>
            <w:vAlign w:val="center"/>
          </w:tcPr>
          <w:p w14:paraId="53923D1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ascii="Times New Roman" w:hAnsi="Times New Roman" w:eastAsia="方正仿宋_GBK"/>
                <w:spacing w:val="-17"/>
                <w:kern w:val="0"/>
                <w:sz w:val="32"/>
                <w:szCs w:val="32"/>
                <w:highlight w:val="none"/>
                <w:u w:val="none" w:color="auto"/>
              </w:rPr>
              <w:t>地区生产总值</w:t>
            </w:r>
            <w:r>
              <w:rPr>
                <w:rFonts w:hint="eastAsia" w:ascii="Times New Roman" w:hAnsi="Times New Roman" w:eastAsia="方正仿宋_GBK"/>
                <w:spacing w:val="-17"/>
                <w:kern w:val="0"/>
                <w:sz w:val="32"/>
                <w:szCs w:val="32"/>
                <w:highlight w:val="none"/>
                <w:u w:val="none" w:color="auto"/>
              </w:rPr>
              <w:t>占双城经济圈比重（%）</w:t>
            </w:r>
          </w:p>
        </w:tc>
        <w:tc>
          <w:tcPr>
            <w:tcW w:w="1134" w:type="dxa"/>
            <w:noWrap w:val="0"/>
            <w:vAlign w:val="center"/>
          </w:tcPr>
          <w:p w14:paraId="0AF0588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sz w:val="32"/>
                <w:szCs w:val="32"/>
                <w:highlight w:val="none"/>
                <w:u w:val="none" w:color="auto"/>
              </w:rPr>
            </w:pPr>
            <w:r>
              <w:rPr>
                <w:rFonts w:hint="eastAsia" w:ascii="Times New Roman" w:hAnsi="Times New Roman" w:eastAsia="方正仿宋_GBK"/>
                <w:spacing w:val="-17"/>
                <w:sz w:val="32"/>
                <w:szCs w:val="32"/>
                <w:highlight w:val="none"/>
                <w:u w:val="none" w:color="auto"/>
              </w:rPr>
              <w:t>2.4</w:t>
            </w:r>
          </w:p>
        </w:tc>
        <w:tc>
          <w:tcPr>
            <w:tcW w:w="1134" w:type="dxa"/>
            <w:noWrap w:val="0"/>
            <w:vAlign w:val="center"/>
          </w:tcPr>
          <w:p w14:paraId="2853447D">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2.5</w:t>
            </w:r>
          </w:p>
        </w:tc>
        <w:tc>
          <w:tcPr>
            <w:tcW w:w="1229" w:type="dxa"/>
            <w:noWrap w:val="0"/>
            <w:vAlign w:val="center"/>
          </w:tcPr>
          <w:p w14:paraId="1EB00FF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6A965B9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区发展改革委</w:t>
            </w:r>
          </w:p>
        </w:tc>
      </w:tr>
      <w:tr w14:paraId="2118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1C55AFA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3</w:t>
            </w:r>
          </w:p>
        </w:tc>
        <w:tc>
          <w:tcPr>
            <w:tcW w:w="3368" w:type="dxa"/>
            <w:noWrap w:val="0"/>
            <w:vAlign w:val="center"/>
          </w:tcPr>
          <w:p w14:paraId="26AC217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第二产业</w:t>
            </w:r>
            <w:r>
              <w:rPr>
                <w:rFonts w:ascii="Times New Roman" w:hAnsi="Times New Roman" w:eastAsia="方正仿宋_GBK"/>
                <w:spacing w:val="-17"/>
                <w:kern w:val="0"/>
                <w:sz w:val="32"/>
                <w:szCs w:val="32"/>
                <w:highlight w:val="none"/>
                <w:u w:val="none" w:color="auto"/>
              </w:rPr>
              <w:t>增加值</w:t>
            </w:r>
            <w:r>
              <w:rPr>
                <w:rFonts w:hint="eastAsia" w:ascii="Times New Roman" w:hAnsi="Times New Roman" w:eastAsia="方正仿宋_GBK"/>
                <w:spacing w:val="-17"/>
                <w:kern w:val="0"/>
                <w:sz w:val="32"/>
                <w:szCs w:val="32"/>
                <w:highlight w:val="none"/>
                <w:u w:val="none" w:color="auto"/>
              </w:rPr>
              <w:t>占双城经济圈比重（%）</w:t>
            </w:r>
          </w:p>
        </w:tc>
        <w:tc>
          <w:tcPr>
            <w:tcW w:w="1134" w:type="dxa"/>
            <w:noWrap w:val="0"/>
            <w:vAlign w:val="center"/>
          </w:tcPr>
          <w:p w14:paraId="517399F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sz w:val="32"/>
                <w:szCs w:val="32"/>
                <w:highlight w:val="none"/>
                <w:u w:val="none" w:color="auto"/>
              </w:rPr>
            </w:pPr>
            <w:r>
              <w:rPr>
                <w:rFonts w:hint="eastAsia" w:ascii="Times New Roman" w:hAnsi="Times New Roman" w:eastAsia="方正仿宋_GBK"/>
                <w:spacing w:val="-17"/>
                <w:sz w:val="32"/>
                <w:szCs w:val="32"/>
                <w:highlight w:val="none"/>
                <w:u w:val="none" w:color="auto"/>
              </w:rPr>
              <w:t>1.86</w:t>
            </w:r>
          </w:p>
        </w:tc>
        <w:tc>
          <w:tcPr>
            <w:tcW w:w="1134" w:type="dxa"/>
            <w:noWrap w:val="0"/>
            <w:vAlign w:val="center"/>
          </w:tcPr>
          <w:p w14:paraId="0E89B49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2</w:t>
            </w:r>
          </w:p>
        </w:tc>
        <w:tc>
          <w:tcPr>
            <w:tcW w:w="1229" w:type="dxa"/>
            <w:noWrap w:val="0"/>
            <w:vAlign w:val="center"/>
          </w:tcPr>
          <w:p w14:paraId="1BEA83E4">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59FC096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区经济信息委</w:t>
            </w:r>
          </w:p>
          <w:p w14:paraId="641B72F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区住房城乡建委</w:t>
            </w:r>
          </w:p>
        </w:tc>
      </w:tr>
      <w:tr w14:paraId="16B4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1F896E2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spacing w:val="-17"/>
                <w:sz w:val="32"/>
                <w:szCs w:val="32"/>
                <w:highlight w:val="none"/>
                <w:u w:val="none" w:color="auto"/>
              </w:rPr>
            </w:pPr>
            <w:r>
              <w:rPr>
                <w:rFonts w:hint="eastAsia" w:ascii="Times New Roman" w:hAnsi="Times New Roman"/>
                <w:spacing w:val="-17"/>
                <w:sz w:val="32"/>
                <w:szCs w:val="32"/>
                <w:highlight w:val="none"/>
                <w:u w:val="none" w:color="auto"/>
              </w:rPr>
              <w:t>4</w:t>
            </w:r>
          </w:p>
        </w:tc>
        <w:tc>
          <w:tcPr>
            <w:tcW w:w="3368" w:type="dxa"/>
            <w:noWrap w:val="0"/>
            <w:vAlign w:val="center"/>
          </w:tcPr>
          <w:p w14:paraId="497FA74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第三</w:t>
            </w:r>
            <w:r>
              <w:rPr>
                <w:rFonts w:hint="eastAsia" w:ascii="Times New Roman" w:hAnsi="Times New Roman" w:eastAsia="方正仿宋_GBK"/>
                <w:spacing w:val="-17"/>
                <w:kern w:val="0"/>
                <w:sz w:val="32"/>
                <w:szCs w:val="32"/>
                <w:highlight w:val="none"/>
                <w:u w:val="none" w:color="auto"/>
                <w:lang w:eastAsia="zh-CN"/>
              </w:rPr>
              <w:t>产业</w:t>
            </w:r>
            <w:r>
              <w:rPr>
                <w:rFonts w:ascii="Times New Roman" w:hAnsi="Times New Roman" w:eastAsia="方正仿宋_GBK"/>
                <w:spacing w:val="-17"/>
                <w:kern w:val="0"/>
                <w:sz w:val="32"/>
                <w:szCs w:val="32"/>
                <w:highlight w:val="none"/>
                <w:u w:val="none" w:color="auto"/>
              </w:rPr>
              <w:t>增加值</w:t>
            </w:r>
            <w:r>
              <w:rPr>
                <w:rFonts w:hint="eastAsia" w:ascii="Times New Roman" w:hAnsi="Times New Roman" w:eastAsia="方正仿宋_GBK"/>
                <w:spacing w:val="-17"/>
                <w:kern w:val="0"/>
                <w:sz w:val="32"/>
                <w:szCs w:val="32"/>
                <w:highlight w:val="none"/>
                <w:u w:val="none" w:color="auto"/>
              </w:rPr>
              <w:t>占双城经济圈比重（%）</w:t>
            </w:r>
          </w:p>
        </w:tc>
        <w:tc>
          <w:tcPr>
            <w:tcW w:w="1134" w:type="dxa"/>
            <w:noWrap w:val="0"/>
            <w:vAlign w:val="center"/>
          </w:tcPr>
          <w:p w14:paraId="61D1A83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sz w:val="32"/>
                <w:szCs w:val="32"/>
                <w:highlight w:val="none"/>
                <w:u w:val="none" w:color="auto"/>
              </w:rPr>
            </w:pPr>
            <w:r>
              <w:rPr>
                <w:rFonts w:hint="eastAsia" w:ascii="Times New Roman" w:hAnsi="Times New Roman" w:eastAsia="方正仿宋_GBK"/>
                <w:spacing w:val="-17"/>
                <w:sz w:val="32"/>
                <w:szCs w:val="32"/>
                <w:highlight w:val="none"/>
                <w:u w:val="none" w:color="auto"/>
              </w:rPr>
              <w:t>2.97</w:t>
            </w:r>
          </w:p>
        </w:tc>
        <w:tc>
          <w:tcPr>
            <w:tcW w:w="1134" w:type="dxa"/>
            <w:noWrap w:val="0"/>
            <w:vAlign w:val="center"/>
          </w:tcPr>
          <w:p w14:paraId="2F906AE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3.05</w:t>
            </w:r>
          </w:p>
        </w:tc>
        <w:tc>
          <w:tcPr>
            <w:tcW w:w="1229" w:type="dxa"/>
            <w:noWrap w:val="0"/>
            <w:vAlign w:val="center"/>
          </w:tcPr>
          <w:p w14:paraId="153E6A8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7348367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区发展改革委</w:t>
            </w:r>
          </w:p>
        </w:tc>
      </w:tr>
      <w:tr w14:paraId="0752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3CFE559C">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spacing w:val="-17"/>
                <w:sz w:val="32"/>
                <w:szCs w:val="32"/>
                <w:highlight w:val="none"/>
                <w:u w:val="none" w:color="auto"/>
              </w:rPr>
            </w:pPr>
            <w:r>
              <w:rPr>
                <w:rFonts w:hint="eastAsia" w:ascii="Times New Roman" w:hAnsi="Times New Roman"/>
                <w:spacing w:val="-17"/>
                <w:sz w:val="32"/>
                <w:szCs w:val="32"/>
                <w:highlight w:val="none"/>
                <w:u w:val="none" w:color="auto"/>
              </w:rPr>
              <w:t>5</w:t>
            </w:r>
          </w:p>
        </w:tc>
        <w:tc>
          <w:tcPr>
            <w:tcW w:w="3368" w:type="dxa"/>
            <w:noWrap w:val="0"/>
            <w:vAlign w:val="center"/>
          </w:tcPr>
          <w:p w14:paraId="40DAC7E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金融业增加值增速（%）</w:t>
            </w:r>
          </w:p>
        </w:tc>
        <w:tc>
          <w:tcPr>
            <w:tcW w:w="1134" w:type="dxa"/>
            <w:noWrap w:val="0"/>
            <w:vAlign w:val="center"/>
          </w:tcPr>
          <w:p w14:paraId="5D7051E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spacing w:val="-17"/>
                <w:sz w:val="32"/>
                <w:szCs w:val="32"/>
                <w:highlight w:val="none"/>
                <w:u w:val="none" w:color="auto"/>
                <w:lang w:val="en-US" w:eastAsia="zh-CN"/>
              </w:rPr>
            </w:pPr>
            <w:r>
              <w:rPr>
                <w:rFonts w:hint="eastAsia" w:ascii="Times New Roman" w:hAnsi="Times New Roman" w:eastAsia="方正仿宋_GBK"/>
                <w:spacing w:val="-17"/>
                <w:sz w:val="32"/>
                <w:szCs w:val="32"/>
                <w:highlight w:val="none"/>
                <w:u w:val="none" w:color="auto"/>
                <w:lang w:val="en-US" w:eastAsia="zh-CN"/>
              </w:rPr>
              <w:t>6.5</w:t>
            </w:r>
          </w:p>
        </w:tc>
        <w:tc>
          <w:tcPr>
            <w:tcW w:w="1134" w:type="dxa"/>
            <w:noWrap w:val="0"/>
            <w:vAlign w:val="center"/>
          </w:tcPr>
          <w:p w14:paraId="5322B71E">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6</w:t>
            </w:r>
          </w:p>
        </w:tc>
        <w:tc>
          <w:tcPr>
            <w:tcW w:w="1229" w:type="dxa"/>
            <w:noWrap w:val="0"/>
            <w:vAlign w:val="center"/>
          </w:tcPr>
          <w:p w14:paraId="29E092E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4D27E8E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区政府办公室</w:t>
            </w:r>
          </w:p>
        </w:tc>
      </w:tr>
      <w:tr w14:paraId="42BE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3322682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spacing w:val="-17"/>
                <w:sz w:val="32"/>
                <w:szCs w:val="32"/>
                <w:highlight w:val="none"/>
                <w:u w:val="none" w:color="auto"/>
              </w:rPr>
            </w:pPr>
            <w:r>
              <w:rPr>
                <w:rFonts w:hint="eastAsia" w:ascii="Times New Roman" w:hAnsi="Times New Roman"/>
                <w:spacing w:val="-17"/>
                <w:sz w:val="32"/>
                <w:szCs w:val="32"/>
                <w:highlight w:val="none"/>
                <w:u w:val="none" w:color="auto"/>
              </w:rPr>
              <w:t>6</w:t>
            </w:r>
          </w:p>
        </w:tc>
        <w:tc>
          <w:tcPr>
            <w:tcW w:w="3368" w:type="dxa"/>
            <w:noWrap w:val="0"/>
            <w:vAlign w:val="center"/>
          </w:tcPr>
          <w:p w14:paraId="6448F47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接待游客总量（人次）</w:t>
            </w:r>
          </w:p>
        </w:tc>
        <w:tc>
          <w:tcPr>
            <w:tcW w:w="1134" w:type="dxa"/>
            <w:noWrap w:val="0"/>
            <w:vAlign w:val="center"/>
          </w:tcPr>
          <w:p w14:paraId="6952E4E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sz w:val="32"/>
                <w:szCs w:val="32"/>
                <w:highlight w:val="none"/>
                <w:u w:val="none" w:color="auto"/>
              </w:rPr>
            </w:pPr>
            <w:r>
              <w:rPr>
                <w:rFonts w:hint="eastAsia" w:ascii="Times New Roman" w:hAnsi="Times New Roman" w:eastAsia="方正仿宋_GBK"/>
                <w:spacing w:val="-17"/>
                <w:sz w:val="32"/>
                <w:szCs w:val="32"/>
                <w:highlight w:val="none"/>
                <w:u w:val="none" w:color="auto"/>
              </w:rPr>
              <w:t>6900.52</w:t>
            </w:r>
          </w:p>
        </w:tc>
        <w:tc>
          <w:tcPr>
            <w:tcW w:w="1134" w:type="dxa"/>
            <w:noWrap w:val="0"/>
            <w:vAlign w:val="center"/>
          </w:tcPr>
          <w:p w14:paraId="1C8AC72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8870</w:t>
            </w:r>
          </w:p>
        </w:tc>
        <w:tc>
          <w:tcPr>
            <w:tcW w:w="1229" w:type="dxa"/>
            <w:noWrap w:val="0"/>
            <w:vAlign w:val="center"/>
          </w:tcPr>
          <w:p w14:paraId="1C69A51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2F3C27D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区文化旅游委</w:t>
            </w:r>
          </w:p>
        </w:tc>
      </w:tr>
      <w:tr w14:paraId="006B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47AB06C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7</w:t>
            </w:r>
          </w:p>
        </w:tc>
        <w:tc>
          <w:tcPr>
            <w:tcW w:w="3368" w:type="dxa"/>
            <w:noWrap w:val="0"/>
            <w:vAlign w:val="center"/>
          </w:tcPr>
          <w:p w14:paraId="6AF7E9E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ascii="Times New Roman" w:hAnsi="Times New Roman" w:eastAsia="方正仿宋_GBK"/>
                <w:spacing w:val="-17"/>
                <w:kern w:val="0"/>
                <w:sz w:val="32"/>
                <w:szCs w:val="32"/>
                <w:highlight w:val="none"/>
                <w:u w:val="none" w:color="auto"/>
              </w:rPr>
              <w:t>规模以上工业企业营业收入</w:t>
            </w:r>
            <w:r>
              <w:rPr>
                <w:rFonts w:hint="eastAsia" w:ascii="Times New Roman" w:hAnsi="Times New Roman" w:eastAsia="方正仿宋_GBK"/>
                <w:spacing w:val="-17"/>
                <w:kern w:val="0"/>
                <w:sz w:val="32"/>
                <w:szCs w:val="32"/>
                <w:highlight w:val="none"/>
                <w:u w:val="none" w:color="auto"/>
              </w:rPr>
              <w:t>占双城经济圈比重（%）</w:t>
            </w:r>
          </w:p>
        </w:tc>
        <w:tc>
          <w:tcPr>
            <w:tcW w:w="1134" w:type="dxa"/>
            <w:noWrap w:val="0"/>
            <w:vAlign w:val="center"/>
          </w:tcPr>
          <w:p w14:paraId="068D5DAD">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sz w:val="32"/>
                <w:szCs w:val="32"/>
                <w:highlight w:val="none"/>
                <w:u w:val="none" w:color="auto"/>
              </w:rPr>
            </w:pPr>
            <w:r>
              <w:rPr>
                <w:rFonts w:ascii="Times New Roman" w:hAnsi="Times New Roman" w:eastAsia="方正仿宋_GBK"/>
                <w:spacing w:val="-17"/>
                <w:sz w:val="32"/>
                <w:szCs w:val="32"/>
                <w:highlight w:val="none"/>
                <w:u w:val="none" w:color="auto"/>
              </w:rPr>
              <w:t>1.9</w:t>
            </w:r>
            <w:r>
              <w:rPr>
                <w:rFonts w:hint="eastAsia" w:ascii="Times New Roman" w:hAnsi="Times New Roman" w:eastAsia="方正仿宋_GBK"/>
                <w:spacing w:val="-17"/>
                <w:sz w:val="32"/>
                <w:szCs w:val="32"/>
                <w:highlight w:val="none"/>
                <w:u w:val="none" w:color="auto"/>
              </w:rPr>
              <w:t>3</w:t>
            </w:r>
          </w:p>
        </w:tc>
        <w:tc>
          <w:tcPr>
            <w:tcW w:w="1134" w:type="dxa"/>
            <w:noWrap w:val="0"/>
            <w:vAlign w:val="center"/>
          </w:tcPr>
          <w:p w14:paraId="14E4A86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2</w:t>
            </w:r>
          </w:p>
        </w:tc>
        <w:tc>
          <w:tcPr>
            <w:tcW w:w="1229" w:type="dxa"/>
            <w:noWrap w:val="0"/>
            <w:vAlign w:val="center"/>
          </w:tcPr>
          <w:p w14:paraId="4D11BC3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709B6ED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区经济信息委</w:t>
            </w:r>
          </w:p>
        </w:tc>
      </w:tr>
      <w:tr w14:paraId="0590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0EAFB66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8</w:t>
            </w:r>
          </w:p>
        </w:tc>
        <w:tc>
          <w:tcPr>
            <w:tcW w:w="3368" w:type="dxa"/>
            <w:noWrap w:val="0"/>
            <w:vAlign w:val="center"/>
          </w:tcPr>
          <w:p w14:paraId="73F9950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ascii="Times New Roman" w:hAnsi="Times New Roman" w:eastAsia="方正仿宋_GBK"/>
                <w:spacing w:val="-17"/>
                <w:kern w:val="0"/>
                <w:sz w:val="32"/>
                <w:szCs w:val="32"/>
                <w:highlight w:val="none"/>
                <w:u w:val="none" w:color="auto"/>
              </w:rPr>
              <w:t>社会消费品零售总额</w:t>
            </w:r>
            <w:r>
              <w:rPr>
                <w:rFonts w:hint="eastAsia" w:ascii="Times New Roman" w:hAnsi="Times New Roman" w:eastAsia="方正仿宋_GBK"/>
                <w:spacing w:val="-17"/>
                <w:kern w:val="0"/>
                <w:sz w:val="32"/>
                <w:szCs w:val="32"/>
                <w:highlight w:val="none"/>
                <w:u w:val="none" w:color="auto"/>
              </w:rPr>
              <w:t>占双城经济圈比重（%）</w:t>
            </w:r>
          </w:p>
        </w:tc>
        <w:tc>
          <w:tcPr>
            <w:tcW w:w="1134" w:type="dxa"/>
            <w:noWrap w:val="0"/>
            <w:vAlign w:val="center"/>
          </w:tcPr>
          <w:p w14:paraId="42879BA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2.99</w:t>
            </w:r>
          </w:p>
        </w:tc>
        <w:tc>
          <w:tcPr>
            <w:tcW w:w="1134" w:type="dxa"/>
            <w:noWrap w:val="0"/>
            <w:vAlign w:val="center"/>
          </w:tcPr>
          <w:p w14:paraId="193E8954">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3</w:t>
            </w:r>
          </w:p>
        </w:tc>
        <w:tc>
          <w:tcPr>
            <w:tcW w:w="1229" w:type="dxa"/>
            <w:noWrap w:val="0"/>
            <w:vAlign w:val="center"/>
          </w:tcPr>
          <w:p w14:paraId="657C1B0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2DD5BF2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区商务委</w:t>
            </w:r>
          </w:p>
        </w:tc>
      </w:tr>
      <w:tr w14:paraId="5F27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gridSpan w:val="6"/>
            <w:noWrap w:val="0"/>
            <w:vAlign w:val="center"/>
          </w:tcPr>
          <w:p w14:paraId="61ED6AB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textAlignment w:val="auto"/>
              <w:rPr>
                <w:rFonts w:hint="eastAsia" w:ascii="Times New Roman" w:hAnsi="Times New Roman" w:eastAsia="方正黑体_GBK" w:cs="方正黑体_GBK"/>
                <w:spacing w:val="-17"/>
                <w:kern w:val="0"/>
                <w:sz w:val="32"/>
                <w:szCs w:val="32"/>
                <w:highlight w:val="none"/>
                <w:u w:val="none" w:color="auto"/>
              </w:rPr>
            </w:pPr>
            <w:r>
              <w:rPr>
                <w:rFonts w:hint="eastAsia" w:ascii="Times New Roman" w:hAnsi="Times New Roman" w:eastAsia="方正黑体_GBK" w:cs="方正黑体_GBK"/>
                <w:spacing w:val="-17"/>
                <w:kern w:val="0"/>
                <w:sz w:val="32"/>
                <w:szCs w:val="32"/>
                <w:highlight w:val="none"/>
                <w:u w:val="none" w:color="auto"/>
              </w:rPr>
              <w:t>二、增强创新资源集聚和成果转化功能</w:t>
            </w:r>
          </w:p>
        </w:tc>
      </w:tr>
      <w:tr w14:paraId="7747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188F75B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9</w:t>
            </w:r>
          </w:p>
        </w:tc>
        <w:tc>
          <w:tcPr>
            <w:tcW w:w="3368" w:type="dxa"/>
            <w:noWrap w:val="0"/>
            <w:vAlign w:val="center"/>
          </w:tcPr>
          <w:p w14:paraId="7D57985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研发经费</w:t>
            </w:r>
            <w:r>
              <w:rPr>
                <w:rFonts w:ascii="Times New Roman" w:hAnsi="Times New Roman" w:eastAsia="方正仿宋_GBK"/>
                <w:spacing w:val="-17"/>
                <w:kern w:val="0"/>
                <w:sz w:val="32"/>
                <w:szCs w:val="32"/>
                <w:highlight w:val="none"/>
                <w:u w:val="none" w:color="auto"/>
              </w:rPr>
              <w:t>投入强度</w:t>
            </w:r>
            <w:r>
              <w:rPr>
                <w:rFonts w:hint="eastAsia" w:ascii="Times New Roman" w:hAnsi="Times New Roman" w:eastAsia="方正仿宋_GBK"/>
                <w:spacing w:val="-17"/>
                <w:kern w:val="0"/>
                <w:sz w:val="32"/>
                <w:szCs w:val="32"/>
                <w:highlight w:val="none"/>
                <w:u w:val="none" w:color="auto"/>
              </w:rPr>
              <w:t>（</w:t>
            </w:r>
            <w:r>
              <w:rPr>
                <w:rFonts w:ascii="Times New Roman" w:hAnsi="Times New Roman" w:eastAsia="方正仿宋_GBK"/>
                <w:spacing w:val="-17"/>
                <w:kern w:val="0"/>
                <w:sz w:val="32"/>
                <w:szCs w:val="32"/>
                <w:highlight w:val="none"/>
                <w:u w:val="none" w:color="auto"/>
              </w:rPr>
              <w:t>%</w:t>
            </w:r>
            <w:r>
              <w:rPr>
                <w:rFonts w:hint="eastAsia" w:ascii="Times New Roman" w:hAnsi="Times New Roman" w:eastAsia="方正仿宋_GBK"/>
                <w:spacing w:val="-17"/>
                <w:kern w:val="0"/>
                <w:sz w:val="32"/>
                <w:szCs w:val="32"/>
                <w:highlight w:val="none"/>
                <w:u w:val="none" w:color="auto"/>
              </w:rPr>
              <w:t>）</w:t>
            </w:r>
          </w:p>
        </w:tc>
        <w:tc>
          <w:tcPr>
            <w:tcW w:w="1134" w:type="dxa"/>
            <w:noWrap w:val="0"/>
            <w:vAlign w:val="center"/>
          </w:tcPr>
          <w:p w14:paraId="7FA4BF8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lang w:eastAsia="zh-CN"/>
              </w:rPr>
              <w:t>预计</w:t>
            </w:r>
            <w:r>
              <w:rPr>
                <w:rFonts w:hint="eastAsia" w:ascii="Times New Roman" w:hAnsi="Times New Roman" w:eastAsia="方正仿宋_GBK"/>
                <w:spacing w:val="-17"/>
                <w:kern w:val="0"/>
                <w:sz w:val="32"/>
                <w:szCs w:val="32"/>
                <w:highlight w:val="none"/>
                <w:u w:val="none" w:color="auto"/>
              </w:rPr>
              <w:t>2.5</w:t>
            </w:r>
          </w:p>
        </w:tc>
        <w:tc>
          <w:tcPr>
            <w:tcW w:w="1134" w:type="dxa"/>
            <w:noWrap w:val="0"/>
            <w:vAlign w:val="center"/>
          </w:tcPr>
          <w:p w14:paraId="4268DAE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3.3</w:t>
            </w:r>
          </w:p>
        </w:tc>
        <w:tc>
          <w:tcPr>
            <w:tcW w:w="1229" w:type="dxa"/>
            <w:noWrap w:val="0"/>
            <w:vAlign w:val="center"/>
          </w:tcPr>
          <w:p w14:paraId="246D8BA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6B119C5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区科技局</w:t>
            </w:r>
          </w:p>
        </w:tc>
      </w:tr>
      <w:tr w14:paraId="4505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72EBDAE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10</w:t>
            </w:r>
          </w:p>
        </w:tc>
        <w:tc>
          <w:tcPr>
            <w:tcW w:w="3368" w:type="dxa"/>
            <w:noWrap w:val="0"/>
            <w:vAlign w:val="center"/>
          </w:tcPr>
          <w:p w14:paraId="440A915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0"/>
                <w:kern w:val="0"/>
                <w:sz w:val="32"/>
                <w:szCs w:val="32"/>
                <w:highlight w:val="none"/>
                <w:u w:val="none" w:color="auto"/>
              </w:rPr>
              <w:t>市级及以上创新平台数量（个）</w:t>
            </w:r>
          </w:p>
        </w:tc>
        <w:tc>
          <w:tcPr>
            <w:tcW w:w="1134" w:type="dxa"/>
            <w:noWrap w:val="0"/>
            <w:vAlign w:val="center"/>
          </w:tcPr>
          <w:p w14:paraId="57A1E8BE">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456</w:t>
            </w:r>
          </w:p>
        </w:tc>
        <w:tc>
          <w:tcPr>
            <w:tcW w:w="1134" w:type="dxa"/>
            <w:noWrap w:val="0"/>
            <w:vAlign w:val="center"/>
          </w:tcPr>
          <w:p w14:paraId="2CC7AB1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560</w:t>
            </w:r>
          </w:p>
        </w:tc>
        <w:tc>
          <w:tcPr>
            <w:tcW w:w="1229" w:type="dxa"/>
            <w:noWrap w:val="0"/>
            <w:vAlign w:val="center"/>
          </w:tcPr>
          <w:p w14:paraId="0ABBE6B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10CE291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区科技局</w:t>
            </w:r>
          </w:p>
        </w:tc>
      </w:tr>
      <w:tr w14:paraId="6A8C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45C7C4F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11</w:t>
            </w:r>
          </w:p>
        </w:tc>
        <w:tc>
          <w:tcPr>
            <w:tcW w:w="3368" w:type="dxa"/>
            <w:noWrap w:val="0"/>
            <w:vAlign w:val="center"/>
          </w:tcPr>
          <w:p w14:paraId="05718F4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每万人口高价值发明专利拥有量（件）</w:t>
            </w:r>
          </w:p>
        </w:tc>
        <w:tc>
          <w:tcPr>
            <w:tcW w:w="1134" w:type="dxa"/>
            <w:noWrap w:val="0"/>
            <w:vAlign w:val="center"/>
          </w:tcPr>
          <w:p w14:paraId="10B4F38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黑体_GBK"/>
                <w:spacing w:val="-17"/>
                <w:kern w:val="0"/>
                <w:sz w:val="32"/>
                <w:szCs w:val="32"/>
                <w:highlight w:val="none"/>
                <w:u w:val="none" w:color="auto"/>
                <w:lang w:val="en-US" w:eastAsia="zh-CN"/>
              </w:rPr>
            </w:pPr>
            <w:r>
              <w:rPr>
                <w:rFonts w:hint="eastAsia" w:ascii="Times New Roman" w:hAnsi="Times New Roman" w:eastAsia="方正黑体_GBK"/>
                <w:spacing w:val="-17"/>
                <w:kern w:val="0"/>
                <w:sz w:val="32"/>
                <w:szCs w:val="32"/>
                <w:highlight w:val="none"/>
                <w:u w:val="none" w:color="auto"/>
              </w:rPr>
              <w:t>18</w:t>
            </w:r>
            <w:r>
              <w:rPr>
                <w:rFonts w:hint="eastAsia" w:ascii="Times New Roman" w:hAnsi="Times New Roman" w:eastAsia="方正黑体_GBK"/>
                <w:spacing w:val="-17"/>
                <w:kern w:val="0"/>
                <w:sz w:val="32"/>
                <w:szCs w:val="32"/>
                <w:highlight w:val="none"/>
                <w:u w:val="none" w:color="auto"/>
                <w:lang w:val="en-US" w:eastAsia="zh-CN"/>
              </w:rPr>
              <w:t>.6</w:t>
            </w:r>
          </w:p>
        </w:tc>
        <w:tc>
          <w:tcPr>
            <w:tcW w:w="1134" w:type="dxa"/>
            <w:noWrap w:val="0"/>
            <w:vAlign w:val="center"/>
          </w:tcPr>
          <w:p w14:paraId="7556EAB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26</w:t>
            </w:r>
          </w:p>
        </w:tc>
        <w:tc>
          <w:tcPr>
            <w:tcW w:w="1229" w:type="dxa"/>
            <w:noWrap w:val="0"/>
            <w:vAlign w:val="center"/>
          </w:tcPr>
          <w:p w14:paraId="55715B1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257D8ACC">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区市场监管局</w:t>
            </w:r>
          </w:p>
        </w:tc>
      </w:tr>
      <w:tr w14:paraId="42F3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44DDAFA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12</w:t>
            </w:r>
          </w:p>
        </w:tc>
        <w:tc>
          <w:tcPr>
            <w:tcW w:w="3368" w:type="dxa"/>
            <w:noWrap w:val="0"/>
            <w:vAlign w:val="center"/>
          </w:tcPr>
          <w:p w14:paraId="790524B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23"/>
                <w:kern w:val="0"/>
                <w:sz w:val="32"/>
                <w:szCs w:val="32"/>
                <w:highlight w:val="none"/>
                <w:u w:val="none" w:color="auto"/>
              </w:rPr>
              <w:t>数字经济核心</w:t>
            </w:r>
            <w:r>
              <w:rPr>
                <w:rFonts w:hint="eastAsia" w:ascii="Times New Roman" w:hAnsi="Times New Roman" w:eastAsia="方正仿宋_GBK"/>
                <w:spacing w:val="-23"/>
                <w:kern w:val="0"/>
                <w:sz w:val="32"/>
                <w:szCs w:val="32"/>
                <w:highlight w:val="none"/>
                <w:u w:val="none" w:color="auto"/>
                <w:lang w:eastAsia="zh-CN"/>
              </w:rPr>
              <w:t>产业</w:t>
            </w:r>
            <w:r>
              <w:rPr>
                <w:rFonts w:hint="eastAsia" w:ascii="Times New Roman" w:hAnsi="Times New Roman" w:eastAsia="方正仿宋_GBK"/>
                <w:spacing w:val="-23"/>
                <w:kern w:val="0"/>
                <w:sz w:val="32"/>
                <w:szCs w:val="32"/>
                <w:highlight w:val="none"/>
                <w:u w:val="none" w:color="auto"/>
              </w:rPr>
              <w:t>增加值占地区生产总值比重（%）</w:t>
            </w:r>
          </w:p>
        </w:tc>
        <w:tc>
          <w:tcPr>
            <w:tcW w:w="1134" w:type="dxa"/>
            <w:noWrap w:val="0"/>
            <w:vAlign w:val="center"/>
          </w:tcPr>
          <w:p w14:paraId="385BD92D">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lang w:val="en-US" w:eastAsia="zh-CN"/>
              </w:rPr>
              <w:t>预计≥10</w:t>
            </w:r>
            <w:r>
              <w:rPr>
                <w:rFonts w:hint="eastAsia" w:ascii="Times New Roman" w:hAnsi="Times New Roman" w:eastAsia="方正仿宋_GBK"/>
                <w:spacing w:val="-17"/>
                <w:kern w:val="0"/>
                <w:sz w:val="32"/>
                <w:szCs w:val="32"/>
                <w:highlight w:val="none"/>
                <w:u w:val="none" w:color="auto"/>
                <w:lang w:val="en-US" w:eastAsia="zh-CN"/>
              </w:rPr>
              <w:tab/>
            </w:r>
          </w:p>
        </w:tc>
        <w:tc>
          <w:tcPr>
            <w:tcW w:w="1134" w:type="dxa"/>
            <w:noWrap w:val="0"/>
            <w:vAlign w:val="center"/>
          </w:tcPr>
          <w:p w14:paraId="13C0220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lang w:val="en-US" w:eastAsia="zh-CN"/>
              </w:rPr>
              <w:t>&gt;</w:t>
            </w:r>
            <w:r>
              <w:rPr>
                <w:rFonts w:hint="eastAsia" w:ascii="Times New Roman" w:hAnsi="Times New Roman" w:eastAsia="方正仿宋_GBK"/>
                <w:spacing w:val="-17"/>
                <w:kern w:val="0"/>
                <w:sz w:val="32"/>
                <w:szCs w:val="32"/>
                <w:highlight w:val="none"/>
                <w:u w:val="none" w:color="auto"/>
              </w:rPr>
              <w:t>13</w:t>
            </w:r>
          </w:p>
        </w:tc>
        <w:tc>
          <w:tcPr>
            <w:tcW w:w="1229" w:type="dxa"/>
            <w:noWrap w:val="0"/>
            <w:vAlign w:val="center"/>
          </w:tcPr>
          <w:p w14:paraId="29A009A8">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7C9669B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区经济信息委</w:t>
            </w:r>
          </w:p>
        </w:tc>
      </w:tr>
      <w:tr w14:paraId="43A1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141B8D8D">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13</w:t>
            </w:r>
          </w:p>
        </w:tc>
        <w:tc>
          <w:tcPr>
            <w:tcW w:w="3368" w:type="dxa"/>
            <w:noWrap w:val="0"/>
            <w:vAlign w:val="center"/>
          </w:tcPr>
          <w:p w14:paraId="0367177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战略性新兴产业产值占规上工业产值比重（%）</w:t>
            </w:r>
          </w:p>
        </w:tc>
        <w:tc>
          <w:tcPr>
            <w:tcW w:w="1134" w:type="dxa"/>
            <w:noWrap w:val="0"/>
            <w:vAlign w:val="center"/>
          </w:tcPr>
          <w:p w14:paraId="5AB11C1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spacing w:val="-17"/>
                <w:kern w:val="0"/>
                <w:sz w:val="32"/>
                <w:szCs w:val="32"/>
                <w:highlight w:val="none"/>
                <w:u w:val="none" w:color="auto"/>
                <w:lang w:val="en-US" w:eastAsia="zh-CN"/>
              </w:rPr>
            </w:pPr>
            <w:r>
              <w:rPr>
                <w:rFonts w:hint="eastAsia" w:ascii="Times New Roman" w:hAnsi="Times New Roman" w:eastAsia="方正仿宋_GBK"/>
                <w:spacing w:val="-17"/>
                <w:kern w:val="0"/>
                <w:sz w:val="32"/>
                <w:szCs w:val="32"/>
                <w:highlight w:val="none"/>
                <w:u w:val="none" w:color="auto"/>
              </w:rPr>
              <w:t>33</w:t>
            </w:r>
            <w:r>
              <w:rPr>
                <w:rFonts w:hint="eastAsia" w:ascii="Times New Roman" w:hAnsi="Times New Roman" w:eastAsia="方正仿宋_GBK"/>
                <w:spacing w:val="-17"/>
                <w:kern w:val="0"/>
                <w:sz w:val="32"/>
                <w:szCs w:val="32"/>
                <w:highlight w:val="none"/>
                <w:u w:val="none" w:color="auto"/>
                <w:lang w:val="en-US" w:eastAsia="zh-CN"/>
              </w:rPr>
              <w:t>.5</w:t>
            </w:r>
          </w:p>
        </w:tc>
        <w:tc>
          <w:tcPr>
            <w:tcW w:w="1134" w:type="dxa"/>
            <w:noWrap w:val="0"/>
            <w:vAlign w:val="center"/>
          </w:tcPr>
          <w:p w14:paraId="40673528">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spacing w:val="-17"/>
                <w:kern w:val="0"/>
                <w:sz w:val="32"/>
                <w:szCs w:val="32"/>
                <w:highlight w:val="none"/>
                <w:u w:val="none" w:color="auto"/>
                <w:lang w:val="en-US" w:eastAsia="zh-CN"/>
              </w:rPr>
            </w:pPr>
            <w:r>
              <w:rPr>
                <w:rFonts w:hint="eastAsia" w:ascii="Times New Roman" w:hAnsi="Times New Roman" w:eastAsia="方正仿宋_GBK"/>
                <w:spacing w:val="-17"/>
                <w:kern w:val="0"/>
                <w:sz w:val="32"/>
                <w:szCs w:val="32"/>
                <w:highlight w:val="none"/>
                <w:u w:val="none" w:color="auto"/>
                <w:lang w:val="en-US" w:eastAsia="zh-CN"/>
              </w:rPr>
              <w:t>40</w:t>
            </w:r>
          </w:p>
        </w:tc>
        <w:tc>
          <w:tcPr>
            <w:tcW w:w="1229" w:type="dxa"/>
            <w:noWrap w:val="0"/>
            <w:vAlign w:val="center"/>
          </w:tcPr>
          <w:p w14:paraId="753AAB4D">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35CDD16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区经济信息委</w:t>
            </w:r>
          </w:p>
        </w:tc>
      </w:tr>
      <w:tr w14:paraId="1EED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gridSpan w:val="6"/>
            <w:noWrap w:val="0"/>
            <w:vAlign w:val="center"/>
          </w:tcPr>
          <w:p w14:paraId="6079679D">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textAlignment w:val="auto"/>
              <w:rPr>
                <w:rFonts w:hint="eastAsia" w:ascii="Times New Roman" w:hAnsi="Times New Roman" w:eastAsia="方正黑体_GBK" w:cs="方正黑体_GBK"/>
                <w:spacing w:val="-17"/>
                <w:kern w:val="0"/>
                <w:sz w:val="32"/>
                <w:szCs w:val="32"/>
                <w:highlight w:val="none"/>
                <w:u w:val="none" w:color="auto"/>
              </w:rPr>
            </w:pPr>
            <w:r>
              <w:rPr>
                <w:rFonts w:hint="eastAsia" w:ascii="Times New Roman" w:hAnsi="Times New Roman" w:eastAsia="方正黑体_GBK" w:cs="方正黑体_GBK"/>
                <w:spacing w:val="-17"/>
                <w:kern w:val="0"/>
                <w:sz w:val="32"/>
                <w:szCs w:val="32"/>
                <w:highlight w:val="none"/>
                <w:u w:val="none" w:color="auto"/>
              </w:rPr>
              <w:t>三、增强改革集成和开放门户功能</w:t>
            </w:r>
          </w:p>
        </w:tc>
      </w:tr>
      <w:tr w14:paraId="432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1862689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14</w:t>
            </w:r>
          </w:p>
        </w:tc>
        <w:tc>
          <w:tcPr>
            <w:tcW w:w="3368" w:type="dxa"/>
            <w:noWrap w:val="0"/>
            <w:vAlign w:val="center"/>
          </w:tcPr>
          <w:p w14:paraId="4873D25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“数字重庆”累计贯通应用数量（个）</w:t>
            </w:r>
          </w:p>
        </w:tc>
        <w:tc>
          <w:tcPr>
            <w:tcW w:w="1134" w:type="dxa"/>
            <w:noWrap w:val="0"/>
            <w:vAlign w:val="center"/>
          </w:tcPr>
          <w:p w14:paraId="1F8637C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spacing w:val="-17"/>
                <w:kern w:val="0"/>
                <w:sz w:val="32"/>
                <w:szCs w:val="32"/>
                <w:highlight w:val="none"/>
                <w:u w:val="none" w:color="auto"/>
                <w:lang w:val="en-US" w:eastAsia="zh-CN"/>
              </w:rPr>
            </w:pPr>
            <w:r>
              <w:rPr>
                <w:rFonts w:hint="eastAsia" w:ascii="Times New Roman" w:hAnsi="Times New Roman" w:eastAsia="方正仿宋_GBK"/>
                <w:spacing w:val="-17"/>
                <w:kern w:val="0"/>
                <w:sz w:val="32"/>
                <w:szCs w:val="32"/>
                <w:highlight w:val="none"/>
                <w:u w:val="none" w:color="auto"/>
                <w:lang w:val="en-US" w:eastAsia="zh-CN"/>
              </w:rPr>
              <w:t>193</w:t>
            </w:r>
          </w:p>
        </w:tc>
        <w:tc>
          <w:tcPr>
            <w:tcW w:w="1134" w:type="dxa"/>
            <w:noWrap w:val="0"/>
            <w:vAlign w:val="center"/>
          </w:tcPr>
          <w:p w14:paraId="5CBAD89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2</w:t>
            </w:r>
            <w:r>
              <w:rPr>
                <w:rFonts w:hint="eastAsia" w:ascii="Times New Roman" w:hAnsi="Times New Roman" w:eastAsia="方正仿宋_GBK"/>
                <w:spacing w:val="-17"/>
                <w:kern w:val="0"/>
                <w:sz w:val="32"/>
                <w:szCs w:val="32"/>
                <w:highlight w:val="none"/>
                <w:u w:val="none" w:color="auto"/>
                <w:lang w:val="en-US" w:eastAsia="zh-CN"/>
              </w:rPr>
              <w:t>5</w:t>
            </w:r>
            <w:r>
              <w:rPr>
                <w:rFonts w:hint="eastAsia" w:ascii="Times New Roman" w:hAnsi="Times New Roman" w:eastAsia="方正仿宋_GBK"/>
                <w:spacing w:val="-17"/>
                <w:kern w:val="0"/>
                <w:sz w:val="32"/>
                <w:szCs w:val="32"/>
                <w:highlight w:val="none"/>
                <w:u w:val="none" w:color="auto"/>
              </w:rPr>
              <w:t>0</w:t>
            </w:r>
          </w:p>
        </w:tc>
        <w:tc>
          <w:tcPr>
            <w:tcW w:w="1229" w:type="dxa"/>
            <w:noWrap w:val="0"/>
            <w:vAlign w:val="center"/>
          </w:tcPr>
          <w:p w14:paraId="18DF751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747BB2D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区治理中心</w:t>
            </w:r>
          </w:p>
        </w:tc>
      </w:tr>
      <w:tr w14:paraId="45FD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59704574">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15</w:t>
            </w:r>
          </w:p>
        </w:tc>
        <w:tc>
          <w:tcPr>
            <w:tcW w:w="3368" w:type="dxa"/>
            <w:noWrap w:val="0"/>
            <w:vAlign w:val="center"/>
          </w:tcPr>
          <w:p w14:paraId="1C1DEB4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公平竞争审查评估问题检出率（%）</w:t>
            </w:r>
          </w:p>
        </w:tc>
        <w:tc>
          <w:tcPr>
            <w:tcW w:w="1134" w:type="dxa"/>
            <w:noWrap w:val="0"/>
            <w:vAlign w:val="center"/>
          </w:tcPr>
          <w:p w14:paraId="7773F604">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ascii="Times New Roman" w:hAnsi="Times New Roman" w:eastAsia="方正仿宋_GBK"/>
                <w:spacing w:val="-17"/>
                <w:kern w:val="0"/>
                <w:sz w:val="32"/>
                <w:szCs w:val="32"/>
                <w:highlight w:val="none"/>
                <w:u w:val="none" w:color="auto"/>
              </w:rPr>
              <w:t>13.98</w:t>
            </w:r>
          </w:p>
        </w:tc>
        <w:tc>
          <w:tcPr>
            <w:tcW w:w="1134" w:type="dxa"/>
            <w:noWrap w:val="0"/>
            <w:vAlign w:val="center"/>
          </w:tcPr>
          <w:p w14:paraId="26F47AAC">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ascii="Times New Roman" w:hAnsi="Times New Roman" w:eastAsia="方正仿宋_GBK"/>
                <w:spacing w:val="-17"/>
                <w:kern w:val="0"/>
                <w:sz w:val="32"/>
                <w:szCs w:val="32"/>
                <w:highlight w:val="none"/>
                <w:u w:val="none" w:color="auto"/>
              </w:rPr>
              <w:t>5</w:t>
            </w:r>
          </w:p>
        </w:tc>
        <w:tc>
          <w:tcPr>
            <w:tcW w:w="1229" w:type="dxa"/>
            <w:noWrap w:val="0"/>
            <w:vAlign w:val="center"/>
          </w:tcPr>
          <w:p w14:paraId="6E7B16D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预期性</w:t>
            </w:r>
          </w:p>
        </w:tc>
        <w:tc>
          <w:tcPr>
            <w:tcW w:w="2671" w:type="dxa"/>
            <w:noWrap w:val="0"/>
            <w:vAlign w:val="center"/>
          </w:tcPr>
          <w:p w14:paraId="6061BEF4">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区市场监管局</w:t>
            </w:r>
          </w:p>
        </w:tc>
      </w:tr>
      <w:tr w14:paraId="6EF0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2959CFC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16</w:t>
            </w:r>
          </w:p>
        </w:tc>
        <w:tc>
          <w:tcPr>
            <w:tcW w:w="3368" w:type="dxa"/>
            <w:noWrap w:val="0"/>
            <w:vAlign w:val="center"/>
          </w:tcPr>
          <w:p w14:paraId="4B1D7C8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贸易进出口总额占双城经济圈比重（%）</w:t>
            </w:r>
          </w:p>
        </w:tc>
        <w:tc>
          <w:tcPr>
            <w:tcW w:w="1134" w:type="dxa"/>
            <w:noWrap w:val="0"/>
            <w:vAlign w:val="center"/>
          </w:tcPr>
          <w:p w14:paraId="2AF16B0E">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1.37</w:t>
            </w:r>
          </w:p>
        </w:tc>
        <w:tc>
          <w:tcPr>
            <w:tcW w:w="1134" w:type="dxa"/>
            <w:noWrap w:val="0"/>
            <w:vAlign w:val="center"/>
          </w:tcPr>
          <w:p w14:paraId="131E342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1.75</w:t>
            </w:r>
          </w:p>
        </w:tc>
        <w:tc>
          <w:tcPr>
            <w:tcW w:w="1229" w:type="dxa"/>
            <w:noWrap w:val="0"/>
            <w:vAlign w:val="center"/>
          </w:tcPr>
          <w:p w14:paraId="0947F791">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180B855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区商务委</w:t>
            </w:r>
          </w:p>
        </w:tc>
      </w:tr>
      <w:tr w14:paraId="5AC3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5D32FB18">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17</w:t>
            </w:r>
          </w:p>
        </w:tc>
        <w:tc>
          <w:tcPr>
            <w:tcW w:w="3368" w:type="dxa"/>
            <w:noWrap w:val="0"/>
            <w:vAlign w:val="center"/>
          </w:tcPr>
          <w:p w14:paraId="105FF9A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23"/>
                <w:kern w:val="0"/>
                <w:sz w:val="32"/>
                <w:szCs w:val="32"/>
                <w:highlight w:val="none"/>
                <w:u w:val="none" w:color="auto"/>
              </w:rPr>
              <w:t>经西部陆海新通道3种主要运输组织方式货运量（万标箱）</w:t>
            </w:r>
          </w:p>
        </w:tc>
        <w:tc>
          <w:tcPr>
            <w:tcW w:w="1134" w:type="dxa"/>
            <w:noWrap w:val="0"/>
            <w:vAlign w:val="center"/>
          </w:tcPr>
          <w:p w14:paraId="785A27B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spacing w:val="-17"/>
                <w:kern w:val="0"/>
                <w:sz w:val="32"/>
                <w:szCs w:val="32"/>
                <w:highlight w:val="none"/>
                <w:u w:val="none" w:color="auto"/>
                <w:lang w:val="en-US" w:eastAsia="zh-CN"/>
              </w:rPr>
            </w:pPr>
            <w:r>
              <w:rPr>
                <w:rFonts w:hint="eastAsia" w:ascii="Times New Roman" w:hAnsi="Times New Roman" w:eastAsia="方正仿宋_GBK"/>
                <w:spacing w:val="-17"/>
                <w:kern w:val="0"/>
                <w:sz w:val="32"/>
                <w:szCs w:val="32"/>
                <w:highlight w:val="none"/>
                <w:u w:val="none" w:color="auto"/>
                <w:lang w:val="en-US" w:eastAsia="zh-CN"/>
              </w:rPr>
              <w:t>0.9</w:t>
            </w:r>
          </w:p>
        </w:tc>
        <w:tc>
          <w:tcPr>
            <w:tcW w:w="1134" w:type="dxa"/>
            <w:noWrap w:val="0"/>
            <w:vAlign w:val="center"/>
          </w:tcPr>
          <w:p w14:paraId="4149772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3</w:t>
            </w:r>
          </w:p>
        </w:tc>
        <w:tc>
          <w:tcPr>
            <w:tcW w:w="1229" w:type="dxa"/>
            <w:noWrap w:val="0"/>
            <w:vAlign w:val="center"/>
          </w:tcPr>
          <w:p w14:paraId="61CB9D4C">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18D040F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区交通运输委</w:t>
            </w:r>
          </w:p>
        </w:tc>
      </w:tr>
      <w:tr w14:paraId="21F2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134" w:type="dxa"/>
            <w:gridSpan w:val="6"/>
            <w:noWrap w:val="0"/>
            <w:vAlign w:val="center"/>
          </w:tcPr>
          <w:p w14:paraId="6880AC0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textAlignment w:val="auto"/>
              <w:rPr>
                <w:rFonts w:hint="eastAsia" w:ascii="Times New Roman" w:hAnsi="Times New Roman" w:eastAsia="方正黑体_GBK" w:cs="方正黑体_GBK"/>
                <w:spacing w:val="-17"/>
                <w:kern w:val="0"/>
                <w:sz w:val="32"/>
                <w:szCs w:val="32"/>
                <w:highlight w:val="none"/>
                <w:u w:val="none" w:color="auto"/>
              </w:rPr>
            </w:pPr>
            <w:r>
              <w:rPr>
                <w:rFonts w:hint="eastAsia" w:ascii="Times New Roman" w:hAnsi="Times New Roman" w:eastAsia="方正黑体_GBK" w:cs="方正黑体_GBK"/>
                <w:spacing w:val="-17"/>
                <w:kern w:val="0"/>
                <w:sz w:val="32"/>
                <w:szCs w:val="32"/>
                <w:highlight w:val="none"/>
                <w:u w:val="none" w:color="auto"/>
              </w:rPr>
              <w:t>四、增强人口吸纳和综合服务功能</w:t>
            </w:r>
          </w:p>
        </w:tc>
      </w:tr>
      <w:tr w14:paraId="2C8A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18DCB99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18</w:t>
            </w:r>
          </w:p>
        </w:tc>
        <w:tc>
          <w:tcPr>
            <w:tcW w:w="3368" w:type="dxa"/>
            <w:noWrap w:val="0"/>
            <w:vAlign w:val="center"/>
          </w:tcPr>
          <w:p w14:paraId="0D4BCE3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全体</w:t>
            </w:r>
            <w:r>
              <w:rPr>
                <w:rFonts w:ascii="Times New Roman" w:hAnsi="Times New Roman" w:eastAsia="方正仿宋_GBK"/>
                <w:spacing w:val="-17"/>
                <w:kern w:val="0"/>
                <w:sz w:val="32"/>
                <w:szCs w:val="32"/>
                <w:highlight w:val="none"/>
                <w:u w:val="none" w:color="auto"/>
              </w:rPr>
              <w:t>居民人均可支配收入</w:t>
            </w:r>
            <w:r>
              <w:rPr>
                <w:rFonts w:hint="eastAsia" w:ascii="Times New Roman" w:hAnsi="Times New Roman" w:eastAsia="方正仿宋_GBK"/>
                <w:spacing w:val="-17"/>
                <w:kern w:val="0"/>
                <w:sz w:val="32"/>
                <w:szCs w:val="32"/>
                <w:highlight w:val="none"/>
                <w:u w:val="none" w:color="auto"/>
              </w:rPr>
              <w:t>增速（%）</w:t>
            </w:r>
          </w:p>
        </w:tc>
        <w:tc>
          <w:tcPr>
            <w:tcW w:w="1134" w:type="dxa"/>
            <w:noWrap w:val="0"/>
            <w:vAlign w:val="center"/>
          </w:tcPr>
          <w:p w14:paraId="115D4A3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黑体_GBK"/>
                <w:spacing w:val="-17"/>
                <w:kern w:val="0"/>
                <w:sz w:val="32"/>
                <w:szCs w:val="32"/>
                <w:highlight w:val="none"/>
                <w:u w:val="none" w:color="auto"/>
                <w:lang w:val="en-US" w:eastAsia="zh-CN"/>
              </w:rPr>
            </w:pPr>
            <w:r>
              <w:rPr>
                <w:rFonts w:hint="eastAsia" w:ascii="Times New Roman" w:hAnsi="Times New Roman" w:eastAsia="方正黑体_GBK"/>
                <w:spacing w:val="-17"/>
                <w:kern w:val="0"/>
                <w:sz w:val="32"/>
                <w:szCs w:val="32"/>
                <w:highlight w:val="none"/>
                <w:u w:val="none" w:color="auto"/>
              </w:rPr>
              <w:t>4.</w:t>
            </w:r>
            <w:r>
              <w:rPr>
                <w:rFonts w:hint="eastAsia" w:ascii="Times New Roman" w:hAnsi="Times New Roman" w:eastAsia="方正黑体_GBK"/>
                <w:spacing w:val="-17"/>
                <w:kern w:val="0"/>
                <w:sz w:val="32"/>
                <w:szCs w:val="32"/>
                <w:highlight w:val="none"/>
                <w:u w:val="none" w:color="auto"/>
                <w:lang w:val="en-US" w:eastAsia="zh-CN"/>
              </w:rPr>
              <w:t>9</w:t>
            </w:r>
          </w:p>
        </w:tc>
        <w:tc>
          <w:tcPr>
            <w:tcW w:w="1134" w:type="dxa"/>
            <w:noWrap w:val="0"/>
            <w:vAlign w:val="center"/>
          </w:tcPr>
          <w:p w14:paraId="2E3C210B">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黑体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与地区生产总值保持同步</w:t>
            </w:r>
          </w:p>
        </w:tc>
        <w:tc>
          <w:tcPr>
            <w:tcW w:w="1229" w:type="dxa"/>
            <w:noWrap w:val="0"/>
            <w:vAlign w:val="center"/>
          </w:tcPr>
          <w:p w14:paraId="3A90D72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7423B2E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区发展改革委</w:t>
            </w:r>
          </w:p>
        </w:tc>
      </w:tr>
      <w:tr w14:paraId="3745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1A043229">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19</w:t>
            </w:r>
          </w:p>
        </w:tc>
        <w:tc>
          <w:tcPr>
            <w:tcW w:w="3368" w:type="dxa"/>
            <w:noWrap w:val="0"/>
            <w:vAlign w:val="center"/>
          </w:tcPr>
          <w:p w14:paraId="7D80BDF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常住人口城镇化率（%）</w:t>
            </w:r>
          </w:p>
        </w:tc>
        <w:tc>
          <w:tcPr>
            <w:tcW w:w="1134" w:type="dxa"/>
            <w:noWrap w:val="0"/>
            <w:vAlign w:val="center"/>
          </w:tcPr>
          <w:p w14:paraId="3BE83952">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94.60%</w:t>
            </w:r>
          </w:p>
        </w:tc>
        <w:tc>
          <w:tcPr>
            <w:tcW w:w="1134" w:type="dxa"/>
            <w:noWrap w:val="0"/>
            <w:vAlign w:val="center"/>
          </w:tcPr>
          <w:p w14:paraId="1E30E24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&gt;95%</w:t>
            </w:r>
          </w:p>
        </w:tc>
        <w:tc>
          <w:tcPr>
            <w:tcW w:w="1229" w:type="dxa"/>
            <w:noWrap w:val="0"/>
            <w:vAlign w:val="center"/>
          </w:tcPr>
          <w:p w14:paraId="4126D35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0E5E44E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区发展改革委</w:t>
            </w:r>
          </w:p>
        </w:tc>
      </w:tr>
      <w:tr w14:paraId="1A73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182A77D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20</w:t>
            </w:r>
          </w:p>
        </w:tc>
        <w:tc>
          <w:tcPr>
            <w:tcW w:w="3368" w:type="dxa"/>
            <w:noWrap w:val="0"/>
            <w:vAlign w:val="center"/>
          </w:tcPr>
          <w:p w14:paraId="45CBB8E4">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“15分钟高品质生活服务圈”新建成数量（个）</w:t>
            </w:r>
          </w:p>
        </w:tc>
        <w:tc>
          <w:tcPr>
            <w:tcW w:w="1134" w:type="dxa"/>
            <w:noWrap w:val="0"/>
            <w:vAlign w:val="center"/>
          </w:tcPr>
          <w:p w14:paraId="4B9D6B3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lang w:val="en-US" w:eastAsia="zh-CN"/>
              </w:rPr>
            </w:pPr>
            <w:r>
              <w:rPr>
                <w:rFonts w:hint="eastAsia" w:ascii="Times New Roman" w:hAnsi="Times New Roman" w:eastAsia="方正仿宋_GBK"/>
                <w:spacing w:val="-17"/>
                <w:kern w:val="0"/>
                <w:sz w:val="32"/>
                <w:szCs w:val="32"/>
                <w:highlight w:val="none"/>
                <w:u w:val="none" w:color="auto"/>
                <w:lang w:val="en-US" w:eastAsia="zh-CN"/>
              </w:rPr>
              <w:t>6</w:t>
            </w:r>
          </w:p>
        </w:tc>
        <w:tc>
          <w:tcPr>
            <w:tcW w:w="1134" w:type="dxa"/>
            <w:noWrap w:val="0"/>
            <w:vAlign w:val="center"/>
          </w:tcPr>
          <w:p w14:paraId="758828E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全域覆盖</w:t>
            </w:r>
          </w:p>
        </w:tc>
        <w:tc>
          <w:tcPr>
            <w:tcW w:w="1229" w:type="dxa"/>
            <w:noWrap w:val="0"/>
            <w:vAlign w:val="center"/>
          </w:tcPr>
          <w:p w14:paraId="5858F3BC">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预期性</w:t>
            </w:r>
          </w:p>
        </w:tc>
        <w:tc>
          <w:tcPr>
            <w:tcW w:w="2671" w:type="dxa"/>
            <w:noWrap w:val="0"/>
            <w:vAlign w:val="center"/>
          </w:tcPr>
          <w:p w14:paraId="1119C0C5">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区发展改革委</w:t>
            </w:r>
          </w:p>
        </w:tc>
      </w:tr>
      <w:tr w14:paraId="356C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80" w:type="dxa"/>
            <w:noWrap w:val="0"/>
            <w:vAlign w:val="center"/>
          </w:tcPr>
          <w:p w14:paraId="66E598FF">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ascii="Times New Roman" w:hAnsi="Times New Roman" w:eastAsia="方正黑体_GBK"/>
                <w:spacing w:val="-17"/>
                <w:kern w:val="0"/>
                <w:sz w:val="32"/>
                <w:szCs w:val="32"/>
                <w:highlight w:val="none"/>
                <w:u w:val="none" w:color="auto"/>
              </w:rPr>
            </w:pPr>
            <w:r>
              <w:rPr>
                <w:rFonts w:hint="eastAsia" w:ascii="Times New Roman" w:hAnsi="Times New Roman" w:eastAsia="方正黑体_GBK"/>
                <w:spacing w:val="-17"/>
                <w:kern w:val="0"/>
                <w:sz w:val="32"/>
                <w:szCs w:val="32"/>
                <w:highlight w:val="none"/>
                <w:u w:val="none" w:color="auto"/>
              </w:rPr>
              <w:t>21</w:t>
            </w:r>
          </w:p>
        </w:tc>
        <w:tc>
          <w:tcPr>
            <w:tcW w:w="3368" w:type="dxa"/>
            <w:noWrap w:val="0"/>
            <w:vAlign w:val="center"/>
          </w:tcPr>
          <w:p w14:paraId="6F8E4376">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hint="eastAsia" w:ascii="Times New Roman" w:hAnsi="Times New Roman" w:eastAsia="方正仿宋_GBK"/>
                <w:spacing w:val="-17"/>
                <w:kern w:val="0"/>
                <w:sz w:val="32"/>
                <w:szCs w:val="32"/>
                <w:highlight w:val="none"/>
                <w:u w:val="none" w:color="auto"/>
              </w:rPr>
              <w:t>单位地区生产总值二氧化碳排放降低（%）</w:t>
            </w:r>
          </w:p>
        </w:tc>
        <w:tc>
          <w:tcPr>
            <w:tcW w:w="1134" w:type="dxa"/>
            <w:noWrap w:val="0"/>
            <w:vAlign w:val="center"/>
          </w:tcPr>
          <w:p w14:paraId="22AFC6E3">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default" w:ascii="Times New Roman" w:hAnsi="Times New Roman" w:eastAsia="方正仿宋_GBK"/>
                <w:spacing w:val="-17"/>
                <w:kern w:val="0"/>
                <w:sz w:val="32"/>
                <w:szCs w:val="32"/>
                <w:highlight w:val="none"/>
                <w:u w:val="none" w:color="auto"/>
                <w:lang w:val="en-US" w:eastAsia="zh-CN"/>
              </w:rPr>
            </w:pPr>
            <w:r>
              <w:rPr>
                <w:rFonts w:hint="eastAsia" w:ascii="Times New Roman" w:hAnsi="Times New Roman" w:eastAsia="方正仿宋_GBK"/>
                <w:spacing w:val="-17"/>
                <w:kern w:val="0"/>
                <w:sz w:val="32"/>
                <w:szCs w:val="32"/>
                <w:highlight w:val="none"/>
                <w:u w:val="none" w:color="auto"/>
                <w:lang w:val="en-US" w:eastAsia="zh-CN"/>
              </w:rPr>
              <w:t>14</w:t>
            </w:r>
          </w:p>
        </w:tc>
        <w:tc>
          <w:tcPr>
            <w:tcW w:w="1134" w:type="dxa"/>
            <w:noWrap w:val="0"/>
            <w:vAlign w:val="center"/>
          </w:tcPr>
          <w:p w14:paraId="3A82BB2A">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spacing w:val="-17"/>
                <w:kern w:val="0"/>
                <w:sz w:val="32"/>
                <w:szCs w:val="32"/>
                <w:highlight w:val="none"/>
                <w:u w:val="none" w:color="auto"/>
              </w:rPr>
            </w:pPr>
            <w:r>
              <w:rPr>
                <w:rFonts w:ascii="Times New Roman" w:hAnsi="Times New Roman" w:eastAsia="方正仿宋_GBK"/>
                <w:spacing w:val="-17"/>
                <w:kern w:val="0"/>
                <w:sz w:val="32"/>
                <w:szCs w:val="32"/>
                <w:highlight w:val="none"/>
                <w:u w:val="none" w:color="auto"/>
              </w:rPr>
              <w:t>完成市级下达目标</w:t>
            </w:r>
          </w:p>
        </w:tc>
        <w:tc>
          <w:tcPr>
            <w:tcW w:w="1229" w:type="dxa"/>
            <w:noWrap w:val="0"/>
            <w:vAlign w:val="center"/>
          </w:tcPr>
          <w:p w14:paraId="30F514F0">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17"/>
                <w:kern w:val="0"/>
                <w:sz w:val="32"/>
                <w:szCs w:val="32"/>
                <w:highlight w:val="none"/>
                <w:u w:val="none" w:color="auto"/>
              </w:rPr>
            </w:pPr>
            <w:r>
              <w:rPr>
                <w:rFonts w:hint="eastAsia" w:ascii="Times New Roman" w:hAnsi="Times New Roman" w:eastAsia="方正仿宋_GBK" w:cs="方正仿宋_GBK"/>
                <w:spacing w:val="-17"/>
                <w:kern w:val="0"/>
                <w:sz w:val="32"/>
                <w:szCs w:val="32"/>
                <w:highlight w:val="none"/>
                <w:u w:val="none" w:color="auto"/>
              </w:rPr>
              <w:t>约束性</w:t>
            </w:r>
          </w:p>
        </w:tc>
        <w:tc>
          <w:tcPr>
            <w:tcW w:w="2671" w:type="dxa"/>
            <w:noWrap w:val="0"/>
            <w:vAlign w:val="center"/>
          </w:tcPr>
          <w:p w14:paraId="1DCBD92C">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Times New Roman" w:hAnsi="Times New Roman" w:eastAsia="方正仿宋_GBK" w:cs="方正仿宋_GBK"/>
                <w:spacing w:val="-23"/>
                <w:kern w:val="0"/>
                <w:sz w:val="32"/>
                <w:szCs w:val="32"/>
                <w:highlight w:val="none"/>
                <w:u w:val="none" w:color="auto"/>
              </w:rPr>
            </w:pPr>
            <w:r>
              <w:rPr>
                <w:rFonts w:hint="eastAsia" w:ascii="Times New Roman" w:hAnsi="Times New Roman" w:eastAsia="方正仿宋_GBK" w:cs="方正仿宋_GBK"/>
                <w:spacing w:val="-23"/>
                <w:kern w:val="0"/>
                <w:sz w:val="32"/>
                <w:szCs w:val="32"/>
                <w:highlight w:val="none"/>
                <w:u w:val="none" w:color="auto"/>
              </w:rPr>
              <w:t>区发展改革委</w:t>
            </w:r>
          </w:p>
        </w:tc>
      </w:tr>
    </w:tbl>
    <w:p w14:paraId="48BCCA7B">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rPr>
          <w:rFonts w:hint="eastAsia" w:ascii="Times New Roman" w:hAnsi="Times New Roman" w:eastAsia="方正黑体_GBK" w:cs="方正黑体_GBK"/>
          <w:sz w:val="32"/>
          <w:szCs w:val="20"/>
          <w:u w:val="none" w:color="auto"/>
        </w:rPr>
      </w:pPr>
      <w:r>
        <w:rPr>
          <w:rFonts w:hint="eastAsia" w:ascii="Times New Roman" w:hAnsi="Times New Roman" w:eastAsia="方正黑体_GBK" w:cs="方正黑体_GBK"/>
          <w:sz w:val="32"/>
          <w:szCs w:val="20"/>
          <w:u w:val="none" w:color="auto"/>
        </w:rPr>
        <w:t>三、重点任务</w:t>
      </w:r>
    </w:p>
    <w:p w14:paraId="40DC9947">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（一）实施现代化产业体系建设跨越行动</w:t>
      </w:r>
    </w:p>
    <w:p w14:paraId="609AC3A1">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spacing w:val="0"/>
          <w:szCs w:val="32"/>
          <w:u w:val="none" w:color="auto"/>
        </w:rPr>
      </w:pPr>
      <w:r>
        <w:rPr>
          <w:rFonts w:hint="eastAsia" w:ascii="Times New Roman" w:hAnsi="Times New Roman" w:eastAsia="方正仿宋_GBK"/>
          <w:bCs w:val="0"/>
          <w:spacing w:val="0"/>
          <w:szCs w:val="32"/>
          <w:u w:val="none" w:color="auto"/>
        </w:rPr>
        <w:t>迭代升级“248X”现代制造业集群，实施千亿级产业集群跃升行动，</w:t>
      </w:r>
      <w:r>
        <w:rPr>
          <w:rFonts w:hint="eastAsia" w:ascii="Times New Roman" w:hAnsi="Times New Roman" w:eastAsia="方正仿宋_GBK" w:cs="方正仿宋_GBK"/>
          <w:spacing w:val="0"/>
          <w:szCs w:val="32"/>
          <w:u w:val="none" w:color="auto"/>
        </w:rPr>
        <w:t>到</w:t>
      </w:r>
      <w:r>
        <w:rPr>
          <w:rFonts w:ascii="Times New Roman" w:hAnsi="Times New Roman"/>
          <w:spacing w:val="0"/>
          <w:szCs w:val="32"/>
          <w:u w:val="none" w:color="auto"/>
        </w:rPr>
        <w:t>2030</w:t>
      </w:r>
      <w:r>
        <w:rPr>
          <w:rFonts w:hint="eastAsia" w:ascii="Times New Roman" w:hAnsi="Times New Roman" w:eastAsia="方正仿宋_GBK" w:cs="方正仿宋_GBK"/>
          <w:spacing w:val="0"/>
          <w:szCs w:val="32"/>
          <w:u w:val="none" w:color="auto"/>
        </w:rPr>
        <w:t>年，</w:t>
      </w:r>
      <w:r>
        <w:rPr>
          <w:rFonts w:hint="eastAsia" w:ascii="Times New Roman" w:hAnsi="Times New Roman" w:eastAsia="方正仿宋_GBK"/>
          <w:bCs w:val="0"/>
          <w:spacing w:val="0"/>
          <w:szCs w:val="32"/>
          <w:u w:val="none" w:color="auto"/>
        </w:rPr>
        <w:t>工业总产值突破3000亿元</w:t>
      </w:r>
      <w:r>
        <w:rPr>
          <w:rFonts w:hint="eastAsia" w:ascii="Times New Roman" w:hAnsi="Times New Roman" w:eastAsia="方正仿宋_GBK" w:cs="方正仿宋_GBK"/>
          <w:spacing w:val="0"/>
          <w:szCs w:val="32"/>
          <w:u w:val="none" w:color="auto"/>
        </w:rPr>
        <w:t>，</w:t>
      </w:r>
      <w:r>
        <w:rPr>
          <w:rFonts w:hint="eastAsia" w:ascii="Times New Roman" w:hAnsi="Times New Roman" w:eastAsia="方正仿宋_GBK" w:cs="方正仿宋_GBK"/>
          <w:spacing w:val="0"/>
          <w:szCs w:val="32"/>
          <w:highlight w:val="none"/>
          <w:u w:val="none" w:color="auto"/>
        </w:rPr>
        <w:t>生产性服务业增加值占服务业</w:t>
      </w:r>
      <w:r>
        <w:rPr>
          <w:rFonts w:hint="eastAsia" w:ascii="Times New Roman" w:hAnsi="Times New Roman" w:eastAsia="方正仿宋_GBK" w:cs="方正仿宋_GBK"/>
          <w:spacing w:val="0"/>
          <w:szCs w:val="32"/>
          <w:highlight w:val="none"/>
          <w:u w:val="none" w:color="auto"/>
          <w:lang w:eastAsia="zh-CN"/>
        </w:rPr>
        <w:t>增加值</w:t>
      </w:r>
      <w:r>
        <w:rPr>
          <w:rFonts w:hint="eastAsia" w:ascii="Times New Roman" w:hAnsi="Times New Roman" w:eastAsia="方正仿宋_GBK" w:cs="方正仿宋_GBK"/>
          <w:spacing w:val="0"/>
          <w:szCs w:val="32"/>
          <w:highlight w:val="none"/>
          <w:u w:val="none" w:color="auto"/>
        </w:rPr>
        <w:t>比重</w:t>
      </w:r>
      <w:r>
        <w:rPr>
          <w:rFonts w:hint="eastAsia" w:ascii="Times New Roman" w:hAnsi="Times New Roman" w:eastAsia="方正仿宋_GBK" w:cs="方正仿宋_GBK"/>
          <w:spacing w:val="0"/>
          <w:szCs w:val="32"/>
          <w:highlight w:val="none"/>
          <w:u w:val="none" w:color="auto"/>
          <w:lang w:eastAsia="zh-CN"/>
        </w:rPr>
        <w:t>达</w:t>
      </w:r>
      <w:r>
        <w:rPr>
          <w:rFonts w:hint="eastAsia" w:ascii="Times New Roman" w:hAnsi="Times New Roman" w:eastAsia="方正仿宋_GBK" w:cs="方正仿宋_GBK"/>
          <w:spacing w:val="0"/>
          <w:szCs w:val="32"/>
          <w:highlight w:val="none"/>
          <w:u w:val="none" w:color="auto"/>
          <w:lang w:val="en-US" w:eastAsia="zh-CN"/>
        </w:rPr>
        <w:t>5</w:t>
      </w:r>
      <w:r>
        <w:rPr>
          <w:rFonts w:ascii="Times New Roman" w:hAnsi="Times New Roman"/>
          <w:spacing w:val="0"/>
          <w:szCs w:val="32"/>
          <w:highlight w:val="none"/>
          <w:u w:val="none" w:color="auto"/>
        </w:rPr>
        <w:t>5%</w:t>
      </w:r>
      <w:r>
        <w:rPr>
          <w:rFonts w:hint="eastAsia" w:ascii="Times New Roman" w:hAnsi="Times New Roman"/>
          <w:spacing w:val="0"/>
          <w:szCs w:val="32"/>
          <w:highlight w:val="none"/>
          <w:u w:val="none" w:color="auto"/>
          <w:lang w:eastAsia="zh-CN"/>
        </w:rPr>
        <w:t>以上</w:t>
      </w:r>
      <w:r>
        <w:rPr>
          <w:rFonts w:hint="eastAsia" w:ascii="Times New Roman" w:hAnsi="Times New Roman"/>
          <w:spacing w:val="0"/>
          <w:szCs w:val="32"/>
          <w:u w:val="none" w:color="auto"/>
          <w:lang w:eastAsia="zh-CN"/>
        </w:rPr>
        <w:t>。</w:t>
      </w:r>
    </w:p>
    <w:p w14:paraId="197E6D50">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hint="eastAsia"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1</w:t>
      </w:r>
      <w:r>
        <w:rPr>
          <w:rFonts w:hint="eastAsia" w:ascii="Times New Roman" w:hAnsi="Times New Roman" w:eastAsia="方正仿宋_GBK" w:cs="方正仿宋_GBK"/>
          <w:b/>
          <w:bCs w:val="0"/>
          <w:spacing w:val="0"/>
          <w:szCs w:val="32"/>
          <w:u w:val="none" w:color="auto"/>
        </w:rPr>
        <w:t>.深度融入成渝地区先进制造业产业集群</w:t>
      </w:r>
      <w:r>
        <w:rPr>
          <w:rFonts w:hint="eastAsia" w:ascii="Times New Roman" w:hAnsi="Times New Roman" w:eastAsia="方正仿宋_GBK" w:cs="方正仿宋_GBK"/>
          <w:spacing w:val="0"/>
          <w:szCs w:val="32"/>
          <w:u w:val="none" w:color="auto"/>
        </w:rPr>
        <w:t>。全力打造具有全球影响力的千亿级先进材料产业集群，材料加工产值突破</w:t>
      </w:r>
      <w:r>
        <w:rPr>
          <w:rFonts w:hint="eastAsia" w:ascii="Times New Roman" w:hAnsi="Times New Roman" w:eastAsia="方正仿宋_GBK"/>
          <w:bCs w:val="0"/>
          <w:spacing w:val="0"/>
          <w:szCs w:val="32"/>
          <w:u w:val="none" w:color="auto"/>
        </w:rPr>
        <w:t>500</w:t>
      </w:r>
      <w:r>
        <w:rPr>
          <w:rFonts w:hint="eastAsia" w:ascii="Times New Roman" w:hAnsi="Times New Roman" w:eastAsia="方正仿宋_GBK" w:cs="方正仿宋_GBK"/>
          <w:spacing w:val="0"/>
          <w:szCs w:val="32"/>
          <w:u w:val="none" w:color="auto"/>
        </w:rPr>
        <w:t>亿元，轻合金应用产业园产值突破</w:t>
      </w:r>
      <w:r>
        <w:rPr>
          <w:rFonts w:hint="eastAsia" w:ascii="Times New Roman" w:hAnsi="Times New Roman"/>
          <w:spacing w:val="0"/>
          <w:szCs w:val="32"/>
          <w:u w:val="none" w:color="auto"/>
        </w:rPr>
        <w:t>400</w:t>
      </w:r>
      <w:r>
        <w:rPr>
          <w:rFonts w:hint="eastAsia" w:ascii="Times New Roman" w:hAnsi="Times New Roman" w:eastAsia="方正仿宋_GBK" w:cs="方正仿宋_GBK"/>
          <w:spacing w:val="0"/>
          <w:szCs w:val="32"/>
          <w:u w:val="none" w:color="auto"/>
        </w:rPr>
        <w:t>亿元。加速打造世界知名摩托车产业集群，摩托车产业产值突破</w:t>
      </w:r>
      <w:r>
        <w:rPr>
          <w:rFonts w:hint="eastAsia" w:ascii="Times New Roman" w:hAnsi="Times New Roman"/>
          <w:spacing w:val="0"/>
          <w:szCs w:val="32"/>
          <w:u w:val="none" w:color="auto"/>
        </w:rPr>
        <w:t>500</w:t>
      </w:r>
      <w:r>
        <w:rPr>
          <w:rFonts w:hint="eastAsia" w:ascii="Times New Roman" w:hAnsi="Times New Roman" w:eastAsia="方正仿宋_GBK" w:cs="方正仿宋_GBK"/>
          <w:spacing w:val="0"/>
          <w:szCs w:val="32"/>
          <w:u w:val="none" w:color="auto"/>
        </w:rPr>
        <w:t>亿元。紧扣新能源汽车、智能终端、工业控制等赛道发展新一代电子信息制造产业，建成工业互联网二级节点（西部）</w:t>
      </w:r>
      <w:r>
        <w:rPr>
          <w:rFonts w:hint="eastAsia" w:ascii="Times New Roman" w:hAnsi="Times New Roman"/>
          <w:spacing w:val="0"/>
          <w:szCs w:val="32"/>
          <w:u w:val="none" w:color="auto"/>
        </w:rPr>
        <w:t>3</w:t>
      </w:r>
      <w:r>
        <w:rPr>
          <w:rFonts w:hint="eastAsia" w:ascii="Times New Roman" w:hAnsi="Times New Roman" w:eastAsia="方正仿宋_GBK" w:cs="方正仿宋_GBK"/>
          <w:spacing w:val="0"/>
          <w:szCs w:val="32"/>
          <w:u w:val="none" w:color="auto"/>
        </w:rPr>
        <w:t>个。加强与成渝“氢走廊”“电走廊”“智行走廊”沿线城市合作，协同打造全国重要的智能网联新能源商用车基地，智能网联新能源汽车产业市场份额达全市</w:t>
      </w:r>
      <w:r>
        <w:rPr>
          <w:rFonts w:hint="eastAsia" w:ascii="Times New Roman" w:hAnsi="Times New Roman"/>
          <w:spacing w:val="0"/>
          <w:szCs w:val="32"/>
          <w:u w:val="none" w:color="auto"/>
        </w:rPr>
        <w:t>10%</w:t>
      </w:r>
      <w:r>
        <w:rPr>
          <w:rFonts w:hint="eastAsia" w:ascii="Times New Roman" w:hAnsi="Times New Roman" w:eastAsia="方正仿宋_GBK" w:cs="方正仿宋_GBK"/>
          <w:spacing w:val="0"/>
          <w:szCs w:val="32"/>
          <w:u w:val="none" w:color="auto"/>
        </w:rPr>
        <w:t>。</w:t>
      </w:r>
      <w:r>
        <w:rPr>
          <w:rFonts w:ascii="Times New Roman" w:hAnsi="Times New Roman" w:eastAsia="方正仿宋_GBK"/>
          <w:bCs w:val="0"/>
          <w:spacing w:val="0"/>
          <w:szCs w:val="32"/>
          <w:u w:val="none" w:color="auto"/>
        </w:rPr>
        <w:t>（</w:t>
      </w:r>
      <w:r>
        <w:rPr>
          <w:rFonts w:hint="eastAsia" w:ascii="Times New Roman" w:hAnsi="Times New Roman" w:eastAsia="方正楷体_GBK" w:cs="方正楷体_GBK"/>
          <w:spacing w:val="0"/>
          <w:szCs w:val="32"/>
          <w:u w:val="none" w:color="auto"/>
        </w:rPr>
        <w:t>责任单位：区经济信息委、九龙新城园区管委会等</w:t>
      </w:r>
      <w:r>
        <w:rPr>
          <w:rFonts w:ascii="Times New Roman" w:hAnsi="Times New Roman" w:eastAsia="方正仿宋_GBK"/>
          <w:bCs w:val="0"/>
          <w:spacing w:val="0"/>
          <w:szCs w:val="32"/>
          <w:u w:val="none" w:color="auto"/>
        </w:rPr>
        <w:t>）</w:t>
      </w:r>
    </w:p>
    <w:p w14:paraId="4A707FE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rPr>
          <w:rFonts w:hint="eastAsia" w:ascii="Times New Roman" w:hAnsi="Times New Roman" w:eastAsia="方正仿宋_GBK"/>
          <w:sz w:val="32"/>
          <w:szCs w:val="32"/>
          <w:u w:val="none" w:color="auto"/>
        </w:rPr>
      </w:pPr>
      <w:r>
        <w:rPr>
          <w:rFonts w:ascii="Times New Roman" w:hAnsi="Times New Roman" w:eastAsia="方正仿宋_GBK"/>
          <w:b/>
          <w:sz w:val="32"/>
          <w:szCs w:val="32"/>
          <w:u w:val="none" w:color="auto"/>
        </w:rPr>
        <w:t>2</w:t>
      </w:r>
      <w:r>
        <w:rPr>
          <w:rFonts w:hint="eastAsia" w:ascii="Times New Roman" w:hAnsi="Times New Roman" w:eastAsia="方正仿宋_GBK" w:cs="方正仿宋_GBK"/>
          <w:b/>
          <w:sz w:val="32"/>
          <w:szCs w:val="32"/>
          <w:u w:val="none" w:color="auto"/>
        </w:rPr>
        <w:t>.加速培育新兴产业和未来产业</w:t>
      </w:r>
      <w:r>
        <w:rPr>
          <w:rFonts w:hint="eastAsia" w:ascii="Times New Roman" w:hAnsi="Times New Roman" w:eastAsia="方正仿宋_GBK" w:cs="方正仿宋_GBK"/>
          <w:sz w:val="32"/>
          <w:szCs w:val="32"/>
          <w:u w:val="none" w:color="auto"/>
        </w:rPr>
        <w:t>。</w:t>
      </w:r>
      <w:r>
        <w:rPr>
          <w:rFonts w:hint="eastAsia" w:ascii="Times New Roman" w:hAnsi="Times New Roman" w:eastAsia="方正仿宋_GBK"/>
          <w:sz w:val="32"/>
          <w:szCs w:val="32"/>
          <w:u w:val="none" w:color="auto"/>
        </w:rPr>
        <w:t>深入实施战略性新兴产业倍增计划，推动“氢能+”产业规模化发展，打造具有全国影响力的“西部氢谷”，</w:t>
      </w:r>
      <w:r>
        <w:rPr>
          <w:rFonts w:hint="eastAsia" w:ascii="Times New Roman" w:hAnsi="Times New Roman" w:eastAsia="方正仿宋_GBK" w:cs="方正仿宋_GBK"/>
          <w:sz w:val="32"/>
          <w:szCs w:val="32"/>
          <w:u w:val="none" w:color="auto"/>
        </w:rPr>
        <w:t>氢能产业产值占全市比重达80%</w:t>
      </w:r>
      <w:r>
        <w:rPr>
          <w:rFonts w:hint="eastAsia" w:ascii="Times New Roman" w:hAnsi="Times New Roman" w:eastAsia="方正仿宋_GBK"/>
          <w:sz w:val="32"/>
          <w:szCs w:val="32"/>
          <w:u w:val="none" w:color="auto"/>
        </w:rPr>
        <w:t>。</w:t>
      </w:r>
      <w:r>
        <w:rPr>
          <w:rFonts w:hint="eastAsia" w:ascii="Times New Roman" w:hAnsi="Times New Roman" w:eastAsia="方正仿宋_GBK" w:cs="方正仿宋_GBK"/>
          <w:sz w:val="32"/>
          <w:szCs w:val="32"/>
          <w:u w:val="none" w:color="auto"/>
        </w:rPr>
        <w:t>抢抓建设“成渝低空经济带”机遇，拓展城市治理、</w:t>
      </w:r>
      <w:r>
        <w:rPr>
          <w:rFonts w:hint="eastAsia" w:ascii="Times New Roman" w:hAnsi="Times New Roman" w:eastAsia="方正仿宋_GBK" w:cs="方正仿宋_GBK"/>
          <w:sz w:val="32"/>
          <w:szCs w:val="32"/>
          <w:highlight w:val="none"/>
          <w:u w:val="none" w:color="auto"/>
        </w:rPr>
        <w:t>公共服务、</w:t>
      </w:r>
      <w:r>
        <w:rPr>
          <w:rFonts w:hint="eastAsia" w:ascii="Times New Roman" w:hAnsi="Times New Roman" w:eastAsia="方正仿宋_GBK" w:cs="方正仿宋_GBK"/>
          <w:sz w:val="32"/>
          <w:szCs w:val="32"/>
          <w:u w:val="none" w:color="auto"/>
        </w:rPr>
        <w:t>低空物流等应用场景。加快发展</w:t>
      </w:r>
      <w:r>
        <w:rPr>
          <w:rFonts w:hint="eastAsia" w:ascii="Times New Roman" w:hAnsi="Times New Roman" w:eastAsia="方正仿宋_GBK" w:cs="方正仿宋_GBK"/>
          <w:sz w:val="32"/>
          <w:szCs w:val="32"/>
          <w:highlight w:val="none"/>
          <w:u w:val="none" w:color="auto"/>
        </w:rPr>
        <w:t>以卫星互联网为引领的</w:t>
      </w:r>
      <w:r>
        <w:rPr>
          <w:rFonts w:hint="eastAsia" w:ascii="Times New Roman" w:hAnsi="Times New Roman" w:eastAsia="方正仿宋_GBK"/>
          <w:sz w:val="32"/>
          <w:szCs w:val="32"/>
          <w:u w:val="none" w:color="auto"/>
        </w:rPr>
        <w:t>“空天信息+”产业，</w:t>
      </w:r>
      <w:r>
        <w:rPr>
          <w:rFonts w:hint="eastAsia" w:ascii="Times New Roman" w:hAnsi="Times New Roman" w:eastAsia="方正仿宋_GBK"/>
          <w:sz w:val="32"/>
          <w:szCs w:val="32"/>
          <w:u w:val="none" w:color="auto"/>
          <w:lang w:eastAsia="zh-CN"/>
        </w:rPr>
        <w:t>大力推动</w:t>
      </w:r>
      <w:r>
        <w:rPr>
          <w:rFonts w:hint="eastAsia" w:ascii="Times New Roman" w:hAnsi="Times New Roman" w:eastAsia="方正仿宋_GBK"/>
          <w:sz w:val="32"/>
          <w:szCs w:val="32"/>
          <w:highlight w:val="none"/>
          <w:u w:val="none" w:color="auto"/>
        </w:rPr>
        <w:t>空天产业集群</w:t>
      </w:r>
      <w:r>
        <w:rPr>
          <w:rFonts w:hint="eastAsia" w:ascii="Times New Roman" w:hAnsi="Times New Roman" w:eastAsia="方正仿宋_GBK"/>
          <w:sz w:val="32"/>
          <w:szCs w:val="32"/>
          <w:highlight w:val="none"/>
          <w:u w:val="none" w:color="auto"/>
          <w:lang w:eastAsia="zh-CN"/>
        </w:rPr>
        <w:t>发展</w:t>
      </w:r>
      <w:r>
        <w:rPr>
          <w:rFonts w:hint="eastAsia" w:ascii="Times New Roman" w:hAnsi="Times New Roman" w:eastAsia="方正仿宋_GBK"/>
          <w:sz w:val="32"/>
          <w:szCs w:val="32"/>
          <w:u w:val="none" w:color="auto"/>
        </w:rPr>
        <w:t>。全力创建市级未来产业先导区，培育构建生物医药战略性新兴产业集群，加快新型显示领域产业上下游布局，</w:t>
      </w:r>
      <w:r>
        <w:rPr>
          <w:rFonts w:hint="eastAsia" w:ascii="Times New Roman" w:hAnsi="Times New Roman" w:eastAsia="方正仿宋_GBK"/>
          <w:sz w:val="32"/>
          <w:szCs w:val="32"/>
          <w:u w:val="none" w:color="auto"/>
          <w:lang w:eastAsia="zh-CN"/>
        </w:rPr>
        <w:t>推动机器人产业链基本完善</w:t>
      </w:r>
      <w:r>
        <w:rPr>
          <w:rFonts w:hint="eastAsia" w:ascii="Times New Roman" w:hAnsi="Times New Roman" w:eastAsia="方正仿宋_GBK"/>
          <w:sz w:val="32"/>
          <w:szCs w:val="32"/>
          <w:u w:val="none" w:color="auto"/>
        </w:rPr>
        <w:t>。与</w:t>
      </w:r>
      <w:r>
        <w:rPr>
          <w:rFonts w:hint="eastAsia" w:ascii="Times New Roman" w:hAnsi="Times New Roman" w:eastAsia="方正仿宋_GBK"/>
          <w:sz w:val="32"/>
          <w:szCs w:val="32"/>
          <w:u w:val="none" w:color="auto"/>
          <w:lang w:eastAsia="zh-CN"/>
        </w:rPr>
        <w:t>川渝其他地区</w:t>
      </w:r>
      <w:r>
        <w:rPr>
          <w:rFonts w:hint="eastAsia" w:ascii="Times New Roman" w:hAnsi="Times New Roman" w:eastAsia="方正仿宋_GBK"/>
          <w:sz w:val="32"/>
          <w:szCs w:val="32"/>
          <w:u w:val="none" w:color="auto"/>
        </w:rPr>
        <w:t>联动开展产业合作、产业招商。（</w:t>
      </w:r>
      <w:r>
        <w:rPr>
          <w:rFonts w:hint="eastAsia" w:ascii="Times New Roman" w:hAnsi="Times New Roman" w:eastAsia="方正楷体_GBK" w:cs="方正楷体_GBK"/>
          <w:sz w:val="32"/>
          <w:szCs w:val="32"/>
          <w:u w:val="none" w:color="auto"/>
        </w:rPr>
        <w:t>责任单位：区发展改革委、区经济信息委、区招商投资局、九龙新城园区管委会等</w:t>
      </w:r>
      <w:r>
        <w:rPr>
          <w:rFonts w:hint="eastAsia" w:ascii="Times New Roman" w:hAnsi="Times New Roman" w:eastAsia="方正仿宋_GBK"/>
          <w:sz w:val="32"/>
          <w:szCs w:val="32"/>
          <w:u w:val="none" w:color="auto"/>
        </w:rPr>
        <w:t>）</w:t>
      </w:r>
    </w:p>
    <w:p w14:paraId="4ACDE3A4">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ascii="Times New Roman" w:hAnsi="Times New Roman"/>
          <w:spacing w:val="0"/>
          <w:szCs w:val="32"/>
          <w:u w:val="none" w:color="auto"/>
        </w:rPr>
      </w:pPr>
      <w:r>
        <w:rPr>
          <w:rFonts w:ascii="Times New Roman" w:hAnsi="Times New Roman" w:eastAsia="方正仿宋_GBK"/>
          <w:b/>
          <w:bCs w:val="0"/>
          <w:spacing w:val="0"/>
          <w:szCs w:val="32"/>
          <w:u w:val="none" w:color="auto"/>
        </w:rPr>
        <w:t>3</w:t>
      </w:r>
      <w:r>
        <w:rPr>
          <w:rFonts w:hint="eastAsia" w:ascii="Times New Roman" w:hAnsi="Times New Roman" w:eastAsia="方正仿宋_GBK" w:cs="方正仿宋_GBK"/>
          <w:b/>
          <w:bCs w:val="0"/>
          <w:spacing w:val="0"/>
          <w:szCs w:val="32"/>
          <w:u w:val="none" w:color="auto"/>
        </w:rPr>
        <w:t>.加快推动生产性服务业扩能提质</w:t>
      </w:r>
      <w:r>
        <w:rPr>
          <w:rFonts w:hint="eastAsia" w:ascii="Times New Roman" w:hAnsi="Times New Roman" w:eastAsia="方正仿宋_GBK" w:cs="方正仿宋_GBK"/>
          <w:spacing w:val="0"/>
          <w:szCs w:val="32"/>
          <w:u w:val="none" w:color="auto"/>
        </w:rPr>
        <w:t>。打造全国“两业融合”标杆，完成检验检测认证“两业融合”试点任务。实施“产业集群+物流枢纽”</w:t>
      </w:r>
      <w:r>
        <w:rPr>
          <w:rFonts w:hint="eastAsia" w:ascii="Times New Roman" w:hAnsi="Times New Roman" w:eastAsia="方正仿宋_GBK" w:cs="方正仿宋_GBK"/>
          <w:spacing w:val="0"/>
          <w:szCs w:val="32"/>
          <w:u w:val="none" w:color="auto"/>
          <w:lang w:val="en-US" w:eastAsia="zh-CN"/>
        </w:rPr>
        <w:t>融合发展工程，提速打造多元化物流产业体系</w:t>
      </w:r>
      <w:r>
        <w:rPr>
          <w:rFonts w:hint="eastAsia" w:ascii="Times New Roman" w:hAnsi="Times New Roman" w:eastAsia="方正仿宋_GBK" w:cs="方正仿宋_GBK"/>
          <w:spacing w:val="0"/>
          <w:szCs w:val="32"/>
          <w:u w:val="none" w:color="auto"/>
        </w:rPr>
        <w:t>。深入实施“满天星”行动，</w:t>
      </w:r>
      <w:r>
        <w:rPr>
          <w:rFonts w:hint="eastAsia" w:ascii="Times New Roman" w:hAnsi="Times New Roman" w:eastAsia="方正仿宋_GBK" w:cs="方正仿宋_GBK"/>
          <w:spacing w:val="0"/>
          <w:szCs w:val="32"/>
          <w:highlight w:val="none"/>
          <w:u w:val="none" w:color="auto"/>
        </w:rPr>
        <w:t>推动软件信息领域技术攻关，深化智能体开发应用，</w:t>
      </w:r>
      <w:r>
        <w:rPr>
          <w:rFonts w:hint="eastAsia" w:ascii="Times New Roman" w:hAnsi="Times New Roman" w:eastAsia="方正仿宋_GBK" w:cs="方正仿宋_GBK"/>
          <w:spacing w:val="0"/>
          <w:szCs w:val="32"/>
          <w:u w:val="none" w:color="auto"/>
        </w:rPr>
        <w:t>全区软信产业主营业务收入达</w:t>
      </w:r>
      <w:r>
        <w:rPr>
          <w:rFonts w:hint="eastAsia" w:ascii="Times New Roman" w:hAnsi="Times New Roman"/>
          <w:spacing w:val="0"/>
          <w:szCs w:val="32"/>
          <w:u w:val="none" w:color="auto"/>
        </w:rPr>
        <w:t>600</w:t>
      </w:r>
      <w:r>
        <w:rPr>
          <w:rFonts w:hint="eastAsia" w:ascii="Times New Roman" w:hAnsi="Times New Roman" w:eastAsia="方正仿宋_GBK" w:cs="方正仿宋_GBK"/>
          <w:spacing w:val="0"/>
          <w:szCs w:val="32"/>
          <w:u w:val="none" w:color="auto"/>
        </w:rPr>
        <w:t>亿元。推动重庆产业数字化赋能中心、</w:t>
      </w:r>
      <w:r>
        <w:rPr>
          <w:rFonts w:hint="eastAsia" w:ascii="Times New Roman" w:hAnsi="Times New Roman" w:eastAsia="方正仿宋_GBK" w:cs="方正仿宋_GBK"/>
          <w:spacing w:val="0"/>
          <w:szCs w:val="32"/>
          <w:highlight w:val="none"/>
          <w:u w:val="none" w:color="auto"/>
        </w:rPr>
        <w:t>中试平台</w:t>
      </w:r>
      <w:r>
        <w:rPr>
          <w:rFonts w:hint="eastAsia" w:ascii="Times New Roman" w:hAnsi="Times New Roman" w:eastAsia="方正仿宋_GBK" w:cs="方正仿宋_GBK"/>
          <w:spacing w:val="0"/>
          <w:szCs w:val="32"/>
          <w:u w:val="none" w:color="auto"/>
        </w:rPr>
        <w:t>等重大平台更好赋能川渝地区生产性服务业向专业化和价值链高端延伸。</w:t>
      </w:r>
      <w:r>
        <w:rPr>
          <w:rFonts w:ascii="Times New Roman" w:hAnsi="Times New Roman" w:eastAsia="方正仿宋_GBK"/>
          <w:bCs w:val="0"/>
          <w:spacing w:val="0"/>
          <w:szCs w:val="32"/>
          <w:u w:val="none" w:color="auto"/>
        </w:rPr>
        <w:t>（</w:t>
      </w:r>
      <w:r>
        <w:rPr>
          <w:rFonts w:hint="eastAsia" w:ascii="Times New Roman" w:hAnsi="Times New Roman" w:eastAsia="方正楷体_GBK" w:cs="方正楷体_GBK"/>
          <w:spacing w:val="0"/>
          <w:szCs w:val="32"/>
          <w:u w:val="none" w:color="auto"/>
        </w:rPr>
        <w:t>责任单位：区发展改革委</w:t>
      </w:r>
      <w:r>
        <w:rPr>
          <w:rFonts w:ascii="Times New Roman" w:hAnsi="Times New Roman" w:eastAsia="方正楷体_GBK" w:cs="方正楷体_GBK"/>
          <w:spacing w:val="0"/>
          <w:szCs w:val="32"/>
          <w:u w:val="none" w:color="auto"/>
        </w:rPr>
        <w:t>、</w:t>
      </w:r>
      <w:r>
        <w:rPr>
          <w:rFonts w:hint="eastAsia" w:ascii="Times New Roman" w:hAnsi="Times New Roman" w:eastAsia="方正楷体_GBK" w:cs="方正楷体_GBK"/>
          <w:spacing w:val="0"/>
          <w:szCs w:val="32"/>
          <w:u w:val="none" w:color="auto"/>
        </w:rPr>
        <w:t>区科技局、区经济信息委、区交通运输委、区市场监管局、九龙新城园区管委会等</w:t>
      </w:r>
      <w:r>
        <w:rPr>
          <w:rFonts w:ascii="Times New Roman" w:hAnsi="Times New Roman" w:eastAsia="方正仿宋_GBK"/>
          <w:spacing w:val="0"/>
          <w:szCs w:val="32"/>
          <w:u w:val="none" w:color="auto"/>
          <w:lang w:bidi="ar"/>
        </w:rPr>
        <w:t>）</w:t>
      </w:r>
    </w:p>
    <w:p w14:paraId="774D6C9D">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（二）实施科技创新能力突破行动</w:t>
      </w:r>
    </w:p>
    <w:p w14:paraId="3838FA16">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textAlignment w:val="baseline"/>
        <w:rPr>
          <w:rFonts w:ascii="Times New Roman" w:hAnsi="Times New Roman" w:eastAsia="方正仿宋_GBK" w:cs="方正仿宋_GBK"/>
          <w:bCs/>
          <w:sz w:val="32"/>
          <w:szCs w:val="32"/>
          <w:u w:val="none" w:color="auto"/>
        </w:rPr>
      </w:pPr>
      <w:r>
        <w:rPr>
          <w:rFonts w:hint="eastAsia" w:ascii="Times New Roman" w:hAnsi="Times New Roman" w:eastAsia="方正仿宋_GBK" w:cs="方正仿宋_GBK"/>
          <w:bCs/>
          <w:sz w:val="32"/>
          <w:szCs w:val="32"/>
          <w:u w:val="none" w:color="auto"/>
        </w:rPr>
        <w:t>以成渝中线科创走廊为牵引优化“</w:t>
      </w:r>
      <w:r>
        <w:rPr>
          <w:rFonts w:hint="eastAsia" w:ascii="Times New Roman" w:hAnsi="Times New Roman"/>
          <w:bCs/>
          <w:sz w:val="32"/>
          <w:szCs w:val="32"/>
          <w:u w:val="none" w:color="auto"/>
        </w:rPr>
        <w:t>411</w:t>
      </w:r>
      <w:r>
        <w:rPr>
          <w:rFonts w:hint="eastAsia" w:ascii="Times New Roman" w:hAnsi="Times New Roman" w:eastAsia="方正仿宋_GBK" w:cs="方正仿宋_GBK"/>
          <w:bCs/>
          <w:sz w:val="32"/>
          <w:szCs w:val="32"/>
          <w:u w:val="none" w:color="auto"/>
        </w:rPr>
        <w:t>”科技创新布局，到</w:t>
      </w:r>
      <w:r>
        <w:rPr>
          <w:rFonts w:hint="eastAsia" w:ascii="Times New Roman" w:hAnsi="Times New Roman"/>
          <w:bCs/>
          <w:sz w:val="32"/>
          <w:szCs w:val="32"/>
          <w:u w:val="none" w:color="auto"/>
        </w:rPr>
        <w:t>2030</w:t>
      </w:r>
      <w:r>
        <w:rPr>
          <w:rFonts w:hint="eastAsia" w:ascii="Times New Roman" w:hAnsi="Times New Roman" w:eastAsia="方正仿宋_GBK" w:cs="方正仿宋_GBK"/>
          <w:bCs/>
          <w:sz w:val="32"/>
          <w:szCs w:val="32"/>
          <w:u w:val="none" w:color="auto"/>
        </w:rPr>
        <w:t>年，市级及以上创新平台数量达</w:t>
      </w:r>
      <w:r>
        <w:rPr>
          <w:rFonts w:hint="eastAsia" w:ascii="Times New Roman" w:hAnsi="Times New Roman"/>
          <w:bCs/>
          <w:sz w:val="32"/>
          <w:szCs w:val="32"/>
          <w:u w:val="none" w:color="auto"/>
        </w:rPr>
        <w:t>560</w:t>
      </w:r>
      <w:r>
        <w:rPr>
          <w:rFonts w:hint="eastAsia" w:ascii="Times New Roman" w:hAnsi="Times New Roman" w:eastAsia="方正仿宋_GBK" w:cs="方正仿宋_GBK"/>
          <w:bCs/>
          <w:sz w:val="32"/>
          <w:szCs w:val="32"/>
          <w:u w:val="none" w:color="auto"/>
        </w:rPr>
        <w:t>个，科技型企业、高新技术企业数量分别达</w:t>
      </w:r>
      <w:r>
        <w:rPr>
          <w:rFonts w:hint="eastAsia" w:ascii="Times New Roman" w:hAnsi="Times New Roman"/>
          <w:bCs/>
          <w:sz w:val="32"/>
          <w:szCs w:val="32"/>
          <w:u w:val="none" w:color="auto"/>
        </w:rPr>
        <w:t>6500</w:t>
      </w:r>
      <w:r>
        <w:rPr>
          <w:rFonts w:hint="eastAsia" w:ascii="Times New Roman" w:hAnsi="Times New Roman" w:eastAsia="方正仿宋_GBK" w:cs="方正仿宋_GBK"/>
          <w:bCs/>
          <w:sz w:val="32"/>
          <w:szCs w:val="32"/>
          <w:u w:val="none" w:color="auto"/>
        </w:rPr>
        <w:t>家、</w:t>
      </w:r>
      <w:r>
        <w:rPr>
          <w:rFonts w:hint="eastAsia" w:ascii="Times New Roman" w:hAnsi="Times New Roman"/>
          <w:bCs/>
          <w:sz w:val="32"/>
          <w:szCs w:val="32"/>
          <w:u w:val="none" w:color="auto"/>
        </w:rPr>
        <w:t>1200</w:t>
      </w:r>
      <w:r>
        <w:rPr>
          <w:rFonts w:hint="eastAsia" w:ascii="Times New Roman" w:hAnsi="Times New Roman" w:eastAsia="方正仿宋_GBK" w:cs="方正仿宋_GBK"/>
          <w:bCs/>
          <w:sz w:val="32"/>
          <w:szCs w:val="32"/>
          <w:u w:val="none" w:color="auto"/>
        </w:rPr>
        <w:t>家。</w:t>
      </w:r>
    </w:p>
    <w:p w14:paraId="02D13933">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4</w:t>
      </w:r>
      <w:r>
        <w:rPr>
          <w:rFonts w:hint="eastAsia" w:ascii="Times New Roman" w:hAnsi="Times New Roman" w:eastAsia="方正仿宋_GBK" w:cs="方正仿宋_GBK"/>
          <w:b/>
          <w:sz w:val="32"/>
          <w:szCs w:val="32"/>
          <w:u w:val="none" w:color="auto"/>
        </w:rPr>
        <w:t>.增强科技创新策源能力</w:t>
      </w:r>
      <w:r>
        <w:rPr>
          <w:rFonts w:hint="eastAsia" w:ascii="Times New Roman" w:hAnsi="Times New Roman" w:eastAsia="方正仿宋_GBK" w:cs="方正仿宋_GBK"/>
          <w:bCs/>
          <w:sz w:val="32"/>
          <w:szCs w:val="32"/>
          <w:u w:val="none" w:color="auto"/>
        </w:rPr>
        <w:t>。推进国家、市级及行业实验室体系建设，布局工业智能体等前沿方向科技攻关任务。力争创建轻合金材料、氢能等领域国家级高能级</w:t>
      </w:r>
      <w:r>
        <w:rPr>
          <w:rFonts w:hint="eastAsia" w:ascii="Times New Roman" w:hAnsi="Times New Roman" w:eastAsia="方正仿宋_GBK" w:cs="方正仿宋_GBK"/>
          <w:bCs/>
          <w:sz w:val="32"/>
          <w:szCs w:val="32"/>
          <w:u w:val="none" w:color="auto"/>
          <w:lang w:val="en-US" w:eastAsia="zh-CN"/>
        </w:rPr>
        <w:t>创新</w:t>
      </w:r>
      <w:r>
        <w:rPr>
          <w:rFonts w:hint="eastAsia" w:ascii="Times New Roman" w:hAnsi="Times New Roman" w:eastAsia="方正仿宋_GBK" w:cs="方正仿宋_GBK"/>
          <w:bCs/>
          <w:sz w:val="32"/>
          <w:szCs w:val="32"/>
          <w:u w:val="none" w:color="auto"/>
        </w:rPr>
        <w:t>平台，市级及以上创新平台数量达</w:t>
      </w:r>
      <w:r>
        <w:rPr>
          <w:rFonts w:hint="eastAsia" w:ascii="Times New Roman" w:hAnsi="Times New Roman" w:eastAsia="方正仿宋_GBK"/>
          <w:bCs/>
          <w:sz w:val="32"/>
          <w:szCs w:val="32"/>
          <w:u w:val="none" w:color="auto"/>
        </w:rPr>
        <w:t>560</w:t>
      </w:r>
      <w:r>
        <w:rPr>
          <w:rFonts w:hint="eastAsia" w:ascii="Times New Roman" w:hAnsi="Times New Roman" w:eastAsia="方正仿宋_GBK" w:cs="方正仿宋_GBK"/>
          <w:bCs/>
          <w:sz w:val="32"/>
          <w:szCs w:val="32"/>
          <w:u w:val="none" w:color="auto"/>
        </w:rPr>
        <w:t>个。助力成渝中线科创走廊建设，布局建设集技术研发、概念验证、中试熟化、成果孵化等于一体的创新平台，新评定高水平科技企业孵化器</w:t>
      </w:r>
      <w:r>
        <w:rPr>
          <w:rFonts w:hint="eastAsia" w:ascii="Times New Roman" w:hAnsi="Times New Roman" w:eastAsia="方正仿宋_GBK"/>
          <w:bCs/>
          <w:sz w:val="32"/>
          <w:szCs w:val="32"/>
          <w:u w:val="none" w:color="auto"/>
        </w:rPr>
        <w:t>5</w:t>
      </w:r>
      <w:r>
        <w:rPr>
          <w:rFonts w:hint="eastAsia" w:ascii="Times New Roman" w:hAnsi="Times New Roman" w:eastAsia="方正仿宋_GBK" w:cs="方正仿宋_GBK"/>
          <w:bCs/>
          <w:sz w:val="32"/>
          <w:szCs w:val="32"/>
          <w:u w:val="none" w:color="auto"/>
        </w:rPr>
        <w:t>个。深化与北京、上海、粤港澳大湾区科技创新中心交流合作，积极吸引和对接全球创新资源。</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责任单位：区科技局、区经济信息委等</w:t>
      </w:r>
      <w:r>
        <w:rPr>
          <w:rFonts w:ascii="Times New Roman" w:hAnsi="Times New Roman" w:eastAsia="方正仿宋_GBK"/>
          <w:sz w:val="32"/>
          <w:szCs w:val="32"/>
          <w:u w:val="none" w:color="auto"/>
          <w:lang w:bidi="ar"/>
        </w:rPr>
        <w:t>）</w:t>
      </w:r>
    </w:p>
    <w:p w14:paraId="24D390C5">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5</w:t>
      </w:r>
      <w:r>
        <w:rPr>
          <w:rFonts w:hint="eastAsia" w:ascii="Times New Roman" w:hAnsi="Times New Roman" w:eastAsia="方正仿宋_GBK" w:cs="方正仿宋_GBK"/>
          <w:b/>
          <w:sz w:val="32"/>
          <w:szCs w:val="32"/>
          <w:u w:val="none" w:color="auto"/>
        </w:rPr>
        <w:t>.深化科技赋能产业创新</w:t>
      </w:r>
      <w:r>
        <w:rPr>
          <w:rFonts w:hint="eastAsia" w:ascii="Times New Roman" w:hAnsi="Times New Roman" w:eastAsia="方正仿宋_GBK" w:cs="方正仿宋_GBK"/>
          <w:bCs/>
          <w:sz w:val="32"/>
          <w:szCs w:val="32"/>
          <w:u w:val="none" w:color="auto"/>
        </w:rPr>
        <w:t>。有效促进“</w:t>
      </w:r>
      <w:r>
        <w:rPr>
          <w:rFonts w:hint="eastAsia" w:ascii="Times New Roman" w:hAnsi="Times New Roman"/>
          <w:bCs/>
          <w:sz w:val="32"/>
          <w:szCs w:val="32"/>
          <w:u w:val="none" w:color="auto"/>
        </w:rPr>
        <w:t>248X</w:t>
      </w:r>
      <w:r>
        <w:rPr>
          <w:rFonts w:hint="eastAsia" w:ascii="Times New Roman" w:hAnsi="Times New Roman" w:eastAsia="方正仿宋_GBK" w:cs="方正仿宋_GBK"/>
          <w:bCs/>
          <w:sz w:val="32"/>
          <w:szCs w:val="32"/>
          <w:u w:val="none" w:color="auto"/>
        </w:rPr>
        <w:t>”现代制造业集群体系与“</w:t>
      </w:r>
      <w:r>
        <w:rPr>
          <w:rFonts w:hint="eastAsia" w:ascii="Times New Roman" w:hAnsi="Times New Roman"/>
          <w:bCs/>
          <w:sz w:val="32"/>
          <w:szCs w:val="32"/>
          <w:u w:val="none" w:color="auto"/>
        </w:rPr>
        <w:t>411</w:t>
      </w:r>
      <w:r>
        <w:rPr>
          <w:rFonts w:hint="eastAsia" w:ascii="Times New Roman" w:hAnsi="Times New Roman" w:eastAsia="方正仿宋_GBK" w:cs="方正仿宋_GBK"/>
          <w:bCs/>
          <w:sz w:val="32"/>
          <w:szCs w:val="32"/>
          <w:u w:val="none" w:color="auto"/>
        </w:rPr>
        <w:t>”科技创新布局深度融合，协同</w:t>
      </w:r>
      <w:r>
        <w:rPr>
          <w:rFonts w:hint="eastAsia" w:ascii="Times New Roman" w:hAnsi="Times New Roman" w:eastAsia="方正仿宋_GBK" w:cs="方正仿宋_GBK"/>
          <w:bCs/>
          <w:sz w:val="32"/>
          <w:szCs w:val="32"/>
          <w:u w:val="none" w:color="auto"/>
          <w:lang w:eastAsia="zh-CN"/>
        </w:rPr>
        <w:t>融入</w:t>
      </w:r>
      <w:r>
        <w:rPr>
          <w:rFonts w:hint="eastAsia" w:ascii="Times New Roman" w:hAnsi="Times New Roman" w:eastAsia="方正仿宋_GBK" w:cs="方正仿宋_GBK"/>
          <w:bCs/>
          <w:sz w:val="32"/>
          <w:szCs w:val="32"/>
          <w:u w:val="none" w:color="auto"/>
        </w:rPr>
        <w:t>全国重要产业创新策源地</w:t>
      </w:r>
      <w:r>
        <w:rPr>
          <w:rFonts w:hint="eastAsia" w:ascii="Times New Roman" w:hAnsi="Times New Roman" w:eastAsia="方正仿宋_GBK" w:cs="方正仿宋_GBK"/>
          <w:bCs/>
          <w:sz w:val="32"/>
          <w:szCs w:val="32"/>
          <w:u w:val="none" w:color="auto"/>
          <w:lang w:eastAsia="zh-CN"/>
        </w:rPr>
        <w:t>建设</w:t>
      </w:r>
      <w:r>
        <w:rPr>
          <w:rFonts w:hint="eastAsia" w:ascii="Times New Roman" w:hAnsi="Times New Roman" w:eastAsia="方正仿宋_GBK" w:cs="方正仿宋_GBK"/>
          <w:bCs/>
          <w:sz w:val="32"/>
          <w:szCs w:val="32"/>
          <w:u w:val="none" w:color="auto"/>
        </w:rPr>
        <w:t>。加快培育</w:t>
      </w:r>
      <w:r>
        <w:rPr>
          <w:rFonts w:hint="eastAsia" w:ascii="Times New Roman" w:hAnsi="Times New Roman" w:eastAsia="方正仿宋_GBK" w:cs="方正仿宋_GBK"/>
          <w:bCs/>
          <w:sz w:val="32"/>
          <w:szCs w:val="32"/>
          <w:u w:val="none" w:color="auto"/>
          <w:lang w:eastAsia="zh-CN"/>
        </w:rPr>
        <w:t>一批</w:t>
      </w:r>
      <w:r>
        <w:rPr>
          <w:rFonts w:hint="eastAsia" w:ascii="Times New Roman" w:hAnsi="Times New Roman" w:eastAsia="方正仿宋_GBK" w:cs="方正仿宋_GBK"/>
          <w:bCs/>
          <w:sz w:val="32"/>
          <w:szCs w:val="32"/>
          <w:u w:val="none" w:color="auto"/>
        </w:rPr>
        <w:t>科技领军企业，推动科创板上市企业实现突破。</w:t>
      </w:r>
      <w:r>
        <w:rPr>
          <w:rFonts w:hint="eastAsia" w:ascii="Times New Roman" w:hAnsi="Times New Roman" w:eastAsia="方正仿宋_GBK" w:cs="方正仿宋_GBK"/>
          <w:color w:val="auto"/>
          <w:sz w:val="32"/>
          <w:szCs w:val="32"/>
          <w:highlight w:val="none"/>
          <w:u w:val="none" w:color="auto"/>
          <w:lang w:val="en-US" w:eastAsia="zh-CN"/>
        </w:rPr>
        <w:t>引导企业加大研发投入，</w:t>
      </w:r>
      <w:r>
        <w:rPr>
          <w:rFonts w:hint="eastAsia" w:ascii="Times New Roman" w:hAnsi="Times New Roman" w:eastAsia="方正仿宋_GBK" w:cs="方正仿宋_GBK"/>
          <w:bCs/>
          <w:sz w:val="32"/>
          <w:szCs w:val="32"/>
          <w:u w:val="none" w:color="auto"/>
        </w:rPr>
        <w:t>推动研发准备金制度应建尽建、研发费用加计扣除等优惠政策直达快享，规上工业企业研发投入超</w:t>
      </w:r>
      <w:r>
        <w:rPr>
          <w:rFonts w:hint="eastAsia" w:ascii="Times New Roman" w:hAnsi="Times New Roman"/>
          <w:bCs/>
          <w:sz w:val="32"/>
          <w:szCs w:val="32"/>
          <w:u w:val="none" w:color="auto"/>
        </w:rPr>
        <w:t>70</w:t>
      </w:r>
      <w:r>
        <w:rPr>
          <w:rFonts w:hint="eastAsia" w:ascii="Times New Roman" w:hAnsi="Times New Roman" w:eastAsia="方正仿宋_GBK" w:cs="方正仿宋_GBK"/>
          <w:bCs/>
          <w:sz w:val="32"/>
          <w:szCs w:val="32"/>
          <w:u w:val="none" w:color="auto"/>
        </w:rPr>
        <w:t>亿元。</w:t>
      </w:r>
      <w:r>
        <w:rPr>
          <w:rFonts w:hint="eastAsia" w:ascii="Times New Roman" w:hAnsi="Times New Roman" w:eastAsia="方正仿宋_GBK" w:cs="方正仿宋_GBK"/>
          <w:bCs/>
          <w:sz w:val="32"/>
          <w:szCs w:val="32"/>
          <w:highlight w:val="none"/>
          <w:u w:val="none" w:color="auto"/>
        </w:rPr>
        <w:t>积极</w:t>
      </w:r>
      <w:r>
        <w:rPr>
          <w:rFonts w:hint="eastAsia" w:ascii="Times New Roman" w:hAnsi="Times New Roman" w:eastAsia="方正仿宋_GBK" w:cs="方正仿宋_GBK"/>
          <w:bCs/>
          <w:sz w:val="32"/>
          <w:szCs w:val="32"/>
          <w:highlight w:val="none"/>
          <w:u w:val="none" w:color="auto"/>
          <w:lang w:eastAsia="zh-CN"/>
        </w:rPr>
        <w:t>申报</w:t>
      </w:r>
      <w:r>
        <w:rPr>
          <w:rFonts w:hint="eastAsia" w:ascii="Times New Roman" w:hAnsi="Times New Roman" w:eastAsia="方正仿宋_GBK" w:cs="方正仿宋_GBK"/>
          <w:bCs/>
          <w:sz w:val="32"/>
          <w:szCs w:val="32"/>
          <w:highlight w:val="none"/>
          <w:u w:val="none" w:color="auto"/>
        </w:rPr>
        <w:t>川渝科技创新合作专项</w:t>
      </w:r>
      <w:r>
        <w:rPr>
          <w:rFonts w:hint="eastAsia" w:ascii="Times New Roman" w:hAnsi="Times New Roman" w:eastAsia="方正仿宋_GBK" w:cs="方正仿宋_GBK"/>
          <w:bCs/>
          <w:sz w:val="32"/>
          <w:szCs w:val="32"/>
          <w:u w:val="none" w:color="auto"/>
        </w:rPr>
        <w:t>，强化枢纽港产业园九龙新城集聚创新资源功能。联动</w:t>
      </w:r>
      <w:r>
        <w:rPr>
          <w:rFonts w:hint="eastAsia" w:ascii="Times New Roman" w:hAnsi="Times New Roman" w:eastAsia="方正仿宋_GBK" w:cs="方正仿宋_GBK"/>
          <w:bCs/>
          <w:sz w:val="32"/>
          <w:szCs w:val="32"/>
          <w:u w:val="none" w:color="auto"/>
          <w:lang w:eastAsia="zh-CN"/>
        </w:rPr>
        <w:t>川渝其他地区</w:t>
      </w:r>
      <w:r>
        <w:rPr>
          <w:rFonts w:hint="eastAsia" w:ascii="Times New Roman" w:hAnsi="Times New Roman" w:eastAsia="方正仿宋_GBK" w:cs="方正仿宋_GBK"/>
          <w:bCs/>
          <w:sz w:val="32"/>
          <w:szCs w:val="32"/>
          <w:u w:val="none" w:color="auto"/>
        </w:rPr>
        <w:t>持续举办质量创新成果发布等活动，探索共建氢能技术创新中心、轻合金技术创新中心，打造学科内涵关联、空间分布集聚的创新集群。</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责任单位：区科技局、区经济信息委、区市场监管局等</w:t>
      </w:r>
      <w:r>
        <w:rPr>
          <w:rFonts w:ascii="Times New Roman" w:hAnsi="Times New Roman" w:eastAsia="方正仿宋_GBK"/>
          <w:sz w:val="32"/>
          <w:szCs w:val="32"/>
          <w:u w:val="none" w:color="auto"/>
          <w:lang w:bidi="ar"/>
        </w:rPr>
        <w:t>）</w:t>
      </w:r>
    </w:p>
    <w:p w14:paraId="304335C9">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hint="eastAsia" w:ascii="Times New Roman" w:hAnsi="Times New Roman"/>
          <w:sz w:val="32"/>
          <w:szCs w:val="32"/>
          <w:u w:val="none" w:color="auto"/>
        </w:rPr>
      </w:pPr>
      <w:r>
        <w:rPr>
          <w:rFonts w:ascii="Times New Roman" w:hAnsi="Times New Roman" w:eastAsia="方正仿宋_GBK"/>
          <w:b/>
          <w:sz w:val="32"/>
          <w:szCs w:val="32"/>
          <w:u w:val="none" w:color="auto"/>
        </w:rPr>
        <w:t>6</w:t>
      </w:r>
      <w:r>
        <w:rPr>
          <w:rFonts w:ascii="Times New Roman" w:hAnsi="Times New Roman" w:eastAsia="方正仿宋_GBK" w:cs="方正仿宋_GBK"/>
          <w:b/>
          <w:sz w:val="32"/>
          <w:szCs w:val="32"/>
          <w:u w:val="none" w:color="auto"/>
        </w:rPr>
        <w:t>.</w:t>
      </w:r>
      <w:r>
        <w:rPr>
          <w:rFonts w:hint="eastAsia" w:ascii="Times New Roman" w:hAnsi="Times New Roman" w:eastAsia="方正仿宋_GBK" w:cs="方正仿宋_GBK"/>
          <w:b/>
          <w:sz w:val="32"/>
          <w:szCs w:val="32"/>
          <w:u w:val="none" w:color="auto"/>
        </w:rPr>
        <w:t>融入成渝教育科技人才一体化发展新格局</w:t>
      </w:r>
      <w:r>
        <w:rPr>
          <w:rFonts w:hint="eastAsia" w:ascii="Times New Roman" w:hAnsi="Times New Roman" w:eastAsia="方正仿宋_GBK" w:cs="方正仿宋_GBK"/>
          <w:bCs/>
          <w:sz w:val="32"/>
          <w:szCs w:val="32"/>
          <w:u w:val="none" w:color="auto"/>
        </w:rPr>
        <w:t>。推动人才培养供给侧与产业需求侧精准对接，实战化培养一批拔尖创新人才。聚焦工业智能体等前沿领域和重点产业“卡脖子”技术环节，新引进高水平创新团队</w:t>
      </w:r>
      <w:r>
        <w:rPr>
          <w:rFonts w:ascii="Times New Roman" w:hAnsi="Times New Roman" w:eastAsia="方正仿宋_GBK"/>
          <w:bCs/>
          <w:sz w:val="32"/>
          <w:szCs w:val="32"/>
          <w:u w:val="none" w:color="auto"/>
        </w:rPr>
        <w:t>15</w:t>
      </w:r>
      <w:r>
        <w:rPr>
          <w:rFonts w:hint="eastAsia" w:ascii="Times New Roman" w:hAnsi="Times New Roman" w:eastAsia="方正仿宋_GBK" w:cs="方正仿宋_GBK"/>
          <w:bCs/>
          <w:sz w:val="32"/>
          <w:szCs w:val="32"/>
          <w:u w:val="none" w:color="auto"/>
        </w:rPr>
        <w:t>个以上。落实青年科技人才担纲创新培优行动，吸引卓越工程师和青创人才集聚，高技能人才总量突破</w:t>
      </w:r>
      <w:r>
        <w:rPr>
          <w:rFonts w:hint="eastAsia" w:ascii="Times New Roman" w:hAnsi="Times New Roman" w:eastAsia="方正仿宋_GBK"/>
          <w:bCs/>
          <w:sz w:val="32"/>
          <w:szCs w:val="32"/>
          <w:u w:val="none" w:color="auto"/>
        </w:rPr>
        <w:t>8</w:t>
      </w:r>
      <w:r>
        <w:rPr>
          <w:rFonts w:hint="eastAsia" w:ascii="Times New Roman" w:hAnsi="Times New Roman" w:eastAsia="方正仿宋_GBK" w:cs="方正仿宋_GBK"/>
          <w:bCs/>
          <w:sz w:val="32"/>
          <w:szCs w:val="32"/>
          <w:u w:val="none" w:color="auto"/>
        </w:rPr>
        <w:t>万人。积极创建知识产权强国建设示范区。落实川渝高校学科共建共享工程，深化优势学科建设、人才联合培养、科研成果转化等合作，构建产学研用协同创新生态。</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责任单位：区委组织部、区教委、区科技局、区经济信息委、区人力社保局</w:t>
      </w:r>
      <w:r>
        <w:rPr>
          <w:rFonts w:ascii="Times New Roman" w:hAnsi="Times New Roman" w:eastAsia="方正楷体_GBK" w:cs="方正楷体_GBK"/>
          <w:sz w:val="32"/>
          <w:szCs w:val="32"/>
          <w:u w:val="none" w:color="auto"/>
        </w:rPr>
        <w:t>等</w:t>
      </w:r>
      <w:r>
        <w:rPr>
          <w:rFonts w:ascii="Times New Roman" w:hAnsi="Times New Roman" w:eastAsia="方正楷体_GBK" w:cs="方正楷体_GBK"/>
          <w:sz w:val="32"/>
          <w:szCs w:val="32"/>
          <w:u w:val="none" w:color="auto"/>
          <w:lang w:bidi="ar"/>
        </w:rPr>
        <w:t>）</w:t>
      </w:r>
    </w:p>
    <w:p w14:paraId="4942295E">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（三）实施现代基础设施网络巩固加密行动</w:t>
      </w:r>
    </w:p>
    <w:p w14:paraId="72ADF62D">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jc w:val="left"/>
        <w:rPr>
          <w:rFonts w:hint="eastAsia" w:ascii="Times New Roman" w:hAnsi="Times New Roman" w:eastAsia="方正仿宋_GBK" w:cs="方正仿宋_GBK"/>
          <w:bCs/>
          <w:sz w:val="32"/>
          <w:szCs w:val="32"/>
          <w:u w:val="none" w:color="auto"/>
        </w:rPr>
      </w:pPr>
      <w:r>
        <w:rPr>
          <w:rFonts w:ascii="Times New Roman" w:hAnsi="Times New Roman" w:eastAsia="方正仿宋_GBK"/>
          <w:sz w:val="32"/>
          <w:szCs w:val="32"/>
          <w:u w:val="none" w:color="auto"/>
        </w:rPr>
        <w:t>合力构建系统完备、高效实用、智能绿色、安全可靠的现代基础设施网络，</w:t>
      </w:r>
      <w:r>
        <w:rPr>
          <w:rFonts w:hint="eastAsia" w:ascii="Times New Roman" w:hAnsi="Times New Roman" w:eastAsia="方正仿宋_GBK" w:cs="方正仿宋_GBK"/>
          <w:bCs/>
          <w:sz w:val="32"/>
          <w:szCs w:val="32"/>
          <w:u w:val="none" w:color="auto"/>
        </w:rPr>
        <w:t>到</w:t>
      </w:r>
      <w:r>
        <w:rPr>
          <w:rFonts w:ascii="Times New Roman" w:hAnsi="Times New Roman" w:eastAsia="方正仿宋_GBK"/>
          <w:bCs/>
          <w:sz w:val="32"/>
          <w:szCs w:val="32"/>
          <w:u w:val="none" w:color="auto"/>
        </w:rPr>
        <w:t>2030</w:t>
      </w:r>
      <w:r>
        <w:rPr>
          <w:rFonts w:hint="eastAsia" w:ascii="Times New Roman" w:hAnsi="Times New Roman" w:eastAsia="方正仿宋_GBK" w:cs="方正仿宋_GBK"/>
          <w:bCs/>
          <w:sz w:val="32"/>
          <w:szCs w:val="32"/>
          <w:u w:val="none" w:color="auto"/>
        </w:rPr>
        <w:t>年，</w:t>
      </w:r>
      <w:r>
        <w:rPr>
          <w:rFonts w:hint="eastAsia" w:ascii="Times New Roman" w:hAnsi="Times New Roman" w:eastAsia="方正仿宋_GBK" w:cs="方正仿宋_GBK"/>
          <w:bCs/>
          <w:sz w:val="32"/>
          <w:szCs w:val="32"/>
          <w:u w:val="none" w:color="auto"/>
          <w:lang w:val="en-US" w:eastAsia="zh-CN"/>
        </w:rPr>
        <w:t>城市</w:t>
      </w:r>
      <w:r>
        <w:rPr>
          <w:rFonts w:hint="eastAsia" w:ascii="Times New Roman" w:hAnsi="Times New Roman" w:eastAsia="方正仿宋_GBK" w:cs="方正仿宋_GBK"/>
          <w:bCs/>
          <w:color w:val="auto"/>
          <w:kern w:val="2"/>
          <w:sz w:val="32"/>
          <w:szCs w:val="32"/>
          <w:highlight w:val="none"/>
          <w:u w:val="none" w:color="auto"/>
          <w:lang w:val="en-US" w:eastAsia="zh-CN" w:bidi="ar"/>
        </w:rPr>
        <w:t>建成区</w:t>
      </w:r>
      <w:r>
        <w:rPr>
          <w:rFonts w:hint="eastAsia" w:ascii="Times New Roman" w:hAnsi="Times New Roman" w:eastAsia="方正仿宋_GBK" w:cs="方正仿宋_GBK"/>
          <w:bCs/>
          <w:sz w:val="32"/>
          <w:szCs w:val="32"/>
          <w:u w:val="none" w:color="auto"/>
        </w:rPr>
        <w:t>路网密度达</w:t>
      </w:r>
      <w:r>
        <w:rPr>
          <w:rFonts w:hint="eastAsia" w:ascii="Times New Roman" w:hAnsi="Times New Roman" w:eastAsia="方正仿宋_GBK"/>
          <w:bCs/>
          <w:sz w:val="32"/>
          <w:szCs w:val="32"/>
          <w:u w:val="none" w:color="auto"/>
        </w:rPr>
        <w:t>8</w:t>
      </w:r>
      <w:r>
        <w:rPr>
          <w:rFonts w:hint="eastAsia" w:ascii="Times New Roman" w:hAnsi="Times New Roman" w:eastAsia="方正仿宋_GBK" w:cs="方正仿宋_GBK"/>
          <w:bCs/>
          <w:sz w:val="32"/>
          <w:szCs w:val="32"/>
          <w:u w:val="none" w:color="auto"/>
        </w:rPr>
        <w:t>千米/平方公里，黄磏港货运量达</w:t>
      </w:r>
      <w:r>
        <w:rPr>
          <w:rFonts w:hint="eastAsia" w:ascii="Times New Roman" w:hAnsi="Times New Roman" w:eastAsia="方正仿宋_GBK"/>
          <w:bCs/>
          <w:sz w:val="32"/>
          <w:szCs w:val="32"/>
          <w:u w:val="none" w:color="auto"/>
        </w:rPr>
        <w:t>250</w:t>
      </w:r>
      <w:r>
        <w:rPr>
          <w:rFonts w:hint="eastAsia" w:ascii="Times New Roman" w:hAnsi="Times New Roman" w:eastAsia="方正仿宋_GBK" w:cs="方正仿宋_GBK"/>
          <w:bCs/>
          <w:sz w:val="32"/>
          <w:szCs w:val="32"/>
          <w:u w:val="none" w:color="auto"/>
        </w:rPr>
        <w:t>万吨以上。</w:t>
      </w:r>
    </w:p>
    <w:p w14:paraId="6D1BFB38">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7</w:t>
      </w:r>
      <w:r>
        <w:rPr>
          <w:rFonts w:hint="eastAsia" w:ascii="Times New Roman" w:hAnsi="Times New Roman" w:eastAsia="方正仿宋_GBK" w:cs="方正仿宋_GBK"/>
          <w:b/>
          <w:sz w:val="32"/>
          <w:szCs w:val="32"/>
          <w:u w:val="none" w:color="auto"/>
        </w:rPr>
        <w:t>.提升</w:t>
      </w:r>
      <w:r>
        <w:rPr>
          <w:rFonts w:ascii="Times New Roman" w:hAnsi="Times New Roman" w:eastAsia="方正仿宋_GBK" w:cs="方正仿宋_GBK"/>
          <w:b/>
          <w:sz w:val="32"/>
          <w:szCs w:val="32"/>
          <w:u w:val="none" w:color="auto"/>
        </w:rPr>
        <w:t>新型基础设施</w:t>
      </w:r>
      <w:r>
        <w:rPr>
          <w:rFonts w:hint="eastAsia" w:ascii="Times New Roman" w:hAnsi="Times New Roman" w:eastAsia="方正仿宋_GBK" w:cs="方正仿宋_GBK"/>
          <w:b/>
          <w:sz w:val="32"/>
          <w:szCs w:val="32"/>
          <w:u w:val="none" w:color="auto"/>
        </w:rPr>
        <w:t>服务能级</w:t>
      </w:r>
      <w:r>
        <w:rPr>
          <w:rFonts w:ascii="Times New Roman" w:hAnsi="Times New Roman" w:eastAsia="方正仿宋_GBK"/>
          <w:b/>
          <w:bCs/>
          <w:sz w:val="32"/>
          <w:szCs w:val="32"/>
          <w:u w:val="none" w:color="auto"/>
        </w:rPr>
        <w:t>。</w:t>
      </w:r>
      <w:r>
        <w:rPr>
          <w:rFonts w:hint="eastAsia" w:ascii="Times New Roman" w:hAnsi="Times New Roman" w:eastAsia="方正仿宋_GBK"/>
          <w:b w:val="0"/>
          <w:bCs w:val="0"/>
          <w:sz w:val="32"/>
          <w:szCs w:val="32"/>
          <w:u w:val="none" w:color="auto"/>
          <w:lang w:val="en-US" w:eastAsia="zh-CN"/>
        </w:rPr>
        <w:t>加快双千兆网络向双万兆网络演进升级，推广视联网等新型网络技术，适时启动6G网络商用。</w:t>
      </w:r>
      <w:r>
        <w:rPr>
          <w:rFonts w:hint="eastAsia" w:ascii="Times New Roman" w:hAnsi="Times New Roman" w:eastAsia="方正仿宋_GBK" w:cs="方正仿宋_GBK"/>
          <w:bCs/>
          <w:sz w:val="32"/>
          <w:szCs w:val="32"/>
          <w:u w:val="none" w:color="auto"/>
        </w:rPr>
        <w:t>支持“</w:t>
      </w:r>
      <w:r>
        <w:rPr>
          <w:rFonts w:hint="eastAsia" w:ascii="Times New Roman" w:hAnsi="Times New Roman" w:eastAsia="方正仿宋_GBK"/>
          <w:bCs/>
          <w:sz w:val="32"/>
          <w:szCs w:val="32"/>
          <w:u w:val="none" w:color="auto"/>
        </w:rPr>
        <w:t>5G</w:t>
      </w:r>
      <w:r>
        <w:rPr>
          <w:rFonts w:hint="eastAsia" w:ascii="Times New Roman" w:hAnsi="Times New Roman" w:eastAsia="方正仿宋_GBK" w:cs="方正仿宋_GBK"/>
          <w:bCs/>
          <w:sz w:val="32"/>
          <w:szCs w:val="32"/>
          <w:u w:val="none" w:color="auto"/>
        </w:rPr>
        <w:t>+工业互联网”发展，积极承接</w:t>
      </w:r>
      <w:r>
        <w:rPr>
          <w:rFonts w:hint="eastAsia" w:ascii="Times New Roman" w:hAnsi="Times New Roman" w:eastAsia="方正仿宋_GBK"/>
          <w:sz w:val="32"/>
          <w:szCs w:val="32"/>
          <w:u w:val="none" w:color="auto"/>
        </w:rPr>
        <w:t>6G</w:t>
      </w:r>
      <w:r>
        <w:rPr>
          <w:rFonts w:hint="eastAsia" w:ascii="Times New Roman" w:hAnsi="Times New Roman" w:eastAsia="方正仿宋_GBK" w:cs="方正仿宋_GBK"/>
          <w:bCs/>
          <w:sz w:val="32"/>
          <w:szCs w:val="32"/>
          <w:u w:val="none" w:color="auto"/>
        </w:rPr>
        <w:t>试验网、量子通信等网络，用好工业互联网标识解析国家（重庆）顶级节点。积极参与国土空间数据综合信息系统建设，探索开展北斗规模应用。强化算力供给体系建设。</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责任单位：区经济信息委、区大数据发展局、区规划自然资源局、九龙新城园区管委会等</w:t>
      </w:r>
      <w:r>
        <w:rPr>
          <w:rFonts w:ascii="Times New Roman" w:hAnsi="Times New Roman" w:eastAsia="方正仿宋_GBK"/>
          <w:sz w:val="32"/>
          <w:szCs w:val="32"/>
          <w:u w:val="none" w:color="auto"/>
        </w:rPr>
        <w:t>）</w:t>
      </w:r>
    </w:p>
    <w:p w14:paraId="12D8E22B">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hint="eastAsia"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8</w:t>
      </w:r>
      <w:r>
        <w:rPr>
          <w:rFonts w:hint="eastAsia" w:ascii="Times New Roman" w:hAnsi="Times New Roman" w:eastAsia="方正仿宋_GBK" w:cs="方正仿宋_GBK"/>
          <w:b/>
          <w:bCs w:val="0"/>
          <w:spacing w:val="0"/>
          <w:szCs w:val="32"/>
          <w:u w:val="none" w:color="auto"/>
        </w:rPr>
        <w:t>.构建综合立体交通体系</w:t>
      </w:r>
      <w:r>
        <w:rPr>
          <w:rFonts w:hint="eastAsia" w:ascii="Times New Roman" w:hAnsi="Times New Roman" w:eastAsia="方正仿宋_GBK" w:cs="方正仿宋_GBK"/>
          <w:spacing w:val="0"/>
          <w:szCs w:val="32"/>
          <w:u w:val="none" w:color="auto"/>
        </w:rPr>
        <w:t>。</w:t>
      </w:r>
      <w:r>
        <w:rPr>
          <w:rFonts w:hint="eastAsia" w:ascii="Times New Roman" w:hAnsi="Times New Roman" w:eastAsia="方正仿宋_GBK"/>
          <w:spacing w:val="4"/>
          <w:szCs w:val="32"/>
          <w:u w:val="none" w:color="auto"/>
        </w:rPr>
        <w:t>升级对外交通大通道，</w:t>
      </w:r>
      <w:r>
        <w:rPr>
          <w:rFonts w:hint="eastAsia" w:ascii="Times New Roman" w:hAnsi="Times New Roman" w:eastAsia="方正仿宋_GBK"/>
          <w:szCs w:val="32"/>
          <w:u w:val="none" w:color="auto"/>
        </w:rPr>
        <w:t>全面融入全市“米”字型高铁网，</w:t>
      </w:r>
      <w:r>
        <w:rPr>
          <w:rFonts w:hint="eastAsia" w:ascii="Times New Roman" w:hAnsi="Times New Roman" w:eastAsia="方正仿宋_GBK"/>
          <w:bCs/>
          <w:color w:val="auto"/>
          <w:sz w:val="32"/>
          <w:szCs w:val="32"/>
          <w:highlight w:val="none"/>
          <w:u w:val="none" w:color="auto"/>
          <w:lang w:eastAsia="zh-CN"/>
        </w:rPr>
        <w:t>加快推进渝贵高铁、</w:t>
      </w:r>
      <w:r>
        <w:rPr>
          <w:rFonts w:hint="eastAsia" w:ascii="Times New Roman" w:hAnsi="Times New Roman" w:eastAsia="方正仿宋_GBK"/>
          <w:bCs/>
          <w:color w:val="auto"/>
          <w:sz w:val="32"/>
          <w:szCs w:val="32"/>
          <w:highlight w:val="none"/>
          <w:u w:val="none" w:color="auto"/>
          <w:lang w:val="en-US" w:eastAsia="zh-CN"/>
        </w:rPr>
        <w:t>九龙坡至重庆东站枢纽直通线建设</w:t>
      </w:r>
      <w:r>
        <w:rPr>
          <w:rFonts w:hint="eastAsia" w:ascii="Times New Roman" w:hAnsi="Times New Roman" w:eastAsia="方正仿宋_GBK" w:cs="方正仿宋_GBK"/>
          <w:spacing w:val="0"/>
          <w:szCs w:val="32"/>
          <w:u w:val="none" w:color="auto"/>
          <w:lang w:eastAsia="zh-CN"/>
        </w:rPr>
        <w:t>；</w:t>
      </w:r>
      <w:r>
        <w:rPr>
          <w:rFonts w:hint="eastAsia" w:ascii="Times New Roman" w:hAnsi="Times New Roman" w:eastAsia="方正仿宋_GBK"/>
          <w:bCs/>
          <w:color w:val="auto"/>
          <w:spacing w:val="4"/>
          <w:sz w:val="32"/>
          <w:szCs w:val="32"/>
          <w:highlight w:val="none"/>
          <w:u w:val="none" w:color="auto"/>
          <w:lang w:val="en-US" w:eastAsia="zh-CN"/>
        </w:rPr>
        <w:t>织密高速公路网，</w:t>
      </w:r>
      <w:r>
        <w:rPr>
          <w:rFonts w:hint="default" w:ascii="Times New Roman" w:hAnsi="Times New Roman" w:eastAsia="方正仿宋_GBK" w:cs="Times New Roman"/>
          <w:bCs/>
          <w:color w:val="auto"/>
          <w:sz w:val="32"/>
          <w:szCs w:val="32"/>
          <w:highlight w:val="none"/>
          <w:u w:val="none" w:color="auto"/>
        </w:rPr>
        <w:t>协同推进绕城高速</w:t>
      </w:r>
      <w:r>
        <w:rPr>
          <w:rFonts w:hint="default" w:ascii="Times New Roman" w:hAnsi="Times New Roman" w:eastAsia="方正仿宋_GBK" w:cs="Times New Roman"/>
          <w:bCs/>
          <w:color w:val="auto"/>
          <w:sz w:val="32"/>
          <w:szCs w:val="32"/>
          <w:highlight w:val="none"/>
          <w:u w:val="none" w:color="auto"/>
          <w:lang w:val="en-US" w:eastAsia="zh-CN"/>
        </w:rPr>
        <w:t>扩能</w:t>
      </w:r>
      <w:r>
        <w:rPr>
          <w:rFonts w:hint="eastAsia" w:ascii="Times New Roman" w:hAnsi="Times New Roman" w:eastAsia="方正仿宋_GBK" w:cs="Times New Roman"/>
          <w:bCs/>
          <w:color w:val="auto"/>
          <w:sz w:val="32"/>
          <w:szCs w:val="32"/>
          <w:highlight w:val="none"/>
          <w:u w:val="none" w:color="auto"/>
          <w:lang w:val="en-US" w:eastAsia="zh-CN"/>
        </w:rPr>
        <w:t>改造</w:t>
      </w:r>
      <w:r>
        <w:rPr>
          <w:rFonts w:hint="default" w:ascii="Times New Roman" w:hAnsi="Times New Roman" w:eastAsia="方正仿宋_GBK" w:cs="Times New Roman"/>
          <w:bCs/>
          <w:color w:val="auto"/>
          <w:sz w:val="32"/>
          <w:szCs w:val="32"/>
          <w:highlight w:val="none"/>
          <w:u w:val="none" w:color="auto"/>
        </w:rPr>
        <w:t>，</w:t>
      </w:r>
      <w:r>
        <w:rPr>
          <w:rFonts w:hint="eastAsia" w:ascii="Times New Roman" w:hAnsi="Times New Roman" w:eastAsia="方正仿宋_GBK"/>
          <w:bCs/>
          <w:color w:val="auto"/>
          <w:spacing w:val="4"/>
          <w:sz w:val="32"/>
          <w:szCs w:val="32"/>
          <w:highlight w:val="none"/>
          <w:u w:val="none" w:color="auto"/>
          <w:lang w:val="en-US" w:eastAsia="zh-CN"/>
        </w:rPr>
        <w:t>规划渝泸高速复线，强化与重庆新机场互联互通；</w:t>
      </w:r>
      <w:r>
        <w:rPr>
          <w:rFonts w:hint="eastAsia" w:ascii="Times New Roman" w:hAnsi="Times New Roman" w:eastAsia="方正仿宋_GBK" w:cs="方正仿宋_GBK"/>
          <w:bCs/>
          <w:color w:val="000000"/>
          <w:sz w:val="32"/>
          <w:szCs w:val="32"/>
          <w:u w:val="none" w:color="auto"/>
        </w:rPr>
        <w:t>全面融入川渝铁公水空多式联运体系，开通更多“千里轻舟”货运线路。</w:t>
      </w:r>
      <w:r>
        <w:rPr>
          <w:rFonts w:hint="eastAsia" w:ascii="Times New Roman" w:hAnsi="Times New Roman" w:eastAsia="方正仿宋_GBK"/>
          <w:spacing w:val="4"/>
          <w:szCs w:val="32"/>
          <w:u w:val="none" w:color="auto"/>
        </w:rPr>
        <w:t>畅通内部交通大循环，</w:t>
      </w:r>
      <w:r>
        <w:rPr>
          <w:rFonts w:hint="eastAsia" w:ascii="Times New Roman" w:hAnsi="Times New Roman" w:eastAsia="方正仿宋_GBK"/>
          <w:szCs w:val="32"/>
          <w:u w:val="none" w:color="auto"/>
        </w:rPr>
        <w:t>加密优化轨道线网，</w:t>
      </w:r>
      <w:r>
        <w:rPr>
          <w:rFonts w:hint="eastAsia" w:ascii="Times New Roman" w:hAnsi="Times New Roman" w:eastAsia="方正仿宋_GBK"/>
          <w:bCs/>
          <w:color w:val="auto"/>
          <w:sz w:val="32"/>
          <w:szCs w:val="32"/>
          <w:highlight w:val="none"/>
          <w:u w:val="none" w:color="auto"/>
        </w:rPr>
        <w:t>推动</w:t>
      </w:r>
      <w:r>
        <w:rPr>
          <w:rFonts w:hint="eastAsia" w:ascii="Times New Roman" w:hAnsi="Times New Roman" w:eastAsia="方正仿宋_GBK"/>
          <w:bCs/>
          <w:color w:val="auto"/>
          <w:sz w:val="32"/>
          <w:szCs w:val="32"/>
          <w:highlight w:val="none"/>
          <w:u w:val="none" w:color="auto"/>
          <w:lang w:eastAsia="zh-CN"/>
        </w:rPr>
        <w:t>轨道</w:t>
      </w:r>
      <w:r>
        <w:rPr>
          <w:rFonts w:hint="eastAsia" w:ascii="Times New Roman" w:hAnsi="Times New Roman" w:eastAsia="方正仿宋_GBK"/>
          <w:bCs/>
          <w:color w:val="auto"/>
          <w:sz w:val="32"/>
          <w:szCs w:val="32"/>
          <w:highlight w:val="none"/>
          <w:u w:val="none" w:color="auto"/>
          <w:lang w:val="en-US" w:eastAsia="zh-CN"/>
        </w:rPr>
        <w:t>27号线等轨道线路建设，</w:t>
      </w:r>
      <w:r>
        <w:rPr>
          <w:rFonts w:hint="eastAsia" w:ascii="Times New Roman" w:hAnsi="Times New Roman" w:eastAsia="方正仿宋_GBK" w:cs="宋体"/>
          <w:szCs w:val="32"/>
          <w:u w:val="none" w:color="auto"/>
        </w:rPr>
        <w:t>完善“一环四横四纵”快速路网，</w:t>
      </w:r>
      <w:r>
        <w:rPr>
          <w:rFonts w:hint="eastAsia" w:ascii="Times New Roman" w:hAnsi="Times New Roman" w:eastAsia="方正仿宋_GBK"/>
          <w:spacing w:val="4"/>
          <w:szCs w:val="32"/>
          <w:u w:val="none" w:color="auto"/>
        </w:rPr>
        <w:t>持续推进“十桥六隧”穿山过江通道建设</w:t>
      </w:r>
      <w:r>
        <w:rPr>
          <w:rFonts w:hint="eastAsia" w:ascii="Times New Roman" w:hAnsi="Times New Roman" w:eastAsia="方正仿宋_GBK"/>
          <w:szCs w:val="32"/>
          <w:u w:val="none" w:color="auto"/>
        </w:rPr>
        <w:t>。</w:t>
      </w:r>
      <w:r>
        <w:rPr>
          <w:rFonts w:ascii="Times New Roman" w:hAnsi="Times New Roman" w:eastAsia="方正仿宋_GBK"/>
          <w:bCs w:val="0"/>
          <w:spacing w:val="0"/>
          <w:szCs w:val="32"/>
          <w:u w:val="none" w:color="auto"/>
        </w:rPr>
        <w:t>（</w:t>
      </w:r>
      <w:r>
        <w:rPr>
          <w:rFonts w:hint="eastAsia" w:ascii="Times New Roman" w:hAnsi="Times New Roman" w:eastAsia="方正楷体_GBK" w:cs="方正楷体_GBK"/>
          <w:spacing w:val="0"/>
          <w:szCs w:val="32"/>
          <w:u w:val="none" w:color="auto"/>
        </w:rPr>
        <w:t>责任单位：区住房城乡建委、区交通运输委、区经济信息委等</w:t>
      </w:r>
      <w:r>
        <w:rPr>
          <w:rFonts w:ascii="Times New Roman" w:hAnsi="Times New Roman" w:eastAsia="方正仿宋_GBK"/>
          <w:spacing w:val="0"/>
          <w:szCs w:val="32"/>
          <w:u w:val="none" w:color="auto"/>
        </w:rPr>
        <w:t>）</w:t>
      </w:r>
    </w:p>
    <w:p w14:paraId="18E942CD">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9</w:t>
      </w:r>
      <w:r>
        <w:rPr>
          <w:rFonts w:hint="eastAsia" w:ascii="Times New Roman" w:hAnsi="Times New Roman" w:eastAsia="方正仿宋_GBK" w:cs="方正仿宋_GBK"/>
          <w:b/>
          <w:sz w:val="32"/>
          <w:szCs w:val="32"/>
          <w:u w:val="none" w:color="auto"/>
        </w:rPr>
        <w:t>.建强现代水网和能源体系</w:t>
      </w:r>
      <w:r>
        <w:rPr>
          <w:rFonts w:hint="eastAsia" w:ascii="Times New Roman" w:hAnsi="Times New Roman" w:eastAsia="方正仿宋_GBK" w:cs="方正仿宋_GBK"/>
          <w:bCs/>
          <w:sz w:val="32"/>
          <w:szCs w:val="32"/>
          <w:u w:val="none" w:color="auto"/>
        </w:rPr>
        <w:t>。完善水利基础设施布局，力争全区库容增加</w:t>
      </w:r>
      <w:r>
        <w:rPr>
          <w:rFonts w:ascii="Times New Roman" w:hAnsi="Times New Roman" w:eastAsia="方正仿宋_GBK"/>
          <w:bCs/>
          <w:sz w:val="32"/>
          <w:szCs w:val="32"/>
          <w:u w:val="none" w:color="auto"/>
        </w:rPr>
        <w:t>1</w:t>
      </w:r>
      <w:r>
        <w:rPr>
          <w:rFonts w:hint="eastAsia" w:ascii="Times New Roman" w:hAnsi="Times New Roman" w:eastAsia="方正仿宋_GBK" w:cs="方正仿宋_GBK"/>
          <w:bCs/>
          <w:sz w:val="32"/>
          <w:szCs w:val="32"/>
          <w:u w:val="none" w:color="auto"/>
        </w:rPr>
        <w:t>倍。增强水资源统筹调配能力，配合建设全市水资源配置重大工程。构建城乡一体化供水机制，布局建设应急备用水源。合力推进长江干流防洪治理工程建设，开展山洪沟治理、泄洪通道建设及水库除险加固。扩容改造现有电力基础设施，</w:t>
      </w:r>
      <w:r>
        <w:rPr>
          <w:rFonts w:hint="eastAsia" w:ascii="Times New Roman" w:hAnsi="Times New Roman" w:eastAsia="方正仿宋_GBK"/>
          <w:bCs/>
          <w:color w:val="auto"/>
          <w:sz w:val="32"/>
          <w:highlight w:val="none"/>
          <w:u w:val="none" w:color="auto"/>
          <w:lang w:eastAsia="zh-CN"/>
        </w:rPr>
        <w:t>加快推进</w:t>
      </w:r>
      <w:r>
        <w:rPr>
          <w:rFonts w:hint="eastAsia" w:ascii="Times New Roman" w:hAnsi="Times New Roman" w:eastAsia="方正仿宋_GBK" w:cs="方正仿宋_GBK"/>
          <w:bCs/>
          <w:color w:val="auto"/>
          <w:sz w:val="32"/>
          <w:szCs w:val="32"/>
          <w:highlight w:val="none"/>
          <w:u w:val="none" w:color="auto"/>
          <w:lang w:val="en-US" w:eastAsia="zh-CN"/>
        </w:rPr>
        <w:t>110千伏变电站扩容及智能化改造、陡石塔220千伏变电站、500千伏中梁山变电站项目</w:t>
      </w:r>
      <w:r>
        <w:rPr>
          <w:rFonts w:hint="eastAsia" w:ascii="Times New Roman" w:hAnsi="Times New Roman" w:eastAsia="方正仿宋_GBK"/>
          <w:bCs/>
          <w:color w:val="auto"/>
          <w:sz w:val="32"/>
          <w:highlight w:val="none"/>
          <w:u w:val="none" w:color="auto"/>
          <w:lang w:val="en-US" w:eastAsia="zh-CN"/>
        </w:rPr>
        <w:t>，</w:t>
      </w:r>
      <w:r>
        <w:rPr>
          <w:rFonts w:hint="eastAsia" w:ascii="Times New Roman" w:hAnsi="Times New Roman" w:eastAsia="方正仿宋_GBK" w:cs="方正仿宋_GBK"/>
          <w:bCs/>
          <w:sz w:val="32"/>
          <w:szCs w:val="32"/>
          <w:u w:val="none" w:color="auto"/>
        </w:rPr>
        <w:t>积极推进智能电网建设。积极承接“疆电”“藏电”等外电入渝，提升天然气供应保障能力。</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责任单位：区发展改革委、区经济信息委、区住房城乡建委、区农业农村委等</w:t>
      </w:r>
      <w:r>
        <w:rPr>
          <w:rFonts w:ascii="Times New Roman" w:hAnsi="Times New Roman" w:eastAsia="方正仿宋_GBK"/>
          <w:sz w:val="32"/>
          <w:szCs w:val="32"/>
          <w:u w:val="none" w:color="auto"/>
        </w:rPr>
        <w:t>）</w:t>
      </w:r>
    </w:p>
    <w:p w14:paraId="058D377B">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（四）实施重点领域关键环节集成深化改革行动</w:t>
      </w:r>
    </w:p>
    <w:p w14:paraId="4E5D1604">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rPr>
          <w:rFonts w:hint="eastAsia" w:ascii="Times New Roman" w:hAnsi="Times New Roman" w:eastAsia="方正仿宋_GBK" w:cs="方正仿宋_GBK"/>
          <w:bCs/>
          <w:sz w:val="32"/>
          <w:szCs w:val="32"/>
          <w:u w:val="none" w:color="auto"/>
        </w:rPr>
      </w:pPr>
      <w:r>
        <w:rPr>
          <w:rFonts w:hint="eastAsia" w:ascii="Times New Roman" w:hAnsi="Times New Roman" w:eastAsia="方正仿宋_GBK" w:cs="方正仿宋_GBK"/>
          <w:bCs/>
          <w:sz w:val="32"/>
          <w:szCs w:val="32"/>
          <w:u w:val="none" w:color="auto"/>
        </w:rPr>
        <w:t>坚持以经济体制改革为重点全面协调推进各方面改革，形成更多首创性、差别化标志性成果，到</w:t>
      </w:r>
      <w:r>
        <w:rPr>
          <w:rFonts w:ascii="Times New Roman" w:hAnsi="Times New Roman" w:eastAsia="方正仿宋_GBK"/>
          <w:bCs/>
          <w:sz w:val="32"/>
          <w:szCs w:val="32"/>
          <w:u w:val="none" w:color="auto"/>
        </w:rPr>
        <w:t>2030</w:t>
      </w:r>
      <w:r>
        <w:rPr>
          <w:rFonts w:hint="eastAsia" w:ascii="Times New Roman" w:hAnsi="Times New Roman" w:eastAsia="方正仿宋_GBK" w:cs="方正仿宋_GBK"/>
          <w:bCs/>
          <w:sz w:val="32"/>
          <w:szCs w:val="32"/>
          <w:u w:val="none" w:color="auto"/>
        </w:rPr>
        <w:t>年，国资国企</w:t>
      </w:r>
      <w:r>
        <w:rPr>
          <w:rFonts w:hint="eastAsia" w:ascii="Times New Roman" w:hAnsi="Times New Roman" w:eastAsia="方正仿宋_GBK" w:cs="方正仿宋_GBK"/>
          <w:bCs/>
          <w:sz w:val="32"/>
          <w:szCs w:val="32"/>
          <w:highlight w:val="none"/>
          <w:u w:val="none" w:color="auto"/>
        </w:rPr>
        <w:t>深化</w:t>
      </w:r>
      <w:r>
        <w:rPr>
          <w:rFonts w:hint="eastAsia" w:ascii="Times New Roman" w:hAnsi="Times New Roman" w:eastAsia="方正仿宋_GBK" w:cs="方正仿宋_GBK"/>
          <w:bCs/>
          <w:sz w:val="32"/>
          <w:szCs w:val="32"/>
          <w:u w:val="none" w:color="auto"/>
        </w:rPr>
        <w:t>改革提质增效，要素市场化配置综合改革落地见效，</w:t>
      </w:r>
      <w:r>
        <w:rPr>
          <w:rFonts w:hint="eastAsia" w:ascii="Times New Roman" w:hAnsi="Times New Roman" w:eastAsia="方正仿宋_GBK" w:cs="方正仿宋_GBK"/>
          <w:bCs/>
          <w:sz w:val="32"/>
          <w:szCs w:val="32"/>
          <w:u w:val="none" w:color="auto"/>
          <w:lang w:val="en-US" w:eastAsia="zh-CN"/>
        </w:rPr>
        <w:t>国家级经开区创成落地，</w:t>
      </w:r>
      <w:r>
        <w:rPr>
          <w:rFonts w:hint="eastAsia" w:ascii="Times New Roman" w:hAnsi="Times New Roman" w:eastAsia="方正仿宋_GBK" w:cs="方正仿宋_GBK"/>
          <w:bCs/>
          <w:sz w:val="32"/>
          <w:szCs w:val="32"/>
          <w:u w:val="none" w:color="auto"/>
        </w:rPr>
        <w:t>民营经济增加值占地区生产总值比重保持</w:t>
      </w:r>
      <w:r>
        <w:rPr>
          <w:rFonts w:ascii="Times New Roman" w:hAnsi="Times New Roman" w:eastAsia="方正仿宋_GBK"/>
          <w:bCs/>
          <w:sz w:val="32"/>
          <w:szCs w:val="32"/>
          <w:u w:val="none" w:color="auto"/>
        </w:rPr>
        <w:t>在65%</w:t>
      </w:r>
      <w:r>
        <w:rPr>
          <w:rFonts w:hint="eastAsia" w:ascii="Times New Roman" w:hAnsi="Times New Roman" w:eastAsia="方正仿宋_GBK" w:cs="方正仿宋_GBK"/>
          <w:bCs/>
          <w:sz w:val="32"/>
          <w:szCs w:val="32"/>
          <w:u w:val="none" w:color="auto"/>
        </w:rPr>
        <w:t>以上。</w:t>
      </w:r>
    </w:p>
    <w:p w14:paraId="6BE4953D">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bCs/>
          <w:sz w:val="32"/>
          <w:szCs w:val="32"/>
          <w:u w:val="none" w:color="auto"/>
        </w:rPr>
      </w:pPr>
      <w:r>
        <w:rPr>
          <w:rFonts w:ascii="Times New Roman" w:hAnsi="Times New Roman" w:eastAsia="方正仿宋_GBK"/>
          <w:b/>
          <w:sz w:val="32"/>
          <w:szCs w:val="32"/>
          <w:u w:val="none" w:color="auto"/>
        </w:rPr>
        <w:t>10</w:t>
      </w:r>
      <w:r>
        <w:rPr>
          <w:rFonts w:ascii="Times New Roman" w:hAnsi="Times New Roman" w:eastAsia="方正仿宋_GBK" w:cs="方正仿宋_GBK"/>
          <w:b/>
          <w:sz w:val="32"/>
          <w:szCs w:val="32"/>
          <w:u w:val="none" w:color="auto"/>
        </w:rPr>
        <w:t>.</w:t>
      </w:r>
      <w:r>
        <w:rPr>
          <w:rFonts w:hint="eastAsia" w:ascii="Times New Roman" w:hAnsi="Times New Roman" w:eastAsia="方正仿宋_GBK" w:cs="方正仿宋_GBK"/>
          <w:b/>
          <w:sz w:val="32"/>
          <w:szCs w:val="32"/>
          <w:u w:val="none" w:color="auto"/>
        </w:rPr>
        <w:t>深度融入全国统一大市场</w:t>
      </w:r>
      <w:r>
        <w:rPr>
          <w:rFonts w:hint="eastAsia" w:ascii="Times New Roman" w:hAnsi="Times New Roman" w:eastAsia="方正仿宋_GBK"/>
          <w:bCs/>
          <w:sz w:val="32"/>
          <w:szCs w:val="32"/>
          <w:u w:val="none" w:color="auto"/>
        </w:rPr>
        <w:t>。落实全国统一的市场准入负面清单，推动市场准入“异地同标”，</w:t>
      </w:r>
      <w:r>
        <w:rPr>
          <w:rFonts w:hint="eastAsia" w:ascii="Times New Roman" w:hAnsi="Times New Roman" w:eastAsia="方正仿宋_GBK"/>
          <w:bCs/>
          <w:sz w:val="32"/>
          <w:szCs w:val="32"/>
          <w:u w:val="none" w:color="auto"/>
          <w:lang w:eastAsia="zh-CN"/>
        </w:rPr>
        <w:t>优化</w:t>
      </w:r>
      <w:r>
        <w:rPr>
          <w:rFonts w:hint="eastAsia" w:ascii="Times New Roman" w:hAnsi="Times New Roman" w:eastAsia="方正仿宋_GBK"/>
          <w:bCs/>
          <w:sz w:val="32"/>
          <w:szCs w:val="32"/>
          <w:highlight w:val="none"/>
          <w:u w:val="none" w:color="auto"/>
        </w:rPr>
        <w:t>营业执照异地“发、领”一体化服务体系</w:t>
      </w:r>
      <w:r>
        <w:rPr>
          <w:rFonts w:hint="eastAsia" w:ascii="Times New Roman" w:hAnsi="Times New Roman" w:eastAsia="方正仿宋_GBK"/>
          <w:bCs/>
          <w:sz w:val="32"/>
          <w:szCs w:val="32"/>
          <w:u w:val="none" w:color="auto"/>
        </w:rPr>
        <w:t>。发挥国家社会信用体系建设示范区引领作用，健全覆盖六类主体的高水平社会信用体系，助力推动“信用成渝”建设，打造“信用+”赋能城市现代化治理场景矩阵。深入推动要素市场化配置综合改革，</w:t>
      </w:r>
      <w:r>
        <w:rPr>
          <w:rFonts w:hint="eastAsia" w:ascii="Times New Roman" w:hAnsi="Times New Roman" w:eastAsia="方正仿宋_GBK" w:cs="Times New Roman"/>
          <w:b w:val="0"/>
          <w:bCs w:val="0"/>
          <w:color w:val="auto"/>
          <w:sz w:val="32"/>
          <w:szCs w:val="32"/>
          <w:highlight w:val="none"/>
          <w:u w:val="none" w:color="auto"/>
          <w:lang w:val="en-US" w:eastAsia="zh-CN"/>
        </w:rPr>
        <w:t>建立要素“一本账”“一组库”，</w:t>
      </w:r>
      <w:r>
        <w:rPr>
          <w:rFonts w:hint="eastAsia" w:ascii="Times New Roman" w:hAnsi="Times New Roman" w:eastAsia="方正仿宋_GBK" w:cs="Times New Roman"/>
          <w:b w:val="0"/>
          <w:bCs w:val="0"/>
          <w:color w:val="auto"/>
          <w:sz w:val="32"/>
          <w:szCs w:val="32"/>
          <w:highlight w:val="none"/>
          <w:u w:val="none" w:color="auto"/>
          <w:lang w:val="en-US" w:eastAsia="zh-CN"/>
        </w:rPr>
        <w:t>推进技术要素向现实生产力转化，</w:t>
      </w:r>
      <w:r>
        <w:rPr>
          <w:rFonts w:hint="eastAsia" w:ascii="Times New Roman" w:hAnsi="Times New Roman" w:eastAsia="方正仿宋_GBK" w:cs="Times New Roman"/>
          <w:b w:val="0"/>
          <w:bCs w:val="0"/>
          <w:snapToGrid w:val="0"/>
          <w:color w:val="auto"/>
          <w:kern w:val="0"/>
          <w:sz w:val="32"/>
          <w:szCs w:val="32"/>
          <w:highlight w:val="none"/>
          <w:u w:val="none" w:color="auto"/>
        </w:rPr>
        <w:t>提升土地资源市场化配置效率，畅通人力资源要素有序流动渠道，</w:t>
      </w:r>
      <w:r>
        <w:rPr>
          <w:rFonts w:hint="eastAsia" w:ascii="Times New Roman" w:hAnsi="Times New Roman" w:eastAsia="方正仿宋_GBK" w:cs="Times New Roman"/>
          <w:b w:val="0"/>
          <w:bCs w:val="0"/>
          <w:color w:val="auto"/>
          <w:sz w:val="32"/>
          <w:szCs w:val="32"/>
          <w:highlight w:val="none"/>
          <w:u w:val="none" w:color="auto"/>
          <w:lang w:val="en-US" w:eastAsia="zh-CN"/>
        </w:rPr>
        <w:t>打造数据流通平台，</w:t>
      </w:r>
      <w:r>
        <w:rPr>
          <w:rFonts w:hint="eastAsia" w:ascii="Times New Roman" w:hAnsi="Times New Roman" w:eastAsia="方正仿宋_GBK" w:cs="Times New Roman"/>
          <w:b w:val="0"/>
          <w:bCs w:val="0"/>
          <w:snapToGrid w:val="0"/>
          <w:color w:val="auto"/>
          <w:kern w:val="0"/>
          <w:sz w:val="32"/>
          <w:szCs w:val="32"/>
          <w:highlight w:val="none"/>
          <w:u w:val="none" w:color="auto"/>
        </w:rPr>
        <w:t>健全资本要素有效服务实体经济长效机制</w:t>
      </w:r>
      <w:r>
        <w:rPr>
          <w:rFonts w:hint="eastAsia" w:ascii="Times New Roman" w:hAnsi="Times New Roman" w:eastAsia="方正仿宋_GBK" w:cs="Times New Roman"/>
          <w:b w:val="0"/>
          <w:bCs w:val="0"/>
          <w:snapToGrid w:val="0"/>
          <w:color w:val="auto"/>
          <w:kern w:val="0"/>
          <w:sz w:val="32"/>
          <w:szCs w:val="32"/>
          <w:highlight w:val="none"/>
          <w:u w:val="none" w:color="auto"/>
          <w:lang w:eastAsia="zh-CN"/>
        </w:rPr>
        <w:t>，</w:t>
      </w:r>
      <w:r>
        <w:rPr>
          <w:rFonts w:hint="eastAsia" w:ascii="Times New Roman" w:hAnsi="Times New Roman" w:eastAsia="方正仿宋_GBK" w:cs="Times New Roman"/>
          <w:b w:val="0"/>
          <w:bCs w:val="0"/>
          <w:color w:val="auto"/>
          <w:sz w:val="32"/>
          <w:szCs w:val="32"/>
          <w:highlight w:val="none"/>
          <w:u w:val="none" w:color="auto"/>
          <w:lang w:val="en-US" w:eastAsia="zh-CN"/>
        </w:rPr>
        <w:t>加快资源环境市场制度建设</w:t>
      </w:r>
      <w:r>
        <w:rPr>
          <w:rFonts w:hint="eastAsia" w:ascii="Times New Roman" w:hAnsi="Times New Roman" w:eastAsia="方正仿宋_GBK"/>
          <w:bCs/>
          <w:sz w:val="32"/>
          <w:szCs w:val="32"/>
          <w:u w:val="none" w:color="auto"/>
        </w:rPr>
        <w:t>。</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责任单位：区政府办公室、区发展改革委、区科技局、区大数据发展局、区规划自然资源局、区市场监管局、九龙新城园区管委会等</w:t>
      </w:r>
      <w:r>
        <w:rPr>
          <w:rFonts w:hint="eastAsia" w:ascii="Times New Roman" w:hAnsi="Times New Roman" w:eastAsia="方正楷体_GBK" w:cs="方正楷体_GBK"/>
          <w:sz w:val="32"/>
          <w:szCs w:val="32"/>
          <w:u w:val="none" w:color="auto"/>
          <w:lang w:bidi="ar"/>
        </w:rPr>
        <w:t>）</w:t>
      </w:r>
    </w:p>
    <w:p w14:paraId="22CE3770">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hint="eastAsia" w:ascii="Times New Roman" w:hAnsi="Times New Roman" w:eastAsia="方正仿宋_GBK"/>
          <w:bCs/>
          <w:sz w:val="32"/>
          <w:szCs w:val="32"/>
          <w:u w:val="none" w:color="auto"/>
        </w:rPr>
      </w:pPr>
      <w:r>
        <w:rPr>
          <w:rFonts w:ascii="Times New Roman" w:hAnsi="Times New Roman" w:eastAsia="方正仿宋_GBK"/>
          <w:b/>
          <w:sz w:val="32"/>
          <w:szCs w:val="32"/>
          <w:u w:val="none" w:color="auto"/>
        </w:rPr>
        <w:t>11</w:t>
      </w:r>
      <w:r>
        <w:rPr>
          <w:rFonts w:ascii="Times New Roman" w:hAnsi="Times New Roman" w:eastAsia="方正仿宋_GBK" w:cs="方正仿宋_GBK"/>
          <w:b/>
          <w:sz w:val="32"/>
          <w:szCs w:val="32"/>
          <w:u w:val="none" w:color="auto"/>
        </w:rPr>
        <w:t>.</w:t>
      </w:r>
      <w:r>
        <w:rPr>
          <w:rFonts w:hint="eastAsia" w:ascii="Times New Roman" w:hAnsi="Times New Roman" w:eastAsia="方正仿宋_GBK" w:cs="方正仿宋_GBK"/>
          <w:b/>
          <w:sz w:val="32"/>
          <w:szCs w:val="32"/>
          <w:u w:val="none" w:color="auto"/>
        </w:rPr>
        <w:t>增强市场主体活力</w:t>
      </w:r>
      <w:r>
        <w:rPr>
          <w:rFonts w:hint="eastAsia" w:ascii="Times New Roman" w:hAnsi="Times New Roman" w:eastAsia="方正仿宋_GBK"/>
          <w:bCs/>
          <w:sz w:val="32"/>
          <w:szCs w:val="32"/>
          <w:u w:val="none" w:color="auto"/>
        </w:rPr>
        <w:t>。推进国有经济布局优化和结构调整，打造更多主业清晰、服务中心、创新驱动、治理完备和市场竞争力强的一流企业，国有企业利润总额年均增长5%以上。推动国有参控股企业加快上市，以市场化方式推进国有非公益性资产证券化。加快建设民营经济发展高地，</w:t>
      </w:r>
      <w:r>
        <w:rPr>
          <w:rFonts w:hint="eastAsia" w:ascii="Times New Roman" w:hAnsi="Times New Roman" w:eastAsia="方正仿宋_GBK"/>
          <w:bCs/>
          <w:sz w:val="32"/>
          <w:szCs w:val="32"/>
          <w:highlight w:val="none"/>
          <w:u w:val="none" w:color="auto"/>
        </w:rPr>
        <w:t>创新构建OPC（一人公司）创业模式</w:t>
      </w:r>
      <w:r>
        <w:rPr>
          <w:rFonts w:hint="eastAsia" w:ascii="Times New Roman" w:hAnsi="Times New Roman" w:eastAsia="方正仿宋_GBK"/>
          <w:bCs/>
          <w:sz w:val="32"/>
          <w:szCs w:val="32"/>
          <w:u w:val="none" w:color="auto"/>
        </w:rPr>
        <w:t>，持续培育一批优秀民营企业家和优质民营企业，</w:t>
      </w:r>
      <w:r>
        <w:rPr>
          <w:rFonts w:hint="eastAsia" w:ascii="Times New Roman" w:hAnsi="Times New Roman" w:eastAsia="方正仿宋_GBK"/>
          <w:bCs/>
          <w:sz w:val="32"/>
          <w:szCs w:val="32"/>
          <w:u w:val="none" w:color="auto"/>
          <w:lang w:eastAsia="zh"/>
        </w:rPr>
        <w:t>助力</w:t>
      </w:r>
      <w:r>
        <w:rPr>
          <w:rFonts w:hint="eastAsia" w:ascii="Times New Roman" w:hAnsi="Times New Roman" w:eastAsia="方正仿宋_GBK"/>
          <w:bCs/>
          <w:sz w:val="32"/>
          <w:szCs w:val="32"/>
          <w:u w:val="none" w:color="auto"/>
        </w:rPr>
        <w:t>擦亮“投资川渝”品牌。</w:t>
      </w:r>
      <w:r>
        <w:rPr>
          <w:rFonts w:ascii="Times New Roman" w:hAnsi="Times New Roman" w:eastAsia="方正仿宋_GBK"/>
          <w:bCs/>
          <w:sz w:val="32"/>
          <w:szCs w:val="32"/>
          <w:u w:val="none" w:color="auto"/>
        </w:rPr>
        <w:t>打造</w:t>
      </w:r>
      <w:r>
        <w:rPr>
          <w:rFonts w:hint="eastAsia" w:ascii="Times New Roman" w:hAnsi="Times New Roman" w:eastAsia="方正仿宋_GBK"/>
          <w:bCs/>
          <w:sz w:val="32"/>
          <w:szCs w:val="32"/>
          <w:u w:val="none" w:color="auto"/>
        </w:rPr>
        <w:t>“西部一流、重庆最优”</w:t>
      </w:r>
      <w:r>
        <w:rPr>
          <w:rFonts w:ascii="Times New Roman" w:hAnsi="Times New Roman" w:eastAsia="方正仿宋_GBK"/>
          <w:bCs/>
          <w:sz w:val="32"/>
          <w:szCs w:val="32"/>
          <w:u w:val="none" w:color="auto"/>
        </w:rPr>
        <w:t>营商环境</w:t>
      </w:r>
      <w:r>
        <w:rPr>
          <w:rFonts w:hint="eastAsia" w:ascii="Times New Roman" w:hAnsi="Times New Roman" w:eastAsia="方正仿宋_GBK"/>
          <w:bCs/>
          <w:sz w:val="32"/>
          <w:szCs w:val="32"/>
          <w:u w:val="none" w:color="auto"/>
        </w:rPr>
        <w:t>，用好“民呼我为”平台，</w:t>
      </w:r>
      <w:r>
        <w:rPr>
          <w:rFonts w:hint="eastAsia" w:ascii="Times New Roman" w:hAnsi="Times New Roman" w:eastAsia="方正仿宋_GBK"/>
          <w:sz w:val="32"/>
          <w:szCs w:val="32"/>
          <w:u w:val="none" w:color="auto"/>
        </w:rPr>
        <w:t>纵深推进“一件事一次办”改革</w:t>
      </w:r>
      <w:r>
        <w:rPr>
          <w:rFonts w:ascii="Times New Roman" w:hAnsi="Times New Roman" w:eastAsia="方正仿宋_GBK"/>
          <w:bCs/>
          <w:sz w:val="32"/>
          <w:szCs w:val="32"/>
          <w:u w:val="none" w:color="auto"/>
        </w:rPr>
        <w:t>。</w:t>
      </w:r>
      <w:r>
        <w:rPr>
          <w:rFonts w:hint="eastAsia" w:ascii="Times New Roman" w:hAnsi="Times New Roman" w:eastAsia="方正仿宋_GBK" w:cs="方正仿宋_GBK"/>
          <w:sz w:val="32"/>
          <w:szCs w:val="32"/>
          <w:u w:val="none" w:color="auto"/>
        </w:rPr>
        <w:t>严格规范涉企行政执法</w:t>
      </w:r>
      <w:r>
        <w:rPr>
          <w:rFonts w:hint="eastAsia" w:ascii="Times New Roman" w:hAnsi="Times New Roman" w:eastAsia="方正仿宋_GBK"/>
          <w:sz w:val="32"/>
          <w:szCs w:val="32"/>
          <w:u w:val="none" w:color="auto"/>
        </w:rPr>
        <w:t>，</w:t>
      </w:r>
      <w:r>
        <w:rPr>
          <w:rFonts w:hint="eastAsia" w:ascii="Times New Roman" w:hAnsi="Times New Roman" w:eastAsia="方正仿宋_GBK" w:cs="方正仿宋_GBK"/>
          <w:sz w:val="32"/>
          <w:szCs w:val="32"/>
          <w:u w:val="none" w:color="auto"/>
        </w:rPr>
        <w:t>行政检查规范率稳定在</w:t>
      </w:r>
      <w:r>
        <w:rPr>
          <w:rFonts w:ascii="Times New Roman" w:hAnsi="Times New Roman" w:eastAsia="方正仿宋_GBK"/>
          <w:sz w:val="32"/>
          <w:szCs w:val="32"/>
          <w:u w:val="none" w:color="auto"/>
        </w:rPr>
        <w:t>90%</w:t>
      </w:r>
      <w:r>
        <w:rPr>
          <w:rFonts w:hint="eastAsia" w:ascii="Times New Roman" w:hAnsi="Times New Roman" w:eastAsia="方正仿宋_GBK" w:cs="方正仿宋_GBK"/>
          <w:sz w:val="32"/>
          <w:szCs w:val="32"/>
          <w:u w:val="none" w:color="auto"/>
        </w:rPr>
        <w:t>以上。深入实施“服务企业专员制度”，常态化做好涉企服务。</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责任单位：区政府办公室、区发展改革委、区</w:t>
      </w:r>
      <w:r>
        <w:rPr>
          <w:rFonts w:ascii="Times New Roman" w:hAnsi="Times New Roman" w:eastAsia="方正楷体_GBK" w:cs="方正楷体_GBK"/>
          <w:sz w:val="32"/>
          <w:szCs w:val="32"/>
          <w:u w:val="none" w:color="auto"/>
        </w:rPr>
        <w:t>经济信息委、</w:t>
      </w:r>
      <w:r>
        <w:rPr>
          <w:rFonts w:hint="eastAsia" w:ascii="Times New Roman" w:hAnsi="Times New Roman" w:eastAsia="方正楷体_GBK" w:cs="方正楷体_GBK"/>
          <w:sz w:val="32"/>
          <w:szCs w:val="32"/>
          <w:u w:val="none" w:color="auto"/>
        </w:rPr>
        <w:t>区司法局、区国资委、区大数据发展局、区招商投资局、区市场监管局、九龙新城园区管委会、九龙城乡运营集团等</w:t>
      </w:r>
      <w:r>
        <w:rPr>
          <w:rFonts w:hint="eastAsia" w:ascii="Times New Roman" w:hAnsi="Times New Roman" w:eastAsia="方正楷体_GBK" w:cs="方正楷体_GBK"/>
          <w:sz w:val="32"/>
          <w:szCs w:val="32"/>
          <w:u w:val="none" w:color="auto"/>
          <w:lang w:bidi="ar"/>
        </w:rPr>
        <w:t>）</w:t>
      </w:r>
    </w:p>
    <w:p w14:paraId="52B76256">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（五）实施九龙新城开发开放能级提升行动</w:t>
      </w:r>
    </w:p>
    <w:p w14:paraId="20F2BBF2">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rPr>
          <w:rFonts w:hint="eastAsia" w:ascii="Times New Roman" w:hAnsi="Times New Roman" w:eastAsia="方正仿宋_GBK" w:cs="方正仿宋_GBK"/>
          <w:bCs/>
          <w:sz w:val="32"/>
          <w:szCs w:val="32"/>
          <w:u w:val="none" w:color="auto"/>
        </w:rPr>
      </w:pPr>
      <w:r>
        <w:rPr>
          <w:rFonts w:hint="eastAsia" w:ascii="Times New Roman" w:hAnsi="Times New Roman" w:eastAsia="方正仿宋_GBK" w:cs="方正仿宋_GBK"/>
          <w:bCs/>
          <w:color w:val="000000"/>
          <w:sz w:val="32"/>
          <w:szCs w:val="32"/>
          <w:u w:val="none" w:color="auto"/>
        </w:rPr>
        <w:t>以九龙新城为重点打造枢纽经济区</w:t>
      </w:r>
      <w:r>
        <w:rPr>
          <w:rFonts w:hint="eastAsia" w:ascii="Times New Roman" w:hAnsi="Times New Roman" w:eastAsia="方正仿宋_GBK" w:cs="方正仿宋_GBK"/>
          <w:bCs/>
          <w:sz w:val="32"/>
          <w:szCs w:val="32"/>
          <w:u w:val="none" w:color="auto"/>
        </w:rPr>
        <w:t>，完善通道网络构建现代化集疏运体系，建设立足重庆、服务</w:t>
      </w:r>
      <w:r>
        <w:rPr>
          <w:rFonts w:hint="eastAsia" w:ascii="Times New Roman" w:hAnsi="Times New Roman" w:eastAsia="方正仿宋_GBK" w:cs="方正仿宋_GBK"/>
          <w:bCs/>
          <w:sz w:val="32"/>
          <w:szCs w:val="32"/>
          <w:u w:val="none" w:color="auto"/>
          <w:lang w:eastAsia="zh-CN"/>
        </w:rPr>
        <w:t>全国</w:t>
      </w:r>
      <w:r>
        <w:rPr>
          <w:rFonts w:hint="eastAsia" w:ascii="Times New Roman" w:hAnsi="Times New Roman" w:eastAsia="方正仿宋_GBK" w:cs="方正仿宋_GBK"/>
          <w:bCs/>
          <w:sz w:val="32"/>
          <w:szCs w:val="32"/>
          <w:u w:val="none" w:color="auto"/>
        </w:rPr>
        <w:t>、链接全</w:t>
      </w:r>
      <w:r>
        <w:rPr>
          <w:rFonts w:hint="eastAsia" w:ascii="Times New Roman" w:hAnsi="Times New Roman" w:eastAsia="方正仿宋_GBK" w:cs="方正仿宋_GBK"/>
          <w:bCs/>
          <w:sz w:val="32"/>
          <w:szCs w:val="32"/>
          <w:u w:val="none" w:color="auto"/>
          <w:lang w:eastAsia="zh-CN"/>
        </w:rPr>
        <w:t>球</w:t>
      </w:r>
      <w:r>
        <w:rPr>
          <w:rFonts w:hint="eastAsia" w:ascii="Times New Roman" w:hAnsi="Times New Roman" w:eastAsia="方正仿宋_GBK" w:cs="方正仿宋_GBK"/>
          <w:bCs/>
          <w:sz w:val="32"/>
          <w:szCs w:val="32"/>
          <w:u w:val="none" w:color="auto"/>
        </w:rPr>
        <w:t>的服务体系，到</w:t>
      </w:r>
      <w:r>
        <w:rPr>
          <w:rFonts w:ascii="Times New Roman" w:hAnsi="Times New Roman" w:eastAsia="方正仿宋_GBK"/>
          <w:bCs/>
          <w:sz w:val="32"/>
          <w:szCs w:val="32"/>
          <w:u w:val="none" w:color="auto"/>
        </w:rPr>
        <w:t>2030</w:t>
      </w:r>
      <w:r>
        <w:rPr>
          <w:rFonts w:hint="eastAsia" w:ascii="Times New Roman" w:hAnsi="Times New Roman" w:eastAsia="方正仿宋_GBK" w:cs="方正仿宋_GBK"/>
          <w:bCs/>
          <w:sz w:val="32"/>
          <w:szCs w:val="32"/>
          <w:u w:val="none" w:color="auto"/>
        </w:rPr>
        <w:t>年，全区货物进出口总额</w:t>
      </w:r>
      <w:r>
        <w:rPr>
          <w:rFonts w:hint="eastAsia" w:ascii="Times New Roman" w:hAnsi="Times New Roman" w:eastAsia="方正仿宋_GBK" w:cs="方正仿宋_GBK"/>
          <w:bCs/>
          <w:sz w:val="32"/>
          <w:szCs w:val="32"/>
          <w:u w:val="none" w:color="auto"/>
          <w:lang w:val="en-US" w:eastAsia="zh-CN"/>
        </w:rPr>
        <w:t>年均增长7%</w:t>
      </w:r>
      <w:r>
        <w:rPr>
          <w:rFonts w:hint="eastAsia" w:ascii="Times New Roman" w:hAnsi="Times New Roman" w:eastAsia="方正仿宋_GBK" w:cs="方正仿宋_GBK"/>
          <w:bCs/>
          <w:sz w:val="32"/>
          <w:szCs w:val="32"/>
          <w:u w:val="none" w:color="auto"/>
        </w:rPr>
        <w:t>，累计培育制度</w:t>
      </w:r>
      <w:r>
        <w:rPr>
          <w:rFonts w:hint="eastAsia" w:ascii="Times New Roman" w:hAnsi="Times New Roman" w:eastAsia="方正仿宋_GBK" w:cs="方正仿宋_GBK"/>
          <w:bCs/>
          <w:sz w:val="32"/>
          <w:szCs w:val="32"/>
          <w:u w:val="none" w:color="auto"/>
          <w:lang w:eastAsia="zh-CN"/>
        </w:rPr>
        <w:t>型</w:t>
      </w:r>
      <w:r>
        <w:rPr>
          <w:rFonts w:hint="eastAsia" w:ascii="Times New Roman" w:hAnsi="Times New Roman" w:eastAsia="方正仿宋_GBK" w:cs="方正仿宋_GBK"/>
          <w:bCs/>
          <w:sz w:val="32"/>
          <w:szCs w:val="32"/>
          <w:u w:val="none" w:color="auto"/>
        </w:rPr>
        <w:t>创新成果</w:t>
      </w:r>
      <w:r>
        <w:rPr>
          <w:rFonts w:hint="eastAsia" w:ascii="Times New Roman" w:hAnsi="Times New Roman" w:eastAsia="方正仿宋_GBK" w:cs="方正仿宋_GBK"/>
          <w:bCs/>
          <w:sz w:val="32"/>
          <w:szCs w:val="32"/>
          <w:highlight w:val="none"/>
          <w:u w:val="none" w:color="auto"/>
        </w:rPr>
        <w:t>50</w:t>
      </w:r>
      <w:r>
        <w:rPr>
          <w:rFonts w:hint="eastAsia" w:ascii="Times New Roman" w:hAnsi="Times New Roman" w:eastAsia="方正仿宋_GBK" w:cs="方正仿宋_GBK"/>
          <w:bCs/>
          <w:sz w:val="32"/>
          <w:szCs w:val="32"/>
          <w:highlight w:val="none"/>
          <w:u w:val="none" w:color="auto"/>
          <w:lang w:val="en-US" w:eastAsia="zh-CN"/>
        </w:rPr>
        <w:t>项</w:t>
      </w:r>
      <w:r>
        <w:rPr>
          <w:rFonts w:hint="eastAsia" w:ascii="Times New Roman" w:hAnsi="Times New Roman" w:eastAsia="方正仿宋_GBK" w:cs="方正仿宋_GBK"/>
          <w:bCs/>
          <w:sz w:val="32"/>
          <w:szCs w:val="32"/>
          <w:u w:val="none" w:color="auto"/>
        </w:rPr>
        <w:t>。</w:t>
      </w:r>
    </w:p>
    <w:p w14:paraId="11935F18">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hint="eastAsia"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12</w:t>
      </w:r>
      <w:r>
        <w:rPr>
          <w:rFonts w:hint="eastAsia" w:ascii="Times New Roman" w:hAnsi="Times New Roman" w:eastAsia="方正仿宋_GBK" w:cs="方正仿宋_GBK"/>
          <w:b/>
          <w:bCs w:val="0"/>
          <w:spacing w:val="0"/>
          <w:szCs w:val="32"/>
          <w:u w:val="none" w:color="auto"/>
        </w:rPr>
        <w:t>.建设现代化开放通道体系</w:t>
      </w:r>
      <w:r>
        <w:rPr>
          <w:rFonts w:hint="eastAsia" w:ascii="Times New Roman" w:hAnsi="Times New Roman" w:eastAsia="方正仿宋_GBK" w:cs="方正仿宋_GBK"/>
          <w:spacing w:val="0"/>
          <w:szCs w:val="32"/>
          <w:u w:val="none" w:color="auto"/>
        </w:rPr>
        <w:t>。拓展多维立体、畅通高效的现代化集疏运体系，</w:t>
      </w:r>
      <w:r>
        <w:rPr>
          <w:rFonts w:hint="eastAsia" w:ascii="Times New Roman" w:hAnsi="Times New Roman" w:eastAsia="方正仿宋_GBK" w:cs="方正仿宋_GBK"/>
          <w:spacing w:val="0"/>
          <w:szCs w:val="32"/>
          <w:highlight w:val="none"/>
          <w:u w:val="none" w:color="auto"/>
        </w:rPr>
        <w:t>东向主动融入长江黄金水道，南向积极融入中越班列，西向打通昭通—水富—黄磏、昆明安宁—黄磏—长江中下游、贵州盘州—黄磏—长江中下游等线路</w:t>
      </w:r>
      <w:r>
        <w:rPr>
          <w:rFonts w:hint="eastAsia" w:ascii="Times New Roman" w:hAnsi="Times New Roman" w:eastAsia="方正仿宋_GBK" w:cs="方正仿宋_GBK"/>
          <w:spacing w:val="0"/>
          <w:szCs w:val="32"/>
          <w:highlight w:val="none"/>
          <w:u w:val="none" w:color="auto"/>
          <w:lang w:eastAsia="zh-CN"/>
        </w:rPr>
        <w:t>，</w:t>
      </w:r>
      <w:r>
        <w:rPr>
          <w:rFonts w:hint="eastAsia" w:ascii="Times New Roman" w:hAnsi="Times New Roman" w:eastAsia="方正仿宋_GBK" w:cs="方正仿宋_GBK"/>
          <w:spacing w:val="0"/>
          <w:szCs w:val="32"/>
          <w:u w:val="none" w:color="auto"/>
        </w:rPr>
        <w:t>北向对接用好中欧班列货运政策，为企业产品出口至欧洲、中亚等地提供优质高效的物流服务。推动港口、园区、开放平台互联成网，强化黄磏港二期进港铁路、黄磏站基础设施、进出道路等配套建设，改造升级快速物流通道，畅通集疏运微循环，全面融入川渝铁公水空多式联运体系。</w:t>
      </w:r>
      <w:r>
        <w:rPr>
          <w:rFonts w:ascii="Times New Roman" w:hAnsi="Times New Roman" w:eastAsia="方正仿宋_GBK"/>
          <w:spacing w:val="0"/>
          <w:szCs w:val="32"/>
          <w:u w:val="none" w:color="auto"/>
          <w:lang w:bidi="ar"/>
        </w:rPr>
        <w:t>（</w:t>
      </w:r>
      <w:r>
        <w:rPr>
          <w:rFonts w:hint="eastAsia" w:ascii="Times New Roman" w:hAnsi="Times New Roman" w:eastAsia="方正楷体_GBK" w:cs="方正楷体_GBK"/>
          <w:spacing w:val="0"/>
          <w:szCs w:val="32"/>
          <w:u w:val="none" w:color="auto"/>
        </w:rPr>
        <w:t>责任单位：区交通运输委、区商务委、九龙新城园区管委会等</w:t>
      </w:r>
      <w:r>
        <w:rPr>
          <w:rFonts w:ascii="Times New Roman" w:hAnsi="Times New Roman" w:eastAsia="方正仿宋_GBK"/>
          <w:spacing w:val="0"/>
          <w:szCs w:val="32"/>
          <w:u w:val="none" w:color="auto"/>
          <w:lang w:bidi="ar"/>
        </w:rPr>
        <w:t>）</w:t>
      </w:r>
    </w:p>
    <w:p w14:paraId="15F7301E">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13</w:t>
      </w:r>
      <w:r>
        <w:rPr>
          <w:rFonts w:hint="eastAsia" w:ascii="Times New Roman" w:hAnsi="Times New Roman" w:eastAsia="方正仿宋_GBK" w:cs="方正仿宋_GBK"/>
          <w:b/>
          <w:bCs w:val="0"/>
          <w:spacing w:val="0"/>
          <w:szCs w:val="32"/>
          <w:u w:val="none" w:color="auto"/>
        </w:rPr>
        <w:t>.建设高能级开放平台集聚区</w:t>
      </w:r>
      <w:r>
        <w:rPr>
          <w:rFonts w:hint="eastAsia" w:ascii="Times New Roman" w:hAnsi="Times New Roman" w:eastAsia="方正仿宋_GBK" w:cs="方正仿宋_GBK"/>
          <w:spacing w:val="0"/>
          <w:szCs w:val="32"/>
          <w:u w:val="none" w:color="auto"/>
        </w:rPr>
        <w:t>。抢抓全市</w:t>
      </w:r>
      <w:r>
        <w:rPr>
          <w:rFonts w:hint="eastAsia" w:ascii="Times New Roman" w:hAnsi="Times New Roman" w:eastAsia="方正仿宋_GBK" w:cs="方正仿宋_GBK"/>
          <w:spacing w:val="0"/>
          <w:szCs w:val="32"/>
          <w:u w:val="none" w:color="auto"/>
          <w:lang w:eastAsia="zh-CN"/>
        </w:rPr>
        <w:t>加快发展</w:t>
      </w:r>
      <w:r>
        <w:rPr>
          <w:rFonts w:hint="eastAsia" w:ascii="Times New Roman" w:hAnsi="Times New Roman" w:eastAsia="方正仿宋_GBK" w:cs="方正仿宋_GBK"/>
          <w:spacing w:val="0"/>
          <w:szCs w:val="32"/>
          <w:u w:val="none" w:color="auto"/>
        </w:rPr>
        <w:t>枢纽经济机遇，以枢纽港产业园为重点构建“产业集群+物流枢纽+通道共建”新模式，构建</w:t>
      </w:r>
      <w:r>
        <w:rPr>
          <w:rFonts w:hint="eastAsia" w:ascii="Times New Roman" w:hAnsi="Times New Roman" w:eastAsia="方正仿宋_GBK" w:cs="方正仿宋_GBK"/>
          <w:spacing w:val="0"/>
          <w:szCs w:val="32"/>
          <w:u w:val="none" w:color="auto"/>
          <w:lang w:val="en-US" w:eastAsia="zh-CN"/>
        </w:rPr>
        <w:t>集群集聚发展成套装备、先进材料、现代物流及供应链服务</w:t>
      </w:r>
      <w:r>
        <w:rPr>
          <w:rFonts w:hint="eastAsia" w:ascii="Times New Roman" w:hAnsi="Times New Roman" w:eastAsia="方正仿宋_GBK" w:cs="方正仿宋_GBK"/>
          <w:spacing w:val="0"/>
          <w:szCs w:val="32"/>
          <w:u w:val="none" w:color="auto"/>
        </w:rPr>
        <w:t>等产业集聚区，探索以“多国多园”模式与东南亚国家共建跨境园区，加工贸易进出口额达</w:t>
      </w:r>
      <w:r>
        <w:rPr>
          <w:rFonts w:hint="eastAsia" w:ascii="Times New Roman" w:hAnsi="Times New Roman" w:eastAsia="方正仿宋_GBK"/>
          <w:spacing w:val="0"/>
          <w:szCs w:val="32"/>
          <w:u w:val="none" w:color="auto"/>
        </w:rPr>
        <w:t>20</w:t>
      </w:r>
      <w:r>
        <w:rPr>
          <w:rFonts w:hint="eastAsia" w:ascii="Times New Roman" w:hAnsi="Times New Roman" w:eastAsia="方正仿宋_GBK" w:cs="方正仿宋_GBK"/>
          <w:spacing w:val="0"/>
          <w:szCs w:val="32"/>
          <w:u w:val="none" w:color="auto"/>
        </w:rPr>
        <w:t>亿元。</w:t>
      </w:r>
      <w:r>
        <w:rPr>
          <w:rFonts w:hint="eastAsia" w:ascii="Times New Roman" w:hAnsi="Times New Roman" w:eastAsia="方正仿宋_GBK" w:cs="方正仿宋_GBK"/>
          <w:spacing w:val="0"/>
          <w:szCs w:val="32"/>
          <w:highlight w:val="none"/>
          <w:u w:val="none" w:color="auto"/>
        </w:rPr>
        <w:t>围绕人工智能、新型储能等新兴领域，推动落地中新互联互通项目。</w:t>
      </w:r>
      <w:r>
        <w:rPr>
          <w:rFonts w:hint="eastAsia" w:ascii="Times New Roman" w:hAnsi="Times New Roman" w:eastAsia="方正仿宋_GBK" w:cs="方正仿宋_GBK"/>
          <w:spacing w:val="0"/>
          <w:szCs w:val="32"/>
          <w:highlight w:val="none"/>
          <w:u w:val="none" w:color="auto"/>
          <w:lang w:eastAsia="zh-CN"/>
        </w:rPr>
        <w:t>全力支撑</w:t>
      </w:r>
      <w:r>
        <w:rPr>
          <w:rFonts w:hint="eastAsia" w:ascii="Times New Roman" w:hAnsi="Times New Roman" w:eastAsia="方正仿宋_GBK" w:cs="方正仿宋_GBK"/>
          <w:spacing w:val="0"/>
          <w:szCs w:val="32"/>
          <w:u w:val="none" w:color="auto"/>
        </w:rPr>
        <w:t>川渝自贸试验区协同</w:t>
      </w:r>
      <w:r>
        <w:rPr>
          <w:rFonts w:hint="eastAsia" w:ascii="Times New Roman" w:hAnsi="Times New Roman" w:eastAsia="方正仿宋_GBK" w:cs="方正仿宋_GBK"/>
          <w:spacing w:val="0"/>
          <w:szCs w:val="32"/>
          <w:u w:val="none" w:color="auto"/>
          <w:lang w:eastAsia="zh-CN"/>
        </w:rPr>
        <w:t>开放推进工作</w:t>
      </w:r>
      <w:r>
        <w:rPr>
          <w:rFonts w:hint="eastAsia" w:ascii="Times New Roman" w:hAnsi="Times New Roman" w:eastAsia="方正仿宋_GBK" w:cs="方正仿宋_GBK"/>
          <w:spacing w:val="0"/>
          <w:szCs w:val="32"/>
          <w:u w:val="none" w:color="auto"/>
        </w:rPr>
        <w:t>，加快</w:t>
      </w:r>
      <w:r>
        <w:rPr>
          <w:rFonts w:hint="eastAsia" w:ascii="Times New Roman" w:hAnsi="Times New Roman" w:eastAsia="方正仿宋_GBK" w:cs="方正仿宋_GBK"/>
          <w:spacing w:val="0"/>
          <w:szCs w:val="32"/>
          <w:u w:val="none" w:color="auto"/>
          <w:lang w:eastAsia="zh-CN"/>
        </w:rPr>
        <w:t>建设</w:t>
      </w:r>
      <w:r>
        <w:rPr>
          <w:rFonts w:hint="eastAsia" w:ascii="Times New Roman" w:hAnsi="Times New Roman" w:eastAsia="方正仿宋_GBK" w:cs="方正仿宋_GBK"/>
          <w:spacing w:val="0"/>
          <w:szCs w:val="32"/>
          <w:u w:val="none" w:color="auto"/>
        </w:rPr>
        <w:t>重庆自贸试验区九龙坡板块提能升级。（</w:t>
      </w:r>
      <w:r>
        <w:rPr>
          <w:rFonts w:hint="eastAsia" w:ascii="Times New Roman" w:hAnsi="Times New Roman" w:eastAsia="方正楷体_GBK" w:cs="方正楷体_GBK"/>
          <w:spacing w:val="0"/>
          <w:szCs w:val="32"/>
          <w:u w:val="none" w:color="auto"/>
        </w:rPr>
        <w:t>责任单位：区经济信息委、区商务委、区文化旅游委、区卫生健康委、九龙新城园区管委会等</w:t>
      </w:r>
      <w:r>
        <w:rPr>
          <w:rFonts w:hint="eastAsia" w:ascii="Times New Roman" w:hAnsi="Times New Roman" w:eastAsia="方正仿宋_GBK" w:cs="方正仿宋_GBK"/>
          <w:spacing w:val="0"/>
          <w:szCs w:val="32"/>
          <w:u w:val="none" w:color="auto"/>
        </w:rPr>
        <w:t>）</w:t>
      </w:r>
    </w:p>
    <w:p w14:paraId="088EDB62">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hint="eastAsia"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14</w:t>
      </w:r>
      <w:r>
        <w:rPr>
          <w:rFonts w:ascii="Times New Roman" w:hAnsi="Times New Roman" w:eastAsia="方正仿宋_GBK" w:cs="方正仿宋_GBK"/>
          <w:b/>
          <w:sz w:val="32"/>
          <w:szCs w:val="32"/>
          <w:u w:val="none" w:color="auto"/>
        </w:rPr>
        <w:t>.</w:t>
      </w:r>
      <w:r>
        <w:rPr>
          <w:rFonts w:hint="eastAsia" w:ascii="Times New Roman" w:hAnsi="Times New Roman" w:eastAsia="方正仿宋_GBK" w:cs="方正仿宋_GBK"/>
          <w:b/>
          <w:sz w:val="32"/>
          <w:szCs w:val="32"/>
          <w:u w:val="none" w:color="auto"/>
        </w:rPr>
        <w:t>打造外贸外资综合服务体系</w:t>
      </w:r>
      <w:r>
        <w:rPr>
          <w:rFonts w:hint="eastAsia" w:ascii="Times New Roman" w:hAnsi="Times New Roman" w:eastAsia="方正仿宋_GBK" w:cs="方正仿宋_GBK"/>
          <w:bCs/>
          <w:sz w:val="32"/>
          <w:szCs w:val="32"/>
          <w:u w:val="none" w:color="auto"/>
        </w:rPr>
        <w:t>。</w:t>
      </w:r>
      <w:r>
        <w:rPr>
          <w:rFonts w:hint="eastAsia" w:ascii="Times New Roman" w:hAnsi="Times New Roman" w:eastAsia="方正仿宋_GBK" w:cs="方正仿宋_GBK"/>
          <w:bCs/>
          <w:sz w:val="32"/>
          <w:szCs w:val="32"/>
          <w:highlight w:val="none"/>
          <w:u w:val="none" w:color="auto"/>
        </w:rPr>
        <w:t>主动对接高标准国际贸易规则。高质量推进内外贸一体化建设，持续培育内外贸一体化“排头兵”企业，鼓励传统内贸企业围绕特色商品积极拓展外贸市场，推动有色金属基地、摩托车及零部件基地进出口总额分别达</w:t>
      </w:r>
      <w:r>
        <w:rPr>
          <w:rFonts w:hint="eastAsia" w:ascii="Times New Roman" w:hAnsi="Times New Roman" w:eastAsia="方正仿宋_GBK"/>
          <w:bCs/>
          <w:sz w:val="32"/>
          <w:szCs w:val="32"/>
          <w:highlight w:val="none"/>
          <w:u w:val="none" w:color="auto"/>
        </w:rPr>
        <w:t>20亿元、80</w:t>
      </w:r>
      <w:r>
        <w:rPr>
          <w:rFonts w:hint="eastAsia" w:ascii="Times New Roman" w:hAnsi="Times New Roman" w:eastAsia="方正仿宋_GBK" w:cs="方正仿宋_GBK"/>
          <w:bCs/>
          <w:sz w:val="32"/>
          <w:szCs w:val="32"/>
          <w:highlight w:val="none"/>
          <w:u w:val="none" w:color="auto"/>
        </w:rPr>
        <w:t>亿元。</w:t>
      </w:r>
      <w:r>
        <w:rPr>
          <w:rFonts w:hint="eastAsia" w:ascii="Times New Roman" w:hAnsi="Times New Roman" w:eastAsia="方正仿宋_GBK" w:cs="方正仿宋_GBK"/>
          <w:bCs/>
          <w:sz w:val="32"/>
          <w:szCs w:val="32"/>
          <w:u w:val="none" w:color="auto"/>
        </w:rPr>
        <w:t>优化货物贸易结构，扩大汽车整车出口规模，支持先进技术、关键设备和重要零部件等进口，增加农产品、日用消费品等产品进口。</w:t>
      </w:r>
      <w:r>
        <w:rPr>
          <w:rFonts w:hint="eastAsia" w:ascii="Times New Roman" w:hAnsi="Times New Roman" w:eastAsia="方正仿宋_GBK"/>
          <w:b w:val="0"/>
          <w:bCs/>
          <w:color w:val="auto"/>
          <w:sz w:val="32"/>
          <w:szCs w:val="32"/>
          <w:highlight w:val="none"/>
          <w:u w:val="none" w:color="auto"/>
          <w:lang w:val="en-US" w:eastAsia="zh-CN"/>
        </w:rPr>
        <w:t>大力推广“跨境电商+产业带”模式，拓宽新业态出口渠道。</w:t>
      </w:r>
      <w:r>
        <w:rPr>
          <w:rFonts w:hint="eastAsia" w:ascii="Times New Roman" w:hAnsi="Times New Roman" w:eastAsia="方正仿宋_GBK" w:cs="方正仿宋_GBK"/>
          <w:bCs/>
          <w:sz w:val="32"/>
          <w:szCs w:val="32"/>
          <w:u w:val="none" w:color="auto"/>
        </w:rPr>
        <w:t>优化外商投资全流程服务体系，落实重大外资项目“直通车”制度，积极推动外商投资企业再投资，</w:t>
      </w:r>
      <w:r>
        <w:rPr>
          <w:rFonts w:hint="eastAsia" w:ascii="Times New Roman" w:hAnsi="Times New Roman" w:eastAsia="方正仿宋_GBK"/>
          <w:bCs/>
          <w:sz w:val="32"/>
          <w:szCs w:val="32"/>
          <w:u w:val="none" w:color="auto"/>
        </w:rPr>
        <w:t>实现服务业使用外资占比达50%以上</w:t>
      </w:r>
      <w:r>
        <w:rPr>
          <w:rFonts w:hint="eastAsia" w:ascii="Times New Roman" w:hAnsi="Times New Roman" w:eastAsia="方正仿宋_GBK" w:cs="方正仿宋_GBK"/>
          <w:bCs/>
          <w:sz w:val="32"/>
          <w:szCs w:val="32"/>
          <w:u w:val="none" w:color="auto"/>
        </w:rPr>
        <w:t>。实施“百团千企”国际市场开拓计划，支持川渝企业持续拓市场、抢订单。</w:t>
      </w:r>
      <w:r>
        <w:rPr>
          <w:rFonts w:ascii="Times New Roman" w:hAnsi="Times New Roman" w:eastAsia="方正仿宋_GBK"/>
          <w:sz w:val="32"/>
          <w:szCs w:val="32"/>
          <w:u w:val="none" w:color="auto"/>
          <w:lang w:bidi="ar"/>
        </w:rPr>
        <w:t>（</w:t>
      </w:r>
      <w:r>
        <w:rPr>
          <w:rFonts w:hint="eastAsia" w:ascii="Times New Roman" w:hAnsi="Times New Roman" w:eastAsia="方正楷体_GBK" w:cs="方正楷体_GBK"/>
          <w:sz w:val="32"/>
          <w:szCs w:val="32"/>
          <w:u w:val="none" w:color="auto"/>
        </w:rPr>
        <w:t>责任单位：区经济信息委、区农业农村委、区商务委、九龙新城园区管委会等</w:t>
      </w:r>
      <w:r>
        <w:rPr>
          <w:rFonts w:ascii="Times New Roman" w:hAnsi="Times New Roman" w:eastAsia="方正仿宋_GBK"/>
          <w:sz w:val="32"/>
          <w:szCs w:val="32"/>
          <w:u w:val="none" w:color="auto"/>
          <w:lang w:bidi="ar"/>
        </w:rPr>
        <w:t>）</w:t>
      </w:r>
    </w:p>
    <w:p w14:paraId="2CAA20B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contextualSpacing/>
        <w:rPr>
          <w:rFonts w:hint="eastAsia"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15</w:t>
      </w:r>
      <w:r>
        <w:rPr>
          <w:rFonts w:hint="eastAsia" w:ascii="Times New Roman" w:hAnsi="Times New Roman" w:eastAsia="方正仿宋_GBK" w:cs="方正仿宋_GBK"/>
          <w:b/>
          <w:sz w:val="32"/>
          <w:szCs w:val="32"/>
          <w:u w:val="none" w:color="auto"/>
        </w:rPr>
        <w:t>.融入中西部国际交往中心建设</w:t>
      </w:r>
      <w:r>
        <w:rPr>
          <w:rFonts w:hint="eastAsia" w:ascii="Times New Roman" w:hAnsi="Times New Roman" w:eastAsia="方正仿宋_GBK" w:cs="方正仿宋_GBK"/>
          <w:bCs/>
          <w:sz w:val="32"/>
          <w:szCs w:val="32"/>
          <w:u w:val="none" w:color="auto"/>
        </w:rPr>
        <w:t>。深化“一带一路”沿线国家和地区物流枢纽联动，主动融入全市出海入境大通道建设体系。完善多元</w:t>
      </w:r>
      <w:r>
        <w:rPr>
          <w:rFonts w:hint="eastAsia" w:ascii="Times New Roman" w:hAnsi="Times New Roman" w:eastAsia="方正仿宋_GBK" w:cs="方正仿宋_GBK"/>
          <w:bCs/>
          <w:sz w:val="32"/>
          <w:szCs w:val="32"/>
          <w:u w:val="none" w:color="auto"/>
          <w:lang w:eastAsia="zh-CN"/>
        </w:rPr>
        <w:t>特色</w:t>
      </w:r>
      <w:r>
        <w:rPr>
          <w:rFonts w:hint="eastAsia" w:ascii="Times New Roman" w:hAnsi="Times New Roman" w:eastAsia="方正仿宋_GBK" w:cs="方正仿宋_GBK"/>
          <w:bCs/>
          <w:sz w:val="32"/>
          <w:szCs w:val="32"/>
          <w:u w:val="none" w:color="auto"/>
        </w:rPr>
        <w:t>国际交往机制</w:t>
      </w:r>
      <w:r>
        <w:rPr>
          <w:rFonts w:hint="eastAsia" w:ascii="Times New Roman" w:hAnsi="Times New Roman" w:eastAsia="方正仿宋_GBK" w:cs="方正仿宋_GBK"/>
          <w:bCs/>
          <w:sz w:val="32"/>
          <w:szCs w:val="32"/>
          <w:highlight w:val="none"/>
          <w:u w:val="none" w:color="auto"/>
        </w:rPr>
        <w:t>，依托领事机构、国际组织等外事资源，推动落地</w:t>
      </w:r>
      <w:r>
        <w:rPr>
          <w:rFonts w:hint="eastAsia" w:ascii="Times New Roman" w:hAnsi="Times New Roman" w:eastAsia="方正仿宋_GBK" w:cs="方正仿宋_GBK"/>
          <w:bCs/>
          <w:sz w:val="32"/>
          <w:szCs w:val="32"/>
          <w:highlight w:val="none"/>
          <w:u w:val="none" w:color="auto"/>
          <w:lang w:eastAsia="zh-CN"/>
        </w:rPr>
        <w:t>更多</w:t>
      </w:r>
      <w:r>
        <w:rPr>
          <w:rFonts w:hint="eastAsia" w:ascii="Times New Roman" w:hAnsi="Times New Roman" w:eastAsia="方正仿宋_GBK" w:cs="方正仿宋_GBK"/>
          <w:bCs/>
          <w:sz w:val="32"/>
          <w:szCs w:val="32"/>
          <w:highlight w:val="none"/>
          <w:u w:val="none" w:color="auto"/>
        </w:rPr>
        <w:t>国际性活动、赛事</w:t>
      </w:r>
      <w:r>
        <w:rPr>
          <w:rFonts w:hint="eastAsia" w:ascii="Times New Roman" w:hAnsi="Times New Roman" w:eastAsia="方正仿宋_GBK" w:cs="方正仿宋_GBK"/>
          <w:bCs/>
          <w:sz w:val="32"/>
          <w:szCs w:val="32"/>
          <w:u w:val="none" w:color="auto"/>
        </w:rPr>
        <w:t>。加快建设国际</w:t>
      </w:r>
      <w:r>
        <w:rPr>
          <w:rFonts w:hint="eastAsia" w:ascii="Times New Roman" w:hAnsi="Times New Roman" w:eastAsia="方正仿宋_GBK" w:cs="方正仿宋_GBK"/>
          <w:bCs/>
          <w:sz w:val="32"/>
          <w:szCs w:val="32"/>
          <w:u w:val="none" w:color="auto"/>
          <w:lang w:eastAsia="zh-CN"/>
        </w:rPr>
        <w:t>示范</w:t>
      </w:r>
      <w:r>
        <w:rPr>
          <w:rFonts w:hint="eastAsia" w:ascii="Times New Roman" w:hAnsi="Times New Roman" w:eastAsia="方正仿宋_GBK" w:cs="方正仿宋_GBK"/>
          <w:bCs/>
          <w:sz w:val="32"/>
          <w:szCs w:val="32"/>
          <w:u w:val="none" w:color="auto"/>
        </w:rPr>
        <w:t>街区、</w:t>
      </w:r>
      <w:r>
        <w:rPr>
          <w:rFonts w:hint="eastAsia" w:ascii="Times New Roman" w:hAnsi="Times New Roman" w:eastAsia="方正仿宋_GBK" w:cs="方正仿宋_GBK"/>
          <w:bCs/>
          <w:sz w:val="32"/>
          <w:szCs w:val="32"/>
          <w:u w:val="none" w:color="auto"/>
          <w:lang w:eastAsia="zh-CN"/>
        </w:rPr>
        <w:t>国际</w:t>
      </w:r>
      <w:r>
        <w:rPr>
          <w:rFonts w:hint="eastAsia" w:ascii="Times New Roman" w:hAnsi="Times New Roman" w:eastAsia="方正仿宋_GBK" w:cs="方正仿宋_GBK"/>
          <w:bCs/>
          <w:sz w:val="32"/>
          <w:szCs w:val="32"/>
          <w:u w:val="none" w:color="auto"/>
        </w:rPr>
        <w:t>医院、学校</w:t>
      </w:r>
      <w:r>
        <w:rPr>
          <w:rFonts w:hint="eastAsia" w:ascii="Times New Roman" w:hAnsi="Times New Roman" w:eastAsia="方正仿宋_GBK" w:cs="方正仿宋_GBK"/>
          <w:bCs/>
          <w:sz w:val="32"/>
          <w:szCs w:val="32"/>
          <w:u w:val="none" w:color="auto"/>
          <w:lang w:val="en-US" w:eastAsia="zh-CN"/>
        </w:rPr>
        <w:t>和特色外事参访点，形成1—2个具有较强国际辨识度的核心功能片区</w:t>
      </w:r>
      <w:r>
        <w:rPr>
          <w:rFonts w:hint="eastAsia" w:ascii="Times New Roman" w:hAnsi="Times New Roman" w:eastAsia="方正仿宋_GBK" w:cs="方正仿宋_GBK"/>
          <w:bCs/>
          <w:sz w:val="32"/>
          <w:szCs w:val="32"/>
          <w:u w:val="none" w:color="auto"/>
        </w:rPr>
        <w:t>。拓展与韩国釜山广域市中区等友好城市合作领域</w:t>
      </w:r>
      <w:r>
        <w:rPr>
          <w:rFonts w:hint="eastAsia" w:ascii="Times New Roman" w:hAnsi="Times New Roman" w:eastAsia="方正仿宋_GBK"/>
          <w:sz w:val="32"/>
          <w:szCs w:val="32"/>
          <w:highlight w:val="none"/>
          <w:u w:val="none" w:color="auto"/>
        </w:rPr>
        <w:t>，</w:t>
      </w:r>
      <w:r>
        <w:rPr>
          <w:rFonts w:hint="eastAsia" w:ascii="Times New Roman" w:hAnsi="Times New Roman" w:eastAsia="方正仿宋_GBK" w:cs="方正仿宋_GBK"/>
          <w:bCs/>
          <w:sz w:val="32"/>
          <w:szCs w:val="32"/>
          <w:highlight w:val="none"/>
          <w:u w:val="none" w:color="auto"/>
        </w:rPr>
        <w:t>力争国际友好城市和友好交流城市达</w:t>
      </w:r>
      <w:r>
        <w:rPr>
          <w:rFonts w:hint="eastAsia" w:ascii="Times New Roman" w:hAnsi="Times New Roman" w:eastAsia="方正仿宋_GBK"/>
          <w:bCs/>
          <w:sz w:val="32"/>
          <w:szCs w:val="32"/>
          <w:highlight w:val="none"/>
          <w:u w:val="none" w:color="auto"/>
        </w:rPr>
        <w:t>6</w:t>
      </w:r>
      <w:r>
        <w:rPr>
          <w:rFonts w:hint="eastAsia" w:ascii="Times New Roman" w:hAnsi="Times New Roman" w:eastAsia="方正仿宋_GBK" w:cs="方正仿宋_GBK"/>
          <w:bCs/>
          <w:sz w:val="32"/>
          <w:szCs w:val="32"/>
          <w:highlight w:val="none"/>
          <w:u w:val="none" w:color="auto"/>
        </w:rPr>
        <w:t>个</w:t>
      </w:r>
      <w:r>
        <w:rPr>
          <w:rFonts w:hint="eastAsia" w:ascii="Times New Roman" w:hAnsi="Times New Roman" w:eastAsia="方正仿宋_GBK" w:cs="方正仿宋_GBK"/>
          <w:bCs/>
          <w:sz w:val="32"/>
          <w:szCs w:val="32"/>
          <w:u w:val="none" w:color="auto"/>
        </w:rPr>
        <w:t>。</w:t>
      </w:r>
      <w:r>
        <w:rPr>
          <w:rFonts w:ascii="Times New Roman" w:hAnsi="Times New Roman" w:eastAsia="方正仿宋_GBK"/>
          <w:snapToGrid w:val="0"/>
          <w:kern w:val="44"/>
          <w:sz w:val="32"/>
          <w:szCs w:val="32"/>
          <w:u w:val="none" w:color="auto"/>
          <w:lang w:bidi="ar"/>
        </w:rPr>
        <w:t>（</w:t>
      </w:r>
      <w:r>
        <w:rPr>
          <w:rFonts w:hint="eastAsia" w:ascii="Times New Roman" w:hAnsi="Times New Roman" w:eastAsia="方正楷体_GBK" w:cs="方正楷体_GBK"/>
          <w:sz w:val="32"/>
          <w:szCs w:val="32"/>
          <w:u w:val="none" w:color="auto"/>
        </w:rPr>
        <w:t>责任单位：区政府办公室、区教委、区交通运输委、区商务委、区文化旅游委、九龙新城园区管委会等</w:t>
      </w:r>
      <w:r>
        <w:rPr>
          <w:rFonts w:ascii="Times New Roman" w:hAnsi="Times New Roman" w:eastAsia="方正仿宋_GBK"/>
          <w:snapToGrid w:val="0"/>
          <w:kern w:val="44"/>
          <w:sz w:val="32"/>
          <w:szCs w:val="32"/>
          <w:u w:val="none" w:color="auto"/>
          <w:lang w:bidi="ar"/>
        </w:rPr>
        <w:t>）</w:t>
      </w:r>
    </w:p>
    <w:p w14:paraId="30FD1D73">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（六）实施西部金融服务保障提质行动</w:t>
      </w:r>
    </w:p>
    <w:p w14:paraId="1FD63F5C">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仿宋_GBK" w:cs="方正仿宋_GBK"/>
          <w:spacing w:val="0"/>
          <w:szCs w:val="32"/>
          <w:u w:val="none" w:color="auto"/>
        </w:rPr>
      </w:pPr>
      <w:r>
        <w:rPr>
          <w:rFonts w:hint="eastAsia" w:ascii="Times New Roman" w:hAnsi="Times New Roman" w:eastAsia="方正仿宋_GBK" w:cs="方正仿宋_GBK"/>
          <w:spacing w:val="0"/>
          <w:szCs w:val="32"/>
          <w:u w:val="none" w:color="auto"/>
        </w:rPr>
        <w:t>积极落实“智融惠畅”工程，深度融入成渝地区金融服务体系，高水平建设西部金融中心产业金融集聚区，到</w:t>
      </w:r>
      <w:r>
        <w:rPr>
          <w:rFonts w:ascii="Times New Roman" w:hAnsi="Times New Roman" w:eastAsia="方正仿宋_GBK"/>
          <w:spacing w:val="0"/>
          <w:szCs w:val="32"/>
          <w:u w:val="none" w:color="auto"/>
        </w:rPr>
        <w:t>2030</w:t>
      </w:r>
      <w:r>
        <w:rPr>
          <w:rFonts w:hint="eastAsia" w:ascii="Times New Roman" w:hAnsi="Times New Roman" w:eastAsia="方正仿宋_GBK" w:cs="方正仿宋_GBK"/>
          <w:spacing w:val="0"/>
          <w:szCs w:val="32"/>
          <w:u w:val="none" w:color="auto"/>
        </w:rPr>
        <w:t>年，全区</w:t>
      </w:r>
      <w:r>
        <w:rPr>
          <w:rFonts w:hint="eastAsia" w:ascii="Times New Roman" w:hAnsi="Times New Roman" w:eastAsia="方正仿宋_GBK" w:cs="方正仿宋_GBK"/>
          <w:spacing w:val="0"/>
          <w:szCs w:val="32"/>
          <w:highlight w:val="none"/>
          <w:u w:val="none" w:color="auto"/>
        </w:rPr>
        <w:t>金融业增加值年均增长</w:t>
      </w:r>
      <w:r>
        <w:rPr>
          <w:rFonts w:hint="eastAsia" w:ascii="Times New Roman" w:hAnsi="Times New Roman" w:eastAsia="方正仿宋_GBK"/>
          <w:spacing w:val="0"/>
          <w:szCs w:val="32"/>
          <w:highlight w:val="none"/>
          <w:u w:val="none" w:color="auto"/>
        </w:rPr>
        <w:t>6%</w:t>
      </w:r>
      <w:r>
        <w:rPr>
          <w:rFonts w:hint="eastAsia" w:ascii="Times New Roman" w:hAnsi="Times New Roman" w:eastAsia="方正仿宋_GBK" w:cs="方正仿宋_GBK"/>
          <w:spacing w:val="0"/>
          <w:szCs w:val="32"/>
          <w:u w:val="none" w:color="auto"/>
        </w:rPr>
        <w:t>。</w:t>
      </w:r>
    </w:p>
    <w:p w14:paraId="0279EBA2">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ascii="Times New Roman" w:hAnsi="Times New Roman" w:eastAsia="方正仿宋_GBK"/>
          <w:spacing w:val="0"/>
          <w:szCs w:val="32"/>
          <w:u w:val="none" w:color="auto"/>
        </w:rPr>
      </w:pPr>
      <w:r>
        <w:rPr>
          <w:rFonts w:ascii="Times New Roman" w:hAnsi="Times New Roman" w:eastAsia="方正仿宋_GBK"/>
          <w:b/>
          <w:bCs w:val="0"/>
          <w:spacing w:val="0"/>
          <w:szCs w:val="32"/>
          <w:u w:val="none" w:color="auto"/>
        </w:rPr>
        <w:t>16</w:t>
      </w:r>
      <w:r>
        <w:rPr>
          <w:rFonts w:hint="eastAsia" w:ascii="Times New Roman" w:hAnsi="Times New Roman" w:eastAsia="方正仿宋_GBK" w:cs="方正仿宋_GBK"/>
          <w:b/>
          <w:bCs w:val="0"/>
          <w:spacing w:val="0"/>
          <w:szCs w:val="32"/>
          <w:u w:val="none" w:color="auto"/>
        </w:rPr>
        <w:t>.推动成渝金融市场互联互通</w:t>
      </w:r>
      <w:r>
        <w:rPr>
          <w:rFonts w:hint="eastAsia" w:ascii="Times New Roman" w:hAnsi="Times New Roman" w:eastAsia="方正仿宋_GBK"/>
          <w:spacing w:val="0"/>
          <w:szCs w:val="32"/>
          <w:u w:val="none" w:color="auto"/>
        </w:rPr>
        <w:t>。充分应用成渝地区跨省域金融数智化服务平台，积极开展科技金融、绿色金融、普惠金融、养老金融、数字金融等领域改革创新试点。</w:t>
      </w:r>
      <w:r>
        <w:rPr>
          <w:rFonts w:hint="eastAsia" w:ascii="Times New Roman" w:hAnsi="Times New Roman" w:eastAsia="方正仿宋_GBK" w:cs="方正仿宋_GBK"/>
          <w:spacing w:val="0"/>
          <w:szCs w:val="32"/>
          <w:u w:val="none" w:color="auto"/>
        </w:rPr>
        <w:t>深度融入成渝地区</w:t>
      </w:r>
      <w:r>
        <w:rPr>
          <w:rFonts w:hint="eastAsia" w:ascii="Times New Roman" w:hAnsi="Times New Roman" w:eastAsia="方正仿宋_GBK" w:cs="方正仿宋_GBK"/>
          <w:spacing w:val="0"/>
          <w:szCs w:val="32"/>
          <w:u w:val="none" w:color="auto"/>
          <w:lang w:val="en-US" w:eastAsia="zh-CN"/>
        </w:rPr>
        <w:t>同城化</w:t>
      </w:r>
      <w:r>
        <w:rPr>
          <w:rFonts w:hint="eastAsia" w:ascii="Times New Roman" w:hAnsi="Times New Roman" w:eastAsia="方正仿宋_GBK" w:cs="方正仿宋_GBK"/>
          <w:spacing w:val="0"/>
          <w:szCs w:val="32"/>
          <w:u w:val="none" w:color="auto"/>
        </w:rPr>
        <w:t>金融服务体系，</w:t>
      </w:r>
      <w:r>
        <w:rPr>
          <w:rFonts w:hint="eastAsia" w:ascii="Times New Roman" w:hAnsi="Times New Roman" w:eastAsia="方正仿宋_GBK" w:cs="方正仿宋_GBK"/>
          <w:spacing w:val="0"/>
          <w:szCs w:val="32"/>
          <w:u w:val="none" w:color="auto"/>
          <w:lang w:val="en-US" w:eastAsia="zh-CN"/>
        </w:rPr>
        <w:t>积极参与</w:t>
      </w:r>
      <w:r>
        <w:rPr>
          <w:rFonts w:hint="eastAsia" w:ascii="Times New Roman" w:hAnsi="Times New Roman" w:eastAsia="方正仿宋_GBK" w:cs="方正仿宋_GBK"/>
          <w:spacing w:val="0"/>
          <w:szCs w:val="32"/>
          <w:u w:val="none" w:color="auto"/>
        </w:rPr>
        <w:t>川渝地区金融信息归集、共享和应用，促进金融要素跨区域流动。</w:t>
      </w:r>
      <w:r>
        <w:rPr>
          <w:rFonts w:hint="eastAsia" w:ascii="Times New Roman" w:hAnsi="Times New Roman" w:eastAsia="方正仿宋_GBK"/>
          <w:spacing w:val="0"/>
          <w:szCs w:val="32"/>
          <w:u w:val="none" w:color="auto"/>
        </w:rPr>
        <w:t>融入跨境金融服务体系建设，支持市场主体通过西部陆海新通道金融服务场景实现高效投融资和便捷结算。</w:t>
      </w:r>
      <w:r>
        <w:rPr>
          <w:rFonts w:hint="eastAsia" w:ascii="Times New Roman" w:hAnsi="Times New Roman" w:eastAsia="方正仿宋_GBK"/>
          <w:spacing w:val="0"/>
          <w:szCs w:val="32"/>
          <w:highlight w:val="none"/>
          <w:u w:val="none" w:color="auto"/>
          <w:lang w:eastAsia="zh-CN"/>
        </w:rPr>
        <w:t>支持</w:t>
      </w:r>
      <w:r>
        <w:rPr>
          <w:rFonts w:hint="eastAsia" w:ascii="Times New Roman" w:hAnsi="Times New Roman" w:eastAsia="方正仿宋_GBK"/>
          <w:spacing w:val="0"/>
          <w:szCs w:val="32"/>
          <w:highlight w:val="none"/>
          <w:u w:val="none" w:color="auto"/>
          <w:lang w:val="en-US" w:eastAsia="zh"/>
        </w:rPr>
        <w:t>法人金融机构、金融机构区域性总部、功能性总部及分支机构落户发展</w:t>
      </w:r>
      <w:r>
        <w:rPr>
          <w:rFonts w:hint="eastAsia" w:ascii="Times New Roman" w:hAnsi="Times New Roman" w:eastAsia="方正仿宋_GBK"/>
          <w:spacing w:val="0"/>
          <w:szCs w:val="32"/>
          <w:highlight w:val="none"/>
          <w:u w:val="none" w:color="auto"/>
          <w:lang w:val="en-US" w:eastAsia="zh-CN"/>
        </w:rPr>
        <w:t>。</w:t>
      </w:r>
      <w:r>
        <w:rPr>
          <w:rFonts w:ascii="Times New Roman" w:hAnsi="Times New Roman" w:eastAsia="方正仿宋_GBK"/>
          <w:szCs w:val="32"/>
          <w:u w:val="none" w:color="auto"/>
        </w:rPr>
        <w:t>（</w:t>
      </w:r>
      <w:r>
        <w:rPr>
          <w:rFonts w:hint="eastAsia" w:ascii="Times New Roman" w:hAnsi="Times New Roman" w:eastAsia="方正楷体_GBK" w:cs="方正楷体_GBK"/>
          <w:spacing w:val="0"/>
          <w:szCs w:val="32"/>
          <w:u w:val="none" w:color="auto"/>
        </w:rPr>
        <w:t>责任单位：区政府办公室等</w:t>
      </w:r>
      <w:r>
        <w:rPr>
          <w:rFonts w:ascii="Times New Roman" w:hAnsi="Times New Roman" w:eastAsia="方正仿宋_GBK"/>
          <w:spacing w:val="0"/>
          <w:szCs w:val="32"/>
          <w:u w:val="none" w:color="auto"/>
        </w:rPr>
        <w:t>）</w:t>
      </w:r>
    </w:p>
    <w:p w14:paraId="4AEEE2C5">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bCs/>
          <w:sz w:val="32"/>
          <w:szCs w:val="32"/>
          <w:u w:val="none" w:color="auto"/>
        </w:rPr>
      </w:pPr>
      <w:r>
        <w:rPr>
          <w:rFonts w:ascii="Times New Roman" w:hAnsi="Times New Roman" w:eastAsia="方正仿宋_GBK"/>
          <w:b/>
          <w:sz w:val="32"/>
          <w:szCs w:val="32"/>
          <w:u w:val="none" w:color="auto"/>
        </w:rPr>
        <w:t>17</w:t>
      </w:r>
      <w:r>
        <w:rPr>
          <w:rFonts w:ascii="Times New Roman" w:hAnsi="Times New Roman" w:eastAsia="方正仿宋_GBK" w:cs="方正仿宋_GBK"/>
          <w:b/>
          <w:sz w:val="32"/>
          <w:szCs w:val="32"/>
          <w:u w:val="none" w:color="auto"/>
        </w:rPr>
        <w:t>.</w:t>
      </w:r>
      <w:r>
        <w:rPr>
          <w:rFonts w:hint="eastAsia" w:ascii="Times New Roman" w:hAnsi="Times New Roman" w:eastAsia="方正仿宋_GBK"/>
          <w:b/>
          <w:sz w:val="32"/>
          <w:szCs w:val="32"/>
          <w:u w:val="none" w:color="auto"/>
        </w:rPr>
        <w:t>用好多层次资本市场</w:t>
      </w:r>
      <w:r>
        <w:rPr>
          <w:rFonts w:hint="eastAsia" w:ascii="Times New Roman" w:hAnsi="Times New Roman" w:eastAsia="方正仿宋_GBK"/>
          <w:bCs/>
          <w:sz w:val="32"/>
          <w:szCs w:val="32"/>
          <w:u w:val="none" w:color="auto"/>
        </w:rPr>
        <w:t>。落实企业上市“千里马”行动，开展“认股权+”业务模式创新，健全金融有效服务实体经济长效机制。</w:t>
      </w:r>
      <w:r>
        <w:rPr>
          <w:rFonts w:hint="eastAsia" w:ascii="Times New Roman" w:hAnsi="Times New Roman" w:eastAsia="方正仿宋_GBK"/>
          <w:bCs/>
          <w:sz w:val="32"/>
          <w:szCs w:val="32"/>
          <w:highlight w:val="none"/>
          <w:u w:val="none" w:color="auto"/>
        </w:rPr>
        <w:t>统筹推进国有基金与市场化基金协同发展，</w:t>
      </w:r>
      <w:r>
        <w:rPr>
          <w:rFonts w:hint="eastAsia" w:ascii="Times New Roman" w:hAnsi="Times New Roman" w:eastAsia="方正仿宋_GBK"/>
          <w:bCs/>
          <w:sz w:val="32"/>
          <w:szCs w:val="32"/>
          <w:u w:val="none" w:color="auto"/>
        </w:rPr>
        <w:t>充分发挥九龙西证枢纽港先进制造业基金引领作用和杠杆作用。打造通道金融服务枢纽，协同</w:t>
      </w:r>
      <w:r>
        <w:rPr>
          <w:rFonts w:hint="eastAsia" w:ascii="Times New Roman" w:hAnsi="Times New Roman" w:eastAsia="方正仿宋_GBK"/>
          <w:bCs/>
          <w:sz w:val="32"/>
          <w:szCs w:val="32"/>
          <w:u w:val="none" w:color="auto"/>
          <w:lang w:eastAsia="zh-CN"/>
        </w:rPr>
        <w:t>川渝其他地区</w:t>
      </w:r>
      <w:r>
        <w:rPr>
          <w:rFonts w:hint="eastAsia" w:ascii="Times New Roman" w:hAnsi="Times New Roman" w:eastAsia="方正仿宋_GBK"/>
          <w:bCs/>
          <w:sz w:val="32"/>
          <w:szCs w:val="32"/>
          <w:u w:val="none" w:color="auto"/>
        </w:rPr>
        <w:t>优化跨区域金融服务，推动科技贷款余额达500亿元、绿色转型贷款余额达530亿元。</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责任单位：区政府办公室等</w:t>
      </w:r>
      <w:r>
        <w:rPr>
          <w:rFonts w:ascii="Times New Roman" w:hAnsi="Times New Roman" w:eastAsia="方正仿宋_GBK"/>
          <w:sz w:val="32"/>
          <w:szCs w:val="32"/>
          <w:u w:val="none" w:color="auto"/>
        </w:rPr>
        <w:t>）</w:t>
      </w:r>
    </w:p>
    <w:p w14:paraId="3B748161">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18</w:t>
      </w:r>
      <w:r>
        <w:rPr>
          <w:rFonts w:ascii="Times New Roman" w:hAnsi="Times New Roman" w:eastAsia="方正仿宋_GBK" w:cs="方正仿宋_GBK"/>
          <w:b/>
          <w:sz w:val="32"/>
          <w:szCs w:val="32"/>
          <w:u w:val="none" w:color="auto"/>
        </w:rPr>
        <w:t>.</w:t>
      </w:r>
      <w:r>
        <w:rPr>
          <w:rFonts w:hint="eastAsia" w:ascii="Times New Roman" w:hAnsi="Times New Roman" w:eastAsia="方正仿宋_GBK" w:cs="方正仿宋_GBK"/>
          <w:b/>
          <w:sz w:val="32"/>
          <w:szCs w:val="32"/>
          <w:u w:val="none" w:color="auto"/>
        </w:rPr>
        <w:t>提升</w:t>
      </w:r>
      <w:r>
        <w:rPr>
          <w:rFonts w:ascii="Times New Roman" w:hAnsi="Times New Roman" w:eastAsia="方正仿宋_GBK" w:cs="方正仿宋_GBK"/>
          <w:b/>
          <w:sz w:val="32"/>
          <w:szCs w:val="32"/>
          <w:u w:val="none" w:color="auto"/>
        </w:rPr>
        <w:t>金融</w:t>
      </w:r>
      <w:r>
        <w:rPr>
          <w:rFonts w:hint="eastAsia" w:ascii="Times New Roman" w:hAnsi="Times New Roman" w:eastAsia="方正仿宋_GBK" w:cs="方正仿宋_GBK"/>
          <w:b/>
          <w:sz w:val="32"/>
          <w:szCs w:val="32"/>
          <w:u w:val="none" w:color="auto"/>
        </w:rPr>
        <w:t>服务</w:t>
      </w:r>
      <w:r>
        <w:rPr>
          <w:rFonts w:ascii="Times New Roman" w:hAnsi="Times New Roman" w:eastAsia="方正仿宋_GBK" w:cs="方正仿宋_GBK"/>
          <w:b/>
          <w:sz w:val="32"/>
          <w:szCs w:val="32"/>
          <w:u w:val="none" w:color="auto"/>
        </w:rPr>
        <w:t>实体经济</w:t>
      </w:r>
      <w:r>
        <w:rPr>
          <w:rFonts w:hint="eastAsia" w:ascii="Times New Roman" w:hAnsi="Times New Roman" w:eastAsia="方正仿宋_GBK" w:cs="方正仿宋_GBK"/>
          <w:b/>
          <w:sz w:val="32"/>
          <w:szCs w:val="32"/>
          <w:u w:val="none" w:color="auto"/>
        </w:rPr>
        <w:t>能力</w:t>
      </w:r>
      <w:r>
        <w:rPr>
          <w:rFonts w:hint="eastAsia" w:ascii="Times New Roman" w:hAnsi="Times New Roman" w:eastAsia="方正仿宋_GBK"/>
          <w:bCs/>
          <w:sz w:val="32"/>
          <w:szCs w:val="32"/>
          <w:u w:val="none" w:color="auto"/>
        </w:rPr>
        <w:t>。</w:t>
      </w:r>
      <w:r>
        <w:rPr>
          <w:rFonts w:hint="eastAsia" w:ascii="Times New Roman" w:hAnsi="Times New Roman" w:eastAsia="方正仿宋_GBK"/>
          <w:bCs/>
          <w:sz w:val="32"/>
          <w:szCs w:val="32"/>
          <w:highlight w:val="none"/>
          <w:u w:val="none" w:color="auto"/>
        </w:rPr>
        <w:t>完善“股贷债保”</w:t>
      </w:r>
      <w:r>
        <w:rPr>
          <w:rFonts w:hint="eastAsia" w:ascii="Times New Roman" w:hAnsi="Times New Roman" w:eastAsia="方正仿宋_GBK" w:cs="方正仿宋_GBK"/>
          <w:sz w:val="32"/>
          <w:szCs w:val="32"/>
          <w:highlight w:val="none"/>
          <w:u w:val="none" w:color="auto"/>
        </w:rPr>
        <w:t>“募投管退”</w:t>
      </w:r>
      <w:r>
        <w:rPr>
          <w:rFonts w:hint="eastAsia" w:ascii="Times New Roman" w:hAnsi="Times New Roman" w:eastAsia="方正仿宋_GBK"/>
          <w:bCs/>
          <w:sz w:val="32"/>
          <w:szCs w:val="32"/>
          <w:highlight w:val="none"/>
          <w:u w:val="none" w:color="auto"/>
        </w:rPr>
        <w:t>等科技金融综合服务体系，</w:t>
      </w:r>
      <w:r>
        <w:rPr>
          <w:rFonts w:hint="eastAsia" w:ascii="Times New Roman" w:hAnsi="Times New Roman" w:eastAsia="方正仿宋_GBK" w:cs="方正仿宋_GBK"/>
          <w:bCs/>
          <w:sz w:val="32"/>
          <w:szCs w:val="32"/>
          <w:highlight w:val="none"/>
          <w:u w:val="none" w:color="auto"/>
        </w:rPr>
        <w:t>撬动耐心资本投早、投小、投长期、投硬科技。强化普惠小微、涉农、消费</w:t>
      </w:r>
      <w:r>
        <w:rPr>
          <w:rFonts w:hint="eastAsia" w:ascii="Times New Roman" w:hAnsi="Times New Roman" w:eastAsia="方正仿宋_GBK" w:cs="方正仿宋_GBK"/>
          <w:bCs/>
          <w:sz w:val="32"/>
          <w:szCs w:val="32"/>
          <w:highlight w:val="none"/>
          <w:u w:val="none" w:color="auto"/>
          <w:lang w:val="en-US" w:eastAsia="zh-CN"/>
        </w:rPr>
        <w:t>和</w:t>
      </w:r>
      <w:r>
        <w:rPr>
          <w:rFonts w:hint="eastAsia" w:ascii="Times New Roman" w:hAnsi="Times New Roman" w:eastAsia="方正仿宋_GBK" w:cs="方正仿宋_GBK"/>
          <w:bCs/>
          <w:sz w:val="32"/>
          <w:szCs w:val="32"/>
          <w:highlight w:val="none"/>
          <w:u w:val="none" w:color="auto"/>
        </w:rPr>
        <w:t>民生等领域金融服务供给，落实银担风险政策。用好数字金融系统，支持金融机构加快数字化转型，落地更多“</w:t>
      </w:r>
      <w:r>
        <w:rPr>
          <w:rFonts w:hint="eastAsia" w:ascii="Times New Roman" w:hAnsi="Times New Roman" w:eastAsia="方正仿宋_GBK"/>
          <w:bCs/>
          <w:sz w:val="32"/>
          <w:szCs w:val="32"/>
          <w:highlight w:val="none"/>
          <w:u w:val="none" w:color="auto"/>
        </w:rPr>
        <w:t>AI+</w:t>
      </w:r>
      <w:r>
        <w:rPr>
          <w:rFonts w:hint="eastAsia" w:ascii="Times New Roman" w:hAnsi="Times New Roman" w:eastAsia="方正仿宋_GBK" w:cs="方正仿宋_GBK"/>
          <w:bCs/>
          <w:sz w:val="32"/>
          <w:szCs w:val="32"/>
          <w:highlight w:val="none"/>
          <w:u w:val="none" w:color="auto"/>
        </w:rPr>
        <w:t>金融”应用场景</w:t>
      </w:r>
      <w:r>
        <w:rPr>
          <w:rFonts w:hint="eastAsia" w:ascii="Times New Roman" w:hAnsi="Times New Roman" w:eastAsia="方正仿宋_GBK" w:cs="方正仿宋_GBK"/>
          <w:bCs/>
          <w:sz w:val="32"/>
          <w:szCs w:val="32"/>
          <w:u w:val="none" w:color="auto"/>
        </w:rPr>
        <w:t>，</w:t>
      </w:r>
      <w:r>
        <w:rPr>
          <w:rFonts w:hint="eastAsia" w:ascii="Times New Roman" w:hAnsi="Times New Roman" w:eastAsia="方正仿宋_GBK"/>
          <w:bCs/>
          <w:sz w:val="32"/>
          <w:szCs w:val="32"/>
          <w:u w:val="none" w:color="auto"/>
        </w:rPr>
        <w:t>数字金融贷款余额增长20%。</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责任单位：区政府办公室、区经济信息委等</w:t>
      </w:r>
      <w:r>
        <w:rPr>
          <w:rFonts w:ascii="Times New Roman" w:hAnsi="Times New Roman" w:eastAsia="方正仿宋_GBK"/>
          <w:sz w:val="32"/>
          <w:szCs w:val="32"/>
          <w:u w:val="none" w:color="auto"/>
        </w:rPr>
        <w:t>）</w:t>
      </w:r>
    </w:p>
    <w:p w14:paraId="47D4DDE9">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（七）实施巴蜀特色国际消费目的地重要承载区焕彩行动</w:t>
      </w:r>
    </w:p>
    <w:p w14:paraId="2797F5F6">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0" w:firstLineChars="200"/>
        <w:rPr>
          <w:rFonts w:hint="eastAsia" w:ascii="Times New Roman" w:hAnsi="Times New Roman" w:eastAsia="方正仿宋_GBK" w:cs="方正仿宋_GBK"/>
          <w:bCs/>
          <w:sz w:val="32"/>
          <w:szCs w:val="32"/>
          <w:u w:val="none" w:color="auto"/>
        </w:rPr>
      </w:pPr>
      <w:r>
        <w:rPr>
          <w:rFonts w:hint="eastAsia" w:ascii="Times New Roman" w:hAnsi="Times New Roman" w:eastAsia="方正仿宋_GBK" w:cs="方正仿宋_GBK"/>
          <w:bCs/>
          <w:sz w:val="32"/>
          <w:szCs w:val="32"/>
          <w:u w:val="none" w:color="auto"/>
        </w:rPr>
        <w:t>打造具有国际影响力的城市消费品牌，着力建设国际消费中心区，到</w:t>
      </w:r>
      <w:r>
        <w:rPr>
          <w:rFonts w:ascii="Times New Roman" w:hAnsi="Times New Roman" w:eastAsia="方正仿宋_GBK"/>
          <w:bCs/>
          <w:sz w:val="32"/>
          <w:szCs w:val="32"/>
          <w:u w:val="none" w:color="auto"/>
        </w:rPr>
        <w:t>2030</w:t>
      </w:r>
      <w:r>
        <w:rPr>
          <w:rFonts w:hint="eastAsia" w:ascii="Times New Roman" w:hAnsi="Times New Roman" w:eastAsia="方正仿宋_GBK" w:cs="方正仿宋_GBK"/>
          <w:bCs/>
          <w:sz w:val="32"/>
          <w:szCs w:val="32"/>
          <w:u w:val="none" w:color="auto"/>
        </w:rPr>
        <w:t>年，全区文化和旅游产业增加值占</w:t>
      </w:r>
      <w:r>
        <w:rPr>
          <w:rFonts w:hint="eastAsia" w:ascii="Times New Roman" w:hAnsi="Times New Roman" w:eastAsia="方正仿宋_GBK"/>
          <w:bCs/>
          <w:sz w:val="32"/>
          <w:szCs w:val="32"/>
          <w:u w:val="none" w:color="auto"/>
        </w:rPr>
        <w:t>GDP</w:t>
      </w:r>
      <w:r>
        <w:rPr>
          <w:rFonts w:hint="eastAsia" w:ascii="Times New Roman" w:hAnsi="Times New Roman" w:eastAsia="方正仿宋_GBK" w:cs="方正仿宋_GBK"/>
          <w:bCs/>
          <w:sz w:val="32"/>
          <w:szCs w:val="32"/>
          <w:u w:val="none" w:color="auto"/>
        </w:rPr>
        <w:t>比重分别达到</w:t>
      </w:r>
      <w:r>
        <w:rPr>
          <w:rFonts w:hint="eastAsia" w:ascii="Times New Roman" w:hAnsi="Times New Roman" w:eastAsia="方正仿宋_GBK"/>
          <w:bCs/>
          <w:sz w:val="32"/>
          <w:szCs w:val="32"/>
          <w:u w:val="none" w:color="auto"/>
        </w:rPr>
        <w:t>6.8%、5.5%</w:t>
      </w:r>
      <w:r>
        <w:rPr>
          <w:rFonts w:hint="eastAsia" w:ascii="Times New Roman" w:hAnsi="Times New Roman" w:eastAsia="方正仿宋_GBK" w:cs="方正仿宋_GBK"/>
          <w:bCs/>
          <w:sz w:val="32"/>
          <w:szCs w:val="32"/>
          <w:u w:val="none" w:color="auto"/>
        </w:rPr>
        <w:t>，游客总花费</w:t>
      </w:r>
      <w:r>
        <w:rPr>
          <w:rFonts w:hint="eastAsia" w:ascii="Times New Roman" w:hAnsi="Times New Roman" w:eastAsia="方正仿宋_GBK" w:cs="方正仿宋_GBK"/>
          <w:bCs/>
          <w:sz w:val="32"/>
          <w:szCs w:val="32"/>
          <w:u w:val="none" w:color="auto"/>
          <w:lang w:val="en-US" w:eastAsia="zh-CN"/>
        </w:rPr>
        <w:t>达</w:t>
      </w:r>
      <w:r>
        <w:rPr>
          <w:rFonts w:hint="eastAsia" w:ascii="Times New Roman" w:hAnsi="Times New Roman" w:eastAsia="方正仿宋_GBK"/>
          <w:bCs/>
          <w:sz w:val="32"/>
          <w:szCs w:val="32"/>
          <w:u w:val="none" w:color="auto"/>
        </w:rPr>
        <w:t>866</w:t>
      </w:r>
      <w:r>
        <w:rPr>
          <w:rFonts w:hint="eastAsia" w:ascii="Times New Roman" w:hAnsi="Times New Roman" w:eastAsia="方正仿宋_GBK" w:cs="方正仿宋_GBK"/>
          <w:bCs/>
          <w:sz w:val="32"/>
          <w:szCs w:val="32"/>
          <w:u w:val="none" w:color="auto"/>
        </w:rPr>
        <w:t>亿元。</w:t>
      </w:r>
    </w:p>
    <w:p w14:paraId="2FD164B7">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hint="eastAsia"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19</w:t>
      </w:r>
      <w:r>
        <w:rPr>
          <w:rFonts w:hint="eastAsia" w:ascii="Times New Roman" w:hAnsi="Times New Roman" w:eastAsia="方正仿宋_GBK" w:cs="方正仿宋_GBK"/>
          <w:b/>
          <w:sz w:val="32"/>
          <w:szCs w:val="32"/>
          <w:u w:val="none" w:color="auto"/>
        </w:rPr>
        <w:t>.积极融入巴蜀文化旅游走廊建设</w:t>
      </w:r>
      <w:r>
        <w:rPr>
          <w:rFonts w:hint="eastAsia" w:ascii="Times New Roman" w:hAnsi="Times New Roman" w:eastAsia="方正仿宋_GBK" w:cs="方正仿宋_GBK"/>
          <w:bCs/>
          <w:sz w:val="32"/>
          <w:szCs w:val="32"/>
          <w:u w:val="none" w:color="auto"/>
        </w:rPr>
        <w:t>。唱响“九龙坡，欢乐多”品牌，积极融入巴蜀文化生态保护实验区建设。打造巴蜀文化旅游走廊特色窗口和区域节点，打造成渝铁路观光旅游线路，持续举办成渝双城文化艺术周等活动，提档升级九龙楹联馆、汉陶博物馆。构建特色都市滨江文旅融合带，依托长江岸线和巴蜀古道历史脉络，串联核心旅游资源，协同推进沿江沿山人文景观与生态空间的整体塑造和功能提升。深化与</w:t>
      </w:r>
      <w:r>
        <w:rPr>
          <w:rFonts w:hint="eastAsia" w:ascii="Times New Roman" w:hAnsi="Times New Roman" w:eastAsia="方正仿宋_GBK" w:cs="方正仿宋_GBK"/>
          <w:bCs/>
          <w:sz w:val="32"/>
          <w:szCs w:val="32"/>
          <w:u w:val="none" w:color="auto"/>
          <w:lang w:eastAsia="zh-CN"/>
        </w:rPr>
        <w:t>川渝其他地区</w:t>
      </w:r>
      <w:r>
        <w:rPr>
          <w:rFonts w:hint="eastAsia" w:ascii="Times New Roman" w:hAnsi="Times New Roman" w:eastAsia="方正仿宋_GBK" w:cs="方正仿宋_GBK"/>
          <w:bCs/>
          <w:sz w:val="32"/>
          <w:szCs w:val="32"/>
          <w:u w:val="none" w:color="auto"/>
        </w:rPr>
        <w:t>文旅规划对接、线路互通、景区联动，积极参加巴蜀文旅全球推广行动，落实入境旅游“渝进蓉出”“蓉进渝出”机制，集聚更多旅居人口。</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责任单位：区文化旅游委等</w:t>
      </w:r>
      <w:r>
        <w:rPr>
          <w:rFonts w:ascii="Times New Roman" w:hAnsi="Times New Roman" w:eastAsia="方正仿宋_GBK"/>
          <w:sz w:val="32"/>
          <w:szCs w:val="32"/>
          <w:u w:val="none" w:color="auto"/>
        </w:rPr>
        <w:t>）</w:t>
      </w:r>
    </w:p>
    <w:p w14:paraId="005AFD1C">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20</w:t>
      </w:r>
      <w:r>
        <w:rPr>
          <w:rFonts w:ascii="Times New Roman" w:hAnsi="Times New Roman" w:eastAsia="方正仿宋_GBK" w:cs="方正仿宋_GBK"/>
          <w:b/>
          <w:sz w:val="32"/>
          <w:szCs w:val="32"/>
          <w:u w:val="none" w:color="auto"/>
        </w:rPr>
        <w:t>.</w:t>
      </w:r>
      <w:r>
        <w:rPr>
          <w:rFonts w:hint="eastAsia" w:ascii="Times New Roman" w:hAnsi="Times New Roman" w:eastAsia="方正仿宋_GBK" w:cs="方正仿宋_GBK"/>
          <w:b/>
          <w:sz w:val="32"/>
          <w:szCs w:val="32"/>
          <w:u w:val="none" w:color="auto"/>
        </w:rPr>
        <w:t>融合发展商品消费和服务消费</w:t>
      </w:r>
      <w:r>
        <w:rPr>
          <w:rFonts w:hint="eastAsia" w:ascii="Times New Roman" w:hAnsi="Times New Roman" w:eastAsia="方正仿宋_GBK" w:cs="方正仿宋_GBK"/>
          <w:bCs/>
          <w:sz w:val="32"/>
          <w:szCs w:val="32"/>
          <w:u w:val="none" w:color="auto"/>
        </w:rPr>
        <w:t>。</w:t>
      </w:r>
      <w:r>
        <w:rPr>
          <w:rFonts w:hint="eastAsia" w:ascii="Times New Roman" w:hAnsi="Times New Roman" w:eastAsia="方正仿宋_GBK" w:cs="方正仿宋_GBK"/>
          <w:bCs/>
          <w:sz w:val="32"/>
          <w:szCs w:val="32"/>
          <w:u w:val="none" w:color="auto"/>
          <w:lang w:val="en-US" w:eastAsia="zh-CN"/>
        </w:rPr>
        <w:t>加速构建“杨—万—园”消费集聚区，推动杨家坪、万象城、石桥铺商圈功能优化、业态转型、能级提升，做优巴国城、直港大道等国家级特色商业街，培育黄桷坪涂鸦街等人文潮流非标街区。推动家政与养老、育幼、助餐深度融合，鼓励发展深度保洁、整理收纳等新兴服务。培育“九龙江湖菜榜单”，精准引进国际美食及国内特色菜系，推动“餐饮+文旅”“餐饮+体育”融合发展。围绕商圈、枢纽、景点，积极引进知名酒店品牌，打造主题客房和特色住宿场景，推动住宿与文娱、旅游互动融合。鼓励老旧酒店结合城市更新开展改造升级，创建“国家绿色饭店”“星级酒店”。引导数字化转型，推出虚拟选房、智能语音控制等服务。</w:t>
      </w:r>
      <w:r>
        <w:rPr>
          <w:rFonts w:hint="eastAsia" w:ascii="Times New Roman" w:hAnsi="Times New Roman" w:eastAsia="方正仿宋_GBK" w:cs="方正仿宋_GBK"/>
          <w:bCs/>
          <w:sz w:val="32"/>
          <w:szCs w:val="32"/>
          <w:u w:val="none" w:color="auto"/>
        </w:rPr>
        <w:t>积极参与成渝双城消费节等活动，增创一批“川渝不夜地标”，打造“假日经济”升级版，全方位激活文旅消费潜力。</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责任单位：区商务委、区住房城乡建委、区文化旅游委等</w:t>
      </w:r>
      <w:r>
        <w:rPr>
          <w:rFonts w:ascii="Times New Roman" w:hAnsi="Times New Roman" w:eastAsia="方正仿宋_GBK"/>
          <w:sz w:val="32"/>
          <w:szCs w:val="32"/>
          <w:u w:val="none" w:color="auto"/>
        </w:rPr>
        <w:t>）</w:t>
      </w:r>
    </w:p>
    <w:p w14:paraId="7077493F">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leftChars="0" w:right="0" w:rightChars="0" w:firstLine="643" w:firstLineChars="200"/>
        <w:rPr>
          <w:rFonts w:ascii="Times New Roman" w:hAnsi="Times New Roman" w:eastAsia="方正仿宋_GBK" w:cs="方正仿宋_GBK"/>
          <w:bCs/>
          <w:sz w:val="32"/>
          <w:szCs w:val="32"/>
          <w:u w:val="none" w:color="auto"/>
        </w:rPr>
      </w:pPr>
      <w:r>
        <w:rPr>
          <w:rFonts w:ascii="Times New Roman" w:hAnsi="Times New Roman" w:eastAsia="方正仿宋_GBK"/>
          <w:b/>
          <w:sz w:val="32"/>
          <w:szCs w:val="32"/>
          <w:u w:val="none" w:color="auto"/>
        </w:rPr>
        <w:t>21</w:t>
      </w:r>
      <w:r>
        <w:rPr>
          <w:rFonts w:ascii="Times New Roman" w:hAnsi="Times New Roman" w:eastAsia="方正仿宋_GBK" w:cs="方正仿宋_GBK"/>
          <w:b/>
          <w:sz w:val="32"/>
          <w:szCs w:val="32"/>
          <w:u w:val="none" w:color="auto"/>
        </w:rPr>
        <w:t>.</w:t>
      </w:r>
      <w:r>
        <w:rPr>
          <w:rFonts w:hint="eastAsia" w:ascii="Times New Roman" w:hAnsi="Times New Roman" w:eastAsia="方正仿宋_GBK" w:cs="方正仿宋_GBK"/>
          <w:b/>
          <w:sz w:val="32"/>
          <w:szCs w:val="32"/>
          <w:u w:val="none" w:color="auto"/>
        </w:rPr>
        <w:t>打造国际消费环境优选地</w:t>
      </w:r>
      <w:r>
        <w:rPr>
          <w:rFonts w:hint="eastAsia" w:ascii="Times New Roman" w:hAnsi="Times New Roman" w:eastAsia="方正仿宋_GBK" w:cs="方正仿宋_GBK"/>
          <w:bCs/>
          <w:sz w:val="32"/>
          <w:szCs w:val="32"/>
          <w:u w:val="none" w:color="auto"/>
        </w:rPr>
        <w:t>。深化国际消费中心区培育建设，优化营业性演出、体育比赛等活动审批和安全许可流程。打造入境消费友好型商圈，增设外币兑换点，提升商圈、旅游景区等涉外人员重点场所外卡</w:t>
      </w:r>
      <w:r>
        <w:rPr>
          <w:rFonts w:hint="eastAsia" w:ascii="Times New Roman" w:hAnsi="Times New Roman" w:eastAsia="方正仿宋_GBK"/>
          <w:bCs/>
          <w:sz w:val="32"/>
          <w:szCs w:val="32"/>
          <w:u w:val="none" w:color="auto"/>
        </w:rPr>
        <w:t>POS</w:t>
      </w:r>
      <w:r>
        <w:rPr>
          <w:rFonts w:hint="eastAsia" w:ascii="Times New Roman" w:hAnsi="Times New Roman" w:eastAsia="方正仿宋_GBK" w:cs="方正仿宋_GBK"/>
          <w:bCs/>
          <w:sz w:val="32"/>
          <w:szCs w:val="32"/>
          <w:u w:val="none" w:color="auto"/>
        </w:rPr>
        <w:t>机覆盖率，</w:t>
      </w:r>
      <w:r>
        <w:rPr>
          <w:rFonts w:hint="eastAsia" w:ascii="Times New Roman" w:hAnsi="Times New Roman" w:eastAsia="方正仿宋_GBK" w:cs="方正仿宋_GBK"/>
          <w:bCs/>
          <w:sz w:val="32"/>
          <w:szCs w:val="32"/>
          <w:u w:val="none" w:color="auto"/>
          <w:lang w:eastAsia="zh-CN"/>
        </w:rPr>
        <w:t>累计培育</w:t>
      </w:r>
      <w:r>
        <w:rPr>
          <w:rFonts w:hint="eastAsia" w:ascii="Times New Roman" w:hAnsi="Times New Roman" w:eastAsia="方正仿宋_GBK" w:cs="方正仿宋_GBK"/>
          <w:bCs/>
          <w:sz w:val="32"/>
          <w:szCs w:val="32"/>
          <w:u w:val="none" w:color="auto"/>
          <w:lang w:val="en-US" w:eastAsia="zh-CN"/>
        </w:rPr>
        <w:t>离境退税商店150</w:t>
      </w:r>
      <w:r>
        <w:rPr>
          <w:rFonts w:hint="eastAsia" w:ascii="Times New Roman" w:hAnsi="Times New Roman" w:eastAsia="方正仿宋_GBK" w:cs="方正仿宋_GBK"/>
          <w:bCs/>
          <w:sz w:val="32"/>
          <w:szCs w:val="32"/>
          <w:u w:val="none" w:color="auto"/>
          <w:lang w:eastAsia="zh-CN"/>
        </w:rPr>
        <w:t>家</w:t>
      </w:r>
      <w:r>
        <w:rPr>
          <w:rFonts w:hint="eastAsia" w:ascii="Times New Roman" w:hAnsi="Times New Roman" w:eastAsia="方正仿宋_GBK" w:cs="方正仿宋_GBK"/>
          <w:bCs/>
          <w:sz w:val="32"/>
          <w:szCs w:val="32"/>
          <w:u w:val="none" w:color="auto"/>
        </w:rPr>
        <w:t>，不断扩大入境消费</w:t>
      </w:r>
      <w:r>
        <w:rPr>
          <w:rFonts w:hint="eastAsia" w:ascii="Times New Roman" w:hAnsi="Times New Roman" w:eastAsia="方正仿宋_GBK" w:cs="方正仿宋_GBK"/>
          <w:sz w:val="32"/>
          <w:szCs w:val="32"/>
          <w:u w:val="none" w:color="auto"/>
        </w:rPr>
        <w:t>。</w:t>
      </w:r>
      <w:r>
        <w:rPr>
          <w:rFonts w:hint="eastAsia" w:ascii="Times New Roman" w:hAnsi="Times New Roman" w:eastAsia="方正仿宋_GBK" w:cs="方正仿宋_GBK"/>
          <w:bCs/>
          <w:sz w:val="32"/>
          <w:szCs w:val="32"/>
          <w:highlight w:val="none"/>
          <w:u w:val="none" w:color="auto"/>
        </w:rPr>
        <w:t>构建放心消费环境，加强消费者权益保护，</w:t>
      </w:r>
      <w:r>
        <w:rPr>
          <w:rFonts w:hint="eastAsia" w:ascii="Times New Roman" w:hAnsi="Times New Roman" w:eastAsia="方正仿宋_GBK" w:cs="方正仿宋_GBK"/>
          <w:bCs/>
          <w:sz w:val="32"/>
          <w:szCs w:val="32"/>
          <w:highlight w:val="none"/>
          <w:u w:val="none" w:color="auto"/>
          <w:lang w:eastAsia="zh-CN"/>
        </w:rPr>
        <w:t>优化消费环境</w:t>
      </w:r>
      <w:r>
        <w:rPr>
          <w:rFonts w:hint="eastAsia" w:ascii="Times New Roman" w:hAnsi="Times New Roman" w:eastAsia="方正仿宋_GBK" w:cs="方正仿宋_GBK"/>
          <w:bCs/>
          <w:sz w:val="32"/>
          <w:szCs w:val="32"/>
          <w:highlight w:val="none"/>
          <w:u w:val="none" w:color="auto"/>
        </w:rPr>
        <w:t>，联动川</w:t>
      </w:r>
      <w:r>
        <w:rPr>
          <w:rFonts w:hint="eastAsia" w:ascii="Times New Roman" w:hAnsi="Times New Roman" w:eastAsia="方正仿宋_GBK" w:cs="方正仿宋_GBK"/>
          <w:bCs/>
          <w:sz w:val="32"/>
          <w:szCs w:val="32"/>
          <w:highlight w:val="none"/>
          <w:u w:val="none" w:color="auto"/>
          <w:lang w:eastAsia="zh-CN"/>
        </w:rPr>
        <w:t>渝其他</w:t>
      </w:r>
      <w:r>
        <w:rPr>
          <w:rFonts w:hint="eastAsia" w:ascii="Times New Roman" w:hAnsi="Times New Roman" w:eastAsia="方正仿宋_GBK" w:cs="方正仿宋_GBK"/>
          <w:bCs/>
          <w:sz w:val="32"/>
          <w:szCs w:val="32"/>
          <w:highlight w:val="none"/>
          <w:u w:val="none" w:color="auto"/>
        </w:rPr>
        <w:t>地区一体推进法治监管、信用监管、智慧监管，依法打击假冒伪劣行为，营造浓厚消费氛围</w:t>
      </w:r>
      <w:r>
        <w:rPr>
          <w:rFonts w:hint="eastAsia" w:ascii="Times New Roman" w:hAnsi="Times New Roman" w:eastAsia="方正仿宋_GBK" w:cs="方正仿宋_GBK"/>
          <w:bCs/>
          <w:sz w:val="32"/>
          <w:szCs w:val="32"/>
          <w:u w:val="none" w:color="auto"/>
        </w:rPr>
        <w:t>。</w:t>
      </w:r>
      <w:r>
        <w:rPr>
          <w:rFonts w:ascii="Times New Roman" w:hAnsi="Times New Roman" w:eastAsia="方正仿宋_GBK"/>
          <w:sz w:val="32"/>
          <w:szCs w:val="32"/>
          <w:u w:val="none" w:color="auto"/>
        </w:rPr>
        <w:t>（</w:t>
      </w:r>
      <w:r>
        <w:rPr>
          <w:rFonts w:hint="eastAsia" w:ascii="Times New Roman" w:hAnsi="Times New Roman" w:eastAsia="方正楷体_GBK" w:cs="方正楷体_GBK"/>
          <w:sz w:val="32"/>
          <w:szCs w:val="32"/>
          <w:u w:val="none" w:color="auto"/>
        </w:rPr>
        <w:t>责任单位：区商务委、区文化旅游委、区市场监管局等</w:t>
      </w:r>
      <w:r>
        <w:rPr>
          <w:rFonts w:ascii="Times New Roman" w:hAnsi="Times New Roman" w:eastAsia="方正仿宋_GBK"/>
          <w:sz w:val="32"/>
          <w:szCs w:val="32"/>
          <w:u w:val="none" w:color="auto"/>
        </w:rPr>
        <w:t>）</w:t>
      </w:r>
    </w:p>
    <w:p w14:paraId="03BCBB1E">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（八）实施高品质宜居生活悦享行动</w:t>
      </w:r>
    </w:p>
    <w:p w14:paraId="4DD2068A">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仿宋_GBK" w:cs="方正仿宋_GBK"/>
          <w:spacing w:val="0"/>
          <w:szCs w:val="32"/>
          <w:u w:val="none" w:color="auto"/>
        </w:rPr>
      </w:pPr>
      <w:r>
        <w:rPr>
          <w:rFonts w:hint="eastAsia" w:ascii="Times New Roman" w:hAnsi="Times New Roman" w:eastAsia="方正仿宋_GBK" w:cs="方正仿宋_GBK"/>
          <w:spacing w:val="0"/>
          <w:szCs w:val="32"/>
          <w:u w:val="none" w:color="auto"/>
        </w:rPr>
        <w:t>共建共享优质均衡的公共服务体系，践行绿色低碳生产生活方式，到</w:t>
      </w:r>
      <w:r>
        <w:rPr>
          <w:rFonts w:hint="eastAsia" w:ascii="Times New Roman" w:hAnsi="Times New Roman" w:eastAsia="方正仿宋_GBK"/>
          <w:spacing w:val="0"/>
          <w:szCs w:val="32"/>
          <w:u w:val="none" w:color="auto"/>
        </w:rPr>
        <w:t>2030</w:t>
      </w:r>
      <w:r>
        <w:rPr>
          <w:rFonts w:hint="eastAsia" w:ascii="Times New Roman" w:hAnsi="Times New Roman" w:eastAsia="方正仿宋_GBK" w:cs="方正仿宋_GBK"/>
          <w:spacing w:val="0"/>
          <w:szCs w:val="32"/>
          <w:u w:val="none" w:color="auto"/>
        </w:rPr>
        <w:t>年，</w:t>
      </w:r>
      <w:r>
        <w:rPr>
          <w:rFonts w:hint="eastAsia" w:ascii="Times New Roman" w:hAnsi="Times New Roman" w:eastAsia="方正仿宋_GBK" w:cs="方正仿宋_GBK"/>
          <w:spacing w:val="0"/>
          <w:szCs w:val="32"/>
          <w:u w:val="none" w:color="auto"/>
          <w:lang w:val="en-US" w:eastAsia="zh-CN"/>
        </w:rPr>
        <w:t>“大综合一体化”城市治理机制运行顺畅，</w:t>
      </w:r>
      <w:r>
        <w:rPr>
          <w:rFonts w:hint="eastAsia" w:ascii="Times New Roman" w:hAnsi="Times New Roman" w:eastAsia="方正仿宋_GBK" w:cs="方正仿宋_GBK"/>
          <w:spacing w:val="0"/>
          <w:szCs w:val="32"/>
          <w:u w:val="none" w:color="auto"/>
        </w:rPr>
        <w:t>全体居民人均可支配收入增速与地区生产总值保持同步，长江上游重要生态屏障全面筑牢。</w:t>
      </w:r>
    </w:p>
    <w:p w14:paraId="229DDF92">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22</w:t>
      </w:r>
      <w:r>
        <w:rPr>
          <w:rFonts w:hint="eastAsia" w:ascii="Times New Roman" w:hAnsi="Times New Roman" w:eastAsia="方正仿宋_GBK" w:cs="方正仿宋_GBK"/>
          <w:b/>
          <w:bCs w:val="0"/>
          <w:spacing w:val="0"/>
          <w:szCs w:val="32"/>
          <w:u w:val="none" w:color="auto"/>
        </w:rPr>
        <w:t>.协同探索城市现代化治理新路子</w:t>
      </w:r>
      <w:r>
        <w:rPr>
          <w:rFonts w:hint="eastAsia" w:ascii="Times New Roman" w:hAnsi="Times New Roman" w:eastAsia="方正仿宋_GBK" w:cs="方正仿宋_GBK"/>
          <w:spacing w:val="0"/>
          <w:szCs w:val="32"/>
          <w:u w:val="none" w:color="auto"/>
        </w:rPr>
        <w:t>。全力融入全市一体化智能化公共数据平台，强化城市运行和治理中心主轴实战能力。推动八大板块场景、应用、预案三级贯通配置，实现“感知预警、决策处置、监督评价、复盘改进”闭环工作体系与城市发展、服务、安全、治理各领域现实场景有机融合。持续推进“规建运治”大综合一体化，探索打造线上“规建管局”，出台城市风貌管控导则、城乡规划建设管理意见等治理政策。迭代实施城市现代化治理“十大行动”，纵深推进行政执法一体化改革，执法活动上线率保持</w:t>
      </w:r>
      <w:r>
        <w:rPr>
          <w:rFonts w:hint="eastAsia" w:ascii="Times New Roman" w:hAnsi="Times New Roman" w:eastAsia="方正仿宋_GBK"/>
          <w:spacing w:val="0"/>
          <w:szCs w:val="32"/>
          <w:u w:val="none" w:color="auto"/>
        </w:rPr>
        <w:t>100%</w:t>
      </w:r>
      <w:r>
        <w:rPr>
          <w:rFonts w:hint="eastAsia" w:ascii="Times New Roman" w:hAnsi="Times New Roman" w:eastAsia="方正仿宋_GBK" w:cs="方正仿宋_GBK"/>
          <w:spacing w:val="0"/>
          <w:szCs w:val="32"/>
          <w:u w:val="none" w:color="auto"/>
        </w:rPr>
        <w:t>。加强与四川地区在数智赋能城市现代化治理、城市资产资源市场化盘活等方面的交流与合作。（</w:t>
      </w:r>
      <w:r>
        <w:rPr>
          <w:rFonts w:hint="eastAsia" w:ascii="Times New Roman" w:hAnsi="Times New Roman" w:eastAsia="方正楷体_GBK" w:cs="方正楷体_GBK"/>
          <w:spacing w:val="0"/>
          <w:szCs w:val="32"/>
          <w:u w:val="none" w:color="auto"/>
        </w:rPr>
        <w:t>责任单位：区住房城乡建委、区城市管理局、区大数据发展局、区规划自然资源局、区治理中心等</w:t>
      </w:r>
      <w:r>
        <w:rPr>
          <w:rFonts w:hint="eastAsia" w:ascii="Times New Roman" w:hAnsi="Times New Roman" w:eastAsia="方正仿宋_GBK" w:cs="方正仿宋_GBK"/>
          <w:spacing w:val="0"/>
          <w:szCs w:val="32"/>
          <w:u w:val="none" w:color="auto"/>
        </w:rPr>
        <w:t>）</w:t>
      </w:r>
    </w:p>
    <w:p w14:paraId="122FF113">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hint="eastAsia" w:ascii="Times New Roman" w:hAnsi="Times New Roman" w:eastAsia="方正仿宋_GBK" w:cs="方正仿宋_GBK"/>
          <w:spacing w:val="-11"/>
          <w:szCs w:val="32"/>
          <w:u w:val="none" w:color="auto"/>
        </w:rPr>
      </w:pPr>
      <w:r>
        <w:rPr>
          <w:rFonts w:ascii="Times New Roman" w:hAnsi="Times New Roman" w:eastAsia="方正仿宋_GBK"/>
          <w:b/>
          <w:bCs w:val="0"/>
          <w:spacing w:val="0"/>
          <w:szCs w:val="32"/>
          <w:u w:val="none" w:color="auto"/>
        </w:rPr>
        <w:t>23</w:t>
      </w:r>
      <w:r>
        <w:rPr>
          <w:rFonts w:hint="eastAsia" w:ascii="Times New Roman" w:hAnsi="Times New Roman" w:eastAsia="方正仿宋_GBK" w:cs="方正仿宋_GBK"/>
          <w:b/>
          <w:bCs w:val="0"/>
          <w:spacing w:val="0"/>
          <w:szCs w:val="32"/>
          <w:u w:val="none" w:color="auto"/>
        </w:rPr>
        <w:t>.提质扩面推进公共服务便利共享</w:t>
      </w:r>
      <w:r>
        <w:rPr>
          <w:rFonts w:hint="eastAsia" w:ascii="Times New Roman" w:hAnsi="Times New Roman" w:eastAsia="方正仿宋_GBK" w:cs="方正仿宋_GBK"/>
          <w:spacing w:val="0"/>
          <w:szCs w:val="32"/>
          <w:u w:val="none" w:color="auto"/>
        </w:rPr>
        <w:t>。</w:t>
      </w:r>
      <w:r>
        <w:rPr>
          <w:rFonts w:hint="eastAsia" w:ascii="Times New Roman" w:hAnsi="Times New Roman" w:eastAsia="方正仿宋_GBK" w:cs="方正仿宋_GBK"/>
          <w:spacing w:val="0"/>
          <w:szCs w:val="32"/>
          <w:highlight w:val="none"/>
          <w:u w:val="none" w:color="auto"/>
        </w:rPr>
        <w:t>全域打造“</w:t>
      </w:r>
      <w:r>
        <w:rPr>
          <w:rFonts w:hint="eastAsia" w:ascii="Times New Roman" w:hAnsi="Times New Roman" w:eastAsia="方正仿宋_GBK"/>
          <w:spacing w:val="0"/>
          <w:szCs w:val="32"/>
          <w:highlight w:val="none"/>
          <w:u w:val="none" w:color="auto"/>
        </w:rPr>
        <w:t>15</w:t>
      </w:r>
      <w:r>
        <w:rPr>
          <w:rFonts w:hint="eastAsia" w:ascii="Times New Roman" w:hAnsi="Times New Roman" w:eastAsia="方正仿宋_GBK" w:cs="方正仿宋_GBK"/>
          <w:spacing w:val="0"/>
          <w:szCs w:val="32"/>
          <w:highlight w:val="none"/>
          <w:u w:val="none" w:color="auto"/>
        </w:rPr>
        <w:t>分钟高品质生活服务圈”，</w:t>
      </w:r>
      <w:r>
        <w:rPr>
          <w:rFonts w:hint="eastAsia" w:ascii="Times New Roman" w:hAnsi="Times New Roman" w:eastAsia="方正仿宋_GBK" w:cs="方正仿宋_GBK"/>
          <w:spacing w:val="0"/>
          <w:szCs w:val="32"/>
          <w:highlight w:val="none"/>
          <w:u w:val="none" w:color="auto"/>
          <w:lang w:eastAsia="zh-CN"/>
        </w:rPr>
        <w:t>有序</w:t>
      </w:r>
      <w:r>
        <w:rPr>
          <w:rFonts w:hint="eastAsia" w:ascii="Times New Roman" w:hAnsi="Times New Roman" w:eastAsia="方正仿宋_GBK"/>
          <w:spacing w:val="0"/>
          <w:szCs w:val="32"/>
          <w:highlight w:val="none"/>
          <w:u w:val="none" w:color="auto"/>
          <w:lang w:bidi="ar"/>
        </w:rPr>
        <w:t>推进“渝邻汇”社区综合服务体建设。</w:t>
      </w:r>
      <w:r>
        <w:rPr>
          <w:rFonts w:ascii="Times New Roman" w:hAnsi="Times New Roman" w:eastAsia="方正仿宋_GBK"/>
          <w:spacing w:val="0"/>
          <w:szCs w:val="32"/>
          <w:u w:val="none" w:color="auto"/>
          <w:lang w:bidi="ar"/>
        </w:rPr>
        <w:t>协同</w:t>
      </w:r>
      <w:r>
        <w:rPr>
          <w:rFonts w:hint="eastAsia" w:ascii="Times New Roman" w:hAnsi="Times New Roman" w:eastAsia="方正仿宋_GBK"/>
          <w:spacing w:val="0"/>
          <w:szCs w:val="32"/>
          <w:u w:val="none" w:color="auto"/>
          <w:lang w:eastAsia="zh-CN" w:bidi="ar"/>
        </w:rPr>
        <w:t>推动</w:t>
      </w:r>
      <w:r>
        <w:rPr>
          <w:rFonts w:ascii="Times New Roman" w:hAnsi="Times New Roman" w:eastAsia="方正仿宋_GBK"/>
          <w:spacing w:val="0"/>
          <w:szCs w:val="32"/>
          <w:u w:val="none" w:color="auto"/>
          <w:lang w:bidi="ar"/>
        </w:rPr>
        <w:t>基本公共服务保障标准更新，</w:t>
      </w:r>
      <w:r>
        <w:rPr>
          <w:rFonts w:hint="eastAsia" w:ascii="Times New Roman" w:hAnsi="Times New Roman" w:eastAsia="方正仿宋_GBK" w:cs="方正仿宋_GBK"/>
          <w:spacing w:val="0"/>
          <w:szCs w:val="32"/>
          <w:u w:val="none" w:color="auto"/>
        </w:rPr>
        <w:t>联动四川地区发布更多服务事项，</w:t>
      </w:r>
      <w:r>
        <w:rPr>
          <w:rFonts w:ascii="Times New Roman" w:hAnsi="Times New Roman" w:eastAsia="方正仿宋_GBK"/>
          <w:spacing w:val="0"/>
          <w:szCs w:val="32"/>
          <w:u w:val="none" w:color="auto"/>
          <w:lang w:bidi="ar"/>
        </w:rPr>
        <w:t>持续推动非基本公共服务普惠共享，推进以社会保障卡为载体的居民服务</w:t>
      </w:r>
      <w:r>
        <w:rPr>
          <w:rFonts w:hint="eastAsia" w:ascii="Times New Roman" w:hAnsi="Times New Roman" w:eastAsia="方正仿宋_GBK"/>
          <w:spacing w:val="0"/>
          <w:szCs w:val="32"/>
          <w:u w:val="none" w:color="auto"/>
          <w:lang w:bidi="ar"/>
        </w:rPr>
        <w:t>“</w:t>
      </w:r>
      <w:r>
        <w:rPr>
          <w:rFonts w:ascii="Times New Roman" w:hAnsi="Times New Roman" w:eastAsia="方正仿宋_GBK"/>
          <w:spacing w:val="0"/>
          <w:szCs w:val="32"/>
          <w:u w:val="none" w:color="auto"/>
          <w:lang w:bidi="ar"/>
        </w:rPr>
        <w:t>一卡通</w:t>
      </w:r>
      <w:r>
        <w:rPr>
          <w:rFonts w:hint="eastAsia" w:ascii="Times New Roman" w:hAnsi="Times New Roman" w:eastAsia="方正仿宋_GBK"/>
          <w:spacing w:val="0"/>
          <w:szCs w:val="32"/>
          <w:u w:val="none" w:color="auto"/>
          <w:lang w:bidi="ar"/>
        </w:rPr>
        <w:t>”</w:t>
      </w:r>
      <w:r>
        <w:rPr>
          <w:rFonts w:ascii="Times New Roman" w:hAnsi="Times New Roman" w:eastAsia="方正仿宋_GBK"/>
          <w:spacing w:val="0"/>
          <w:szCs w:val="32"/>
          <w:u w:val="none" w:color="auto"/>
          <w:lang w:bidi="ar"/>
        </w:rPr>
        <w:t>。持续做好民生领域协同发展事项，</w:t>
      </w:r>
      <w:r>
        <w:rPr>
          <w:rFonts w:hint="eastAsia" w:ascii="Times New Roman" w:hAnsi="Times New Roman" w:eastAsia="方正仿宋_GBK"/>
          <w:spacing w:val="0"/>
          <w:szCs w:val="32"/>
          <w:u w:val="none" w:color="auto"/>
          <w:lang w:bidi="ar"/>
        </w:rPr>
        <w:t>发挥枢纽港产业园优势引入川渝高校资源，引进重点高校新建校区。协作</w:t>
      </w:r>
      <w:r>
        <w:rPr>
          <w:rFonts w:ascii="Times New Roman" w:hAnsi="Times New Roman" w:eastAsia="方正仿宋_GBK"/>
          <w:spacing w:val="0"/>
          <w:szCs w:val="32"/>
          <w:u w:val="none" w:color="auto"/>
          <w:lang w:bidi="ar"/>
        </w:rPr>
        <w:t>拓宽医疗机构医学检验结果互认和双向转诊，共同研究推动人口高质量发展的政策举措，加强大型体育赛事申办、全民健身等领域合作。（</w:t>
      </w:r>
      <w:r>
        <w:rPr>
          <w:rFonts w:hint="eastAsia" w:ascii="Times New Roman" w:hAnsi="Times New Roman" w:eastAsia="方正楷体_GBK" w:cs="方正楷体_GBK"/>
          <w:spacing w:val="-6"/>
          <w:szCs w:val="32"/>
          <w:u w:val="none" w:color="auto"/>
          <w:lang w:bidi="ar"/>
        </w:rPr>
        <w:t>责任单位：区发展改革委、区教委、区民政局、区人力社保局、</w:t>
      </w:r>
      <w:r>
        <w:rPr>
          <w:rFonts w:hint="eastAsia" w:ascii="Times New Roman" w:hAnsi="Times New Roman" w:eastAsia="方正楷体_GBK" w:cs="方正楷体_GBK"/>
          <w:spacing w:val="-11"/>
          <w:szCs w:val="32"/>
          <w:u w:val="none" w:color="auto"/>
          <w:lang w:bidi="ar"/>
        </w:rPr>
        <w:t>区住房城乡建委、区文化旅游委、区卫生健康委、区大数据发展局等</w:t>
      </w:r>
      <w:r>
        <w:rPr>
          <w:rFonts w:ascii="Times New Roman" w:hAnsi="Times New Roman" w:eastAsia="方正仿宋_GBK"/>
          <w:spacing w:val="-11"/>
          <w:szCs w:val="32"/>
          <w:u w:val="none" w:color="auto"/>
          <w:lang w:bidi="ar"/>
        </w:rPr>
        <w:t>）</w:t>
      </w:r>
    </w:p>
    <w:p w14:paraId="1925CC17">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24</w:t>
      </w:r>
      <w:r>
        <w:rPr>
          <w:rFonts w:hint="eastAsia" w:ascii="Times New Roman" w:hAnsi="Times New Roman" w:eastAsia="方正仿宋_GBK" w:cs="方正仿宋_GBK"/>
          <w:b/>
          <w:bCs w:val="0"/>
          <w:spacing w:val="0"/>
          <w:szCs w:val="32"/>
          <w:u w:val="none" w:color="auto"/>
        </w:rPr>
        <w:t>.共同筑牢川渝生态保护屏障</w:t>
      </w:r>
      <w:r>
        <w:rPr>
          <w:rFonts w:hint="eastAsia" w:ascii="Times New Roman" w:hAnsi="Times New Roman" w:eastAsia="方正仿宋_GBK" w:cs="方正仿宋_GBK"/>
          <w:spacing w:val="0"/>
          <w:szCs w:val="32"/>
          <w:u w:val="none" w:color="auto"/>
        </w:rPr>
        <w:t>。坚持以“九治”为牵引持续深入推进污染防治攻坚和生态系统优化。开展水资源、水环境、水生态治理，长江干流九龙坡段水质稳定保持</w:t>
      </w:r>
      <w:r>
        <w:rPr>
          <w:rFonts w:hint="eastAsia" w:ascii="Times New Roman" w:hAnsi="Times New Roman" w:eastAsia="方正仿宋_GBK"/>
          <w:spacing w:val="0"/>
          <w:szCs w:val="32"/>
          <w:u w:val="none" w:color="auto"/>
        </w:rPr>
        <w:t>Ⅱ</w:t>
      </w:r>
      <w:r>
        <w:rPr>
          <w:rFonts w:hint="eastAsia" w:ascii="Times New Roman" w:hAnsi="Times New Roman" w:eastAsia="方正仿宋_GBK" w:cs="方正仿宋_GBK"/>
          <w:spacing w:val="0"/>
          <w:szCs w:val="32"/>
          <w:u w:val="none" w:color="auto"/>
        </w:rPr>
        <w:t>类。推进建筑垃圾</w:t>
      </w:r>
      <w:r>
        <w:rPr>
          <w:rFonts w:hint="eastAsia" w:ascii="Times New Roman" w:hAnsi="Times New Roman" w:eastAsia="方正仿宋_GBK" w:cs="方正仿宋_GBK"/>
          <w:spacing w:val="0"/>
          <w:szCs w:val="32"/>
          <w:u w:val="none" w:color="auto"/>
          <w:lang w:eastAsia="zh-CN"/>
        </w:rPr>
        <w:t>、生活垃圾</w:t>
      </w:r>
      <w:r>
        <w:rPr>
          <w:rFonts w:hint="eastAsia" w:ascii="Times New Roman" w:hAnsi="Times New Roman" w:eastAsia="方正仿宋_GBK" w:cs="方正仿宋_GBK"/>
          <w:spacing w:val="0"/>
          <w:szCs w:val="32"/>
          <w:u w:val="none" w:color="auto"/>
        </w:rPr>
        <w:t>全过程数字化闭环管控，城市建筑垃圾资源化利用率达</w:t>
      </w:r>
      <w:r>
        <w:rPr>
          <w:rFonts w:ascii="Times New Roman" w:hAnsi="Times New Roman" w:eastAsia="方正仿宋_GBK"/>
          <w:spacing w:val="0"/>
          <w:szCs w:val="32"/>
          <w:u w:val="none" w:color="auto"/>
        </w:rPr>
        <w:t>80%</w:t>
      </w:r>
      <w:r>
        <w:rPr>
          <w:rFonts w:hint="eastAsia" w:ascii="Times New Roman" w:hAnsi="Times New Roman" w:eastAsia="方正仿宋_GBK" w:cs="方正仿宋_GBK"/>
          <w:spacing w:val="0"/>
          <w:szCs w:val="32"/>
          <w:u w:val="none" w:color="auto"/>
        </w:rPr>
        <w:t>，</w:t>
      </w:r>
      <w:r>
        <w:rPr>
          <w:rFonts w:hint="eastAsia" w:ascii="Times New Roman" w:hAnsi="Times New Roman" w:eastAsia="方正仿宋_GBK" w:cs="方正仿宋_GBK"/>
          <w:spacing w:val="0"/>
          <w:szCs w:val="32"/>
          <w:u w:val="none" w:color="auto"/>
          <w:lang w:eastAsia="zh-CN"/>
        </w:rPr>
        <w:t>推动</w:t>
      </w:r>
      <w:r>
        <w:rPr>
          <w:rFonts w:hint="eastAsia" w:ascii="Times New Roman" w:hAnsi="Times New Roman" w:eastAsia="方正仿宋_GBK" w:cs="方正仿宋_GBK"/>
          <w:spacing w:val="0"/>
          <w:szCs w:val="32"/>
          <w:u w:val="none" w:color="auto"/>
        </w:rPr>
        <w:t>固体废物无害化处置与资源化利用协同升级。</w:t>
      </w:r>
      <w:r>
        <w:rPr>
          <w:rFonts w:ascii="Times New Roman" w:hAnsi="Times New Roman" w:eastAsia="方正仿宋_GBK"/>
          <w:spacing w:val="0"/>
          <w:szCs w:val="32"/>
          <w:u w:val="none" w:color="auto"/>
        </w:rPr>
        <w:t>以清洁高效能源体系引领产业绿色转型，大力发展新能源汽车充电基础设施建设、新增超充站50个以上，推动枢纽港产业园九龙新城非化石能源消费占比提高至22%。</w:t>
      </w:r>
      <w:r>
        <w:rPr>
          <w:rFonts w:hint="eastAsia" w:ascii="Times New Roman" w:hAnsi="Times New Roman" w:eastAsia="方正仿宋_GBK"/>
          <w:bCs w:val="0"/>
          <w:spacing w:val="0"/>
          <w:szCs w:val="32"/>
          <w:u w:val="none" w:color="auto"/>
        </w:rPr>
        <w:t>（</w:t>
      </w:r>
      <w:r>
        <w:rPr>
          <w:rFonts w:hint="eastAsia" w:ascii="Times New Roman" w:hAnsi="Times New Roman" w:eastAsia="方正楷体_GBK" w:cs="方正楷体_GBK"/>
          <w:bCs w:val="0"/>
          <w:spacing w:val="0"/>
          <w:szCs w:val="32"/>
          <w:u w:val="none" w:color="auto"/>
        </w:rPr>
        <w:t>责任单位：区经济信息委、区生态环境局、区城市管理局、九龙新城园区管委会、区法院、九龙城乡运营集团等</w:t>
      </w:r>
      <w:r>
        <w:rPr>
          <w:rFonts w:hint="eastAsia" w:ascii="Times New Roman" w:hAnsi="Times New Roman" w:eastAsia="方正仿宋_GBK"/>
          <w:bCs w:val="0"/>
          <w:spacing w:val="0"/>
          <w:szCs w:val="32"/>
          <w:u w:val="none" w:color="auto"/>
        </w:rPr>
        <w:t>）</w:t>
      </w:r>
    </w:p>
    <w:p w14:paraId="044FF15C">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（九）实施人工智能赋能城市发展服务安全治理现代化行动</w:t>
      </w:r>
    </w:p>
    <w:p w14:paraId="1B9EEE1F">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仿宋_GBK" w:cs="方正仿宋_GBK"/>
          <w:spacing w:val="0"/>
          <w:szCs w:val="32"/>
          <w:u w:val="none" w:color="auto"/>
        </w:rPr>
      </w:pPr>
      <w:r>
        <w:rPr>
          <w:rFonts w:hint="eastAsia" w:ascii="Times New Roman" w:hAnsi="Times New Roman" w:eastAsia="方正仿宋_GBK" w:cs="方正仿宋_GBK"/>
          <w:spacing w:val="0"/>
          <w:szCs w:val="32"/>
          <w:u w:val="none" w:color="auto"/>
        </w:rPr>
        <w:t>合力探索算力供给、数据服务、应用场景、政策生态等关键要素联动互通，加快推动人工智能技术创新及场景应用，到</w:t>
      </w:r>
      <w:r>
        <w:rPr>
          <w:rFonts w:hint="eastAsia" w:ascii="Times New Roman" w:hAnsi="Times New Roman" w:eastAsia="方正仿宋_GBK"/>
          <w:spacing w:val="0"/>
          <w:szCs w:val="32"/>
          <w:u w:val="none" w:color="auto"/>
        </w:rPr>
        <w:t>2030</w:t>
      </w:r>
      <w:r>
        <w:rPr>
          <w:rFonts w:hint="eastAsia" w:ascii="Times New Roman" w:hAnsi="Times New Roman" w:eastAsia="方正仿宋_GBK" w:cs="方正仿宋_GBK"/>
          <w:spacing w:val="0"/>
          <w:szCs w:val="32"/>
          <w:u w:val="none" w:color="auto"/>
        </w:rPr>
        <w:t>年，</w:t>
      </w:r>
      <w:r>
        <w:rPr>
          <w:rFonts w:hint="eastAsia" w:ascii="Times New Roman" w:hAnsi="Times New Roman" w:eastAsia="方正仿宋_GBK" w:cs="方正仿宋_GBK"/>
          <w:spacing w:val="0"/>
          <w:szCs w:val="32"/>
          <w:highlight w:val="none"/>
          <w:u w:val="none" w:color="auto"/>
        </w:rPr>
        <w:t>区域算力规模达</w:t>
      </w:r>
      <w:r>
        <w:rPr>
          <w:rFonts w:hint="eastAsia" w:ascii="Times New Roman" w:hAnsi="Times New Roman" w:eastAsia="方正仿宋_GBK"/>
          <w:spacing w:val="0"/>
          <w:szCs w:val="32"/>
          <w:highlight w:val="none"/>
          <w:u w:val="none" w:color="auto"/>
        </w:rPr>
        <w:t>5</w:t>
      </w:r>
      <w:r>
        <w:rPr>
          <w:rFonts w:hint="eastAsia" w:ascii="Times New Roman" w:hAnsi="Times New Roman" w:eastAsia="方正仿宋_GBK" w:cs="方正仿宋_GBK"/>
          <w:spacing w:val="0"/>
          <w:szCs w:val="32"/>
          <w:highlight w:val="none"/>
          <w:u w:val="none" w:color="auto"/>
        </w:rPr>
        <w:t>万</w:t>
      </w:r>
      <w:r>
        <w:rPr>
          <w:rFonts w:hint="eastAsia" w:ascii="Times New Roman" w:hAnsi="Times New Roman" w:eastAsia="方正仿宋_GBK"/>
          <w:spacing w:val="0"/>
          <w:szCs w:val="32"/>
          <w:highlight w:val="none"/>
          <w:u w:val="none" w:color="auto"/>
        </w:rPr>
        <w:t>P</w:t>
      </w:r>
      <w:r>
        <w:rPr>
          <w:rFonts w:hint="eastAsia" w:ascii="Times New Roman" w:hAnsi="Times New Roman" w:eastAsia="方正仿宋_GBK" w:cs="方正仿宋_GBK"/>
          <w:spacing w:val="0"/>
          <w:szCs w:val="32"/>
          <w:u w:val="none" w:color="auto"/>
        </w:rPr>
        <w:t>，打造</w:t>
      </w:r>
      <w:r>
        <w:rPr>
          <w:rFonts w:hint="eastAsia" w:ascii="Times New Roman" w:hAnsi="Times New Roman" w:eastAsia="方正仿宋_GBK" w:cs="方正仿宋_GBK"/>
          <w:spacing w:val="0"/>
          <w:szCs w:val="32"/>
          <w:u w:val="none" w:color="auto"/>
          <w:lang w:eastAsia="zh-CN"/>
        </w:rPr>
        <w:t>“</w:t>
      </w:r>
      <w:r>
        <w:rPr>
          <w:rFonts w:hint="eastAsia" w:ascii="Times New Roman" w:hAnsi="Times New Roman" w:eastAsia="方正仿宋_GBK" w:cs="方正仿宋_GBK"/>
          <w:spacing w:val="0"/>
          <w:szCs w:val="32"/>
          <w:u w:val="none" w:color="auto"/>
          <w:lang w:val="en-US" w:eastAsia="zh-CN"/>
        </w:rPr>
        <w:t>人工智能+超大城市治理</w:t>
      </w:r>
      <w:r>
        <w:rPr>
          <w:rFonts w:hint="eastAsia" w:ascii="Times New Roman" w:hAnsi="Times New Roman" w:eastAsia="方正仿宋_GBK" w:cs="方正仿宋_GBK"/>
          <w:spacing w:val="0"/>
          <w:szCs w:val="32"/>
          <w:u w:val="none" w:color="auto"/>
          <w:lang w:eastAsia="zh-CN"/>
        </w:rPr>
        <w:t>”</w:t>
      </w:r>
      <w:r>
        <w:rPr>
          <w:rFonts w:hint="eastAsia" w:ascii="Times New Roman" w:hAnsi="Times New Roman" w:eastAsia="方正仿宋_GBK" w:cs="方正仿宋_GBK"/>
          <w:spacing w:val="0"/>
          <w:szCs w:val="32"/>
          <w:u w:val="none" w:color="auto"/>
        </w:rPr>
        <w:t>示范应用场</w:t>
      </w:r>
      <w:r>
        <w:rPr>
          <w:rFonts w:hint="eastAsia" w:ascii="Times New Roman" w:hAnsi="Times New Roman" w:eastAsia="方正仿宋_GBK"/>
          <w:spacing w:val="0"/>
          <w:szCs w:val="32"/>
          <w:u w:val="none" w:color="auto"/>
        </w:rPr>
        <w:t>景5</w:t>
      </w:r>
      <w:r>
        <w:rPr>
          <w:rFonts w:hint="eastAsia" w:ascii="Times New Roman" w:hAnsi="Times New Roman" w:eastAsia="方正仿宋_GBK" w:cs="方正仿宋_GBK"/>
          <w:spacing w:val="0"/>
          <w:szCs w:val="32"/>
          <w:u w:val="none" w:color="auto"/>
        </w:rPr>
        <w:t>个以上。</w:t>
      </w:r>
    </w:p>
    <w:p w14:paraId="40387759">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hint="eastAsia"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25</w:t>
      </w:r>
      <w:r>
        <w:rPr>
          <w:rFonts w:hint="eastAsia" w:ascii="Times New Roman" w:hAnsi="Times New Roman" w:eastAsia="方正仿宋_GBK" w:cs="方正仿宋_GBK"/>
          <w:b/>
          <w:bCs w:val="0"/>
          <w:spacing w:val="0"/>
          <w:szCs w:val="32"/>
          <w:u w:val="none" w:color="auto"/>
        </w:rPr>
        <w:t>.打造全国一体化算力网络成渝国家枢纽节点</w:t>
      </w:r>
      <w:r>
        <w:rPr>
          <w:rFonts w:hint="eastAsia" w:ascii="Times New Roman" w:hAnsi="Times New Roman" w:eastAsia="方正仿宋_GBK" w:cs="方正仿宋_GBK"/>
          <w:spacing w:val="0"/>
          <w:szCs w:val="32"/>
          <w:u w:val="none" w:color="auto"/>
        </w:rPr>
        <w:t>。</w:t>
      </w:r>
      <w:r>
        <w:rPr>
          <w:rFonts w:hint="eastAsia" w:ascii="Times New Roman" w:hAnsi="Times New Roman" w:eastAsia="方正仿宋_GBK" w:cs="Times New Roman"/>
          <w:b w:val="0"/>
          <w:bCs w:val="0"/>
          <w:color w:val="auto"/>
          <w:sz w:val="32"/>
          <w:szCs w:val="20"/>
          <w:highlight w:val="none"/>
          <w:u w:val="none" w:color="auto"/>
          <w:lang w:val="en-US" w:eastAsia="zh-CN"/>
        </w:rPr>
        <w:t>高标准建设</w:t>
      </w:r>
      <w:r>
        <w:rPr>
          <w:rFonts w:hint="eastAsia" w:ascii="Times New Roman" w:hAnsi="Times New Roman" w:eastAsia="方正仿宋_GBK" w:cs="方正仿宋_GBK"/>
          <w:color w:val="auto"/>
          <w:sz w:val="32"/>
          <w:szCs w:val="32"/>
          <w:highlight w:val="none"/>
          <w:u w:val="none" w:color="auto"/>
          <w:lang w:val="en-US" w:eastAsia="zh"/>
        </w:rPr>
        <w:t>绿色高效的</w:t>
      </w:r>
      <w:r>
        <w:rPr>
          <w:rFonts w:hint="eastAsia" w:ascii="Times New Roman" w:hAnsi="Times New Roman" w:eastAsia="方正仿宋_GBK" w:cs="方正仿宋_GBK"/>
          <w:color w:val="auto"/>
          <w:sz w:val="32"/>
          <w:szCs w:val="32"/>
          <w:highlight w:val="none"/>
          <w:u w:val="none" w:color="auto"/>
          <w:lang w:val="en-US" w:eastAsia="zh-CN"/>
        </w:rPr>
        <w:t>区域</w:t>
      </w:r>
      <w:r>
        <w:rPr>
          <w:rFonts w:hint="eastAsia" w:ascii="Times New Roman" w:hAnsi="Times New Roman" w:eastAsia="方正仿宋_GBK" w:cs="方正仿宋_GBK"/>
          <w:color w:val="auto"/>
          <w:sz w:val="32"/>
          <w:szCs w:val="32"/>
          <w:highlight w:val="none"/>
          <w:u w:val="none" w:color="auto"/>
          <w:lang w:val="en-US" w:eastAsia="zh"/>
        </w:rPr>
        <w:t>新型能源算力枢纽</w:t>
      </w:r>
      <w:r>
        <w:rPr>
          <w:rFonts w:hint="eastAsia" w:ascii="Times New Roman" w:hAnsi="Times New Roman" w:eastAsia="方正仿宋_GBK" w:cs="方正仿宋_GBK"/>
          <w:color w:val="auto"/>
          <w:sz w:val="32"/>
          <w:szCs w:val="32"/>
          <w:highlight w:val="none"/>
          <w:u w:val="none" w:color="auto"/>
          <w:lang w:val="en-US" w:eastAsia="zh-CN"/>
        </w:rPr>
        <w:t>，</w:t>
      </w:r>
      <w:r>
        <w:rPr>
          <w:rFonts w:hint="eastAsia" w:ascii="Times New Roman" w:hAnsi="Times New Roman" w:eastAsia="方正仿宋_GBK" w:cs="Times New Roman"/>
          <w:b w:val="0"/>
          <w:bCs w:val="0"/>
          <w:color w:val="auto"/>
          <w:sz w:val="32"/>
          <w:szCs w:val="20"/>
          <w:highlight w:val="none"/>
          <w:u w:val="none" w:color="auto"/>
          <w:lang w:val="en-US" w:eastAsia="zh-CN"/>
        </w:rPr>
        <w:t>推动融入全国一体化算力网络成渝国家枢纽节点及重庆数据中心集群，夯实西部区域关键算力支撑底座。</w:t>
      </w:r>
      <w:r>
        <w:rPr>
          <w:rFonts w:hint="eastAsia" w:ascii="Times New Roman" w:hAnsi="Times New Roman" w:eastAsia="方正仿宋_GBK" w:cs="方正仿宋_GBK"/>
          <w:spacing w:val="0"/>
          <w:szCs w:val="32"/>
          <w:u w:val="none" w:color="auto"/>
        </w:rPr>
        <w:t>构建以智能算力为主的多元协同城市供给体系，绿色算力资源占比达到</w:t>
      </w:r>
      <w:r>
        <w:rPr>
          <w:rFonts w:hint="eastAsia" w:ascii="Times New Roman" w:hAnsi="Times New Roman" w:eastAsia="方正仿宋_GBK"/>
          <w:spacing w:val="0"/>
          <w:szCs w:val="32"/>
          <w:u w:val="none" w:color="auto"/>
        </w:rPr>
        <w:t>80%</w:t>
      </w:r>
      <w:r>
        <w:rPr>
          <w:rFonts w:hint="eastAsia" w:ascii="Times New Roman" w:hAnsi="Times New Roman" w:eastAsia="方正仿宋_GBK" w:cs="方正仿宋_GBK"/>
          <w:spacing w:val="0"/>
          <w:szCs w:val="32"/>
          <w:u w:val="none" w:color="auto"/>
        </w:rPr>
        <w:t>。推动智能算力服务普惠泛在，降低算力综合成本。（</w:t>
      </w:r>
      <w:r>
        <w:rPr>
          <w:rFonts w:hint="eastAsia" w:ascii="Times New Roman" w:hAnsi="Times New Roman" w:eastAsia="方正楷体_GBK" w:cs="方正楷体_GBK"/>
          <w:spacing w:val="0"/>
          <w:szCs w:val="32"/>
          <w:u w:val="none" w:color="auto"/>
        </w:rPr>
        <w:t>责任单位：区大数据发展局、区经济信息委、九龙新城园区管委会等</w:t>
      </w:r>
      <w:r>
        <w:rPr>
          <w:rFonts w:hint="eastAsia" w:ascii="Times New Roman" w:hAnsi="Times New Roman" w:eastAsia="方正仿宋_GBK" w:cs="方正仿宋_GBK"/>
          <w:spacing w:val="0"/>
          <w:szCs w:val="32"/>
          <w:u w:val="none" w:color="auto"/>
        </w:rPr>
        <w:t>）</w:t>
      </w:r>
    </w:p>
    <w:p w14:paraId="54877684">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hint="eastAsia"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26</w:t>
      </w:r>
      <w:r>
        <w:rPr>
          <w:rFonts w:hint="eastAsia" w:ascii="Times New Roman" w:hAnsi="Times New Roman" w:eastAsia="方正仿宋_GBK" w:cs="方正仿宋_GBK"/>
          <w:b/>
          <w:bCs w:val="0"/>
          <w:spacing w:val="0"/>
          <w:szCs w:val="32"/>
          <w:u w:val="none" w:color="auto"/>
        </w:rPr>
        <w:t>.深化场景赋能与融合应用</w:t>
      </w:r>
      <w:r>
        <w:rPr>
          <w:rFonts w:hint="eastAsia" w:ascii="Times New Roman" w:hAnsi="Times New Roman" w:eastAsia="方正仿宋_GBK" w:cs="方正仿宋_GBK"/>
          <w:spacing w:val="0"/>
          <w:szCs w:val="32"/>
          <w:u w:val="none" w:color="auto"/>
        </w:rPr>
        <w:t>。落实数字重庆人工智能底座开发要求，助力成渝整合数据资源，为模型研发与应用提供共享算力、工具支持。</w:t>
      </w:r>
      <w:r>
        <w:rPr>
          <w:rFonts w:ascii="Times New Roman" w:hAnsi="Times New Roman" w:eastAsia="方正仿宋_GBK"/>
          <w:spacing w:val="0"/>
          <w:szCs w:val="32"/>
          <w:highlight w:val="none"/>
          <w:u w:val="none" w:color="auto"/>
          <w:lang w:bidi="ar"/>
        </w:rPr>
        <w:t>引导企事业单位聚焦智能网联新能源汽车、智能制造、低空经济等重点领域，协同开展行业大模型与垂类智能体关键技术攻关</w:t>
      </w:r>
      <w:r>
        <w:rPr>
          <w:rFonts w:ascii="Times New Roman" w:hAnsi="Times New Roman" w:eastAsia="方正仿宋_GBK"/>
          <w:spacing w:val="0"/>
          <w:szCs w:val="32"/>
          <w:u w:val="none" w:color="auto"/>
          <w:lang w:bidi="ar"/>
        </w:rPr>
        <w:t>。</w:t>
      </w:r>
      <w:r>
        <w:rPr>
          <w:rFonts w:ascii="Times New Roman" w:hAnsi="Times New Roman" w:eastAsia="方正仿宋_GBK"/>
          <w:spacing w:val="0"/>
          <w:szCs w:val="32"/>
          <w:highlight w:val="none"/>
          <w:u w:val="none" w:color="auto"/>
          <w:lang w:bidi="ar"/>
        </w:rPr>
        <w:t>聚焦优势领域培育一批人工智能</w:t>
      </w:r>
      <w:r>
        <w:rPr>
          <w:rFonts w:hint="eastAsia" w:ascii="Times New Roman" w:hAnsi="Times New Roman" w:eastAsia="方正仿宋_GBK"/>
          <w:spacing w:val="0"/>
          <w:szCs w:val="32"/>
          <w:highlight w:val="none"/>
          <w:u w:val="none" w:color="auto"/>
          <w:lang w:eastAsia="zh-CN" w:bidi="ar"/>
        </w:rPr>
        <w:t>方向的</w:t>
      </w:r>
      <w:r>
        <w:rPr>
          <w:rFonts w:ascii="Times New Roman" w:hAnsi="Times New Roman" w:eastAsia="方正仿宋_GBK"/>
          <w:spacing w:val="0"/>
          <w:szCs w:val="32"/>
          <w:highlight w:val="none"/>
          <w:u w:val="none" w:color="auto"/>
          <w:lang w:bidi="ar"/>
        </w:rPr>
        <w:t>中试</w:t>
      </w:r>
      <w:r>
        <w:rPr>
          <w:rFonts w:hint="eastAsia" w:ascii="Times New Roman" w:hAnsi="Times New Roman" w:eastAsia="方正仿宋_GBK"/>
          <w:spacing w:val="0"/>
          <w:szCs w:val="32"/>
          <w:highlight w:val="none"/>
          <w:u w:val="none" w:color="auto"/>
          <w:lang w:eastAsia="zh-CN" w:bidi="ar"/>
        </w:rPr>
        <w:t>平台</w:t>
      </w:r>
      <w:r>
        <w:rPr>
          <w:rFonts w:ascii="Times New Roman" w:hAnsi="Times New Roman" w:eastAsia="方正仿宋_GBK"/>
          <w:spacing w:val="0"/>
          <w:szCs w:val="32"/>
          <w:highlight w:val="none"/>
          <w:u w:val="none" w:color="auto"/>
          <w:lang w:bidi="ar"/>
        </w:rPr>
        <w:t>，</w:t>
      </w:r>
      <w:r>
        <w:rPr>
          <w:rFonts w:hint="eastAsia" w:ascii="Times New Roman" w:hAnsi="Times New Roman" w:eastAsia="方正仿宋_GBK"/>
          <w:spacing w:val="0"/>
          <w:szCs w:val="32"/>
          <w:highlight w:val="none"/>
          <w:u w:val="none" w:color="auto"/>
          <w:lang w:bidi="ar"/>
        </w:rPr>
        <w:t>谋划</w:t>
      </w:r>
      <w:r>
        <w:rPr>
          <w:rFonts w:ascii="Times New Roman" w:hAnsi="Times New Roman" w:eastAsia="方正仿宋_GBK"/>
          <w:spacing w:val="0"/>
          <w:szCs w:val="32"/>
          <w:highlight w:val="none"/>
          <w:u w:val="none" w:color="auto"/>
          <w:lang w:bidi="ar"/>
        </w:rPr>
        <w:t>开展垂类模型</w:t>
      </w:r>
      <w:r>
        <w:rPr>
          <w:rFonts w:hint="eastAsia" w:ascii="Times New Roman" w:hAnsi="Times New Roman" w:eastAsia="方正仿宋_GBK"/>
          <w:spacing w:val="0"/>
          <w:szCs w:val="32"/>
          <w:highlight w:val="none"/>
          <w:u w:val="none" w:color="auto"/>
          <w:lang w:eastAsia="zh-CN" w:bidi="ar"/>
        </w:rPr>
        <w:t>迭代升级</w:t>
      </w:r>
      <w:r>
        <w:rPr>
          <w:rFonts w:ascii="Times New Roman" w:hAnsi="Times New Roman" w:eastAsia="方正仿宋_GBK"/>
          <w:spacing w:val="0"/>
          <w:szCs w:val="32"/>
          <w:highlight w:val="none"/>
          <w:u w:val="none" w:color="auto"/>
          <w:lang w:bidi="ar"/>
        </w:rPr>
        <w:t>、性能评测、产业化验证、规模化应用推广</w:t>
      </w:r>
      <w:r>
        <w:rPr>
          <w:rFonts w:ascii="Times New Roman" w:hAnsi="Times New Roman" w:eastAsia="方正仿宋_GBK"/>
          <w:spacing w:val="0"/>
          <w:szCs w:val="32"/>
          <w:u w:val="none" w:color="auto"/>
          <w:lang w:bidi="ar"/>
        </w:rPr>
        <w:t>。（</w:t>
      </w:r>
      <w:r>
        <w:rPr>
          <w:rFonts w:hint="eastAsia" w:ascii="Times New Roman" w:hAnsi="Times New Roman" w:eastAsia="方正楷体_GBK" w:cs="方正楷体_GBK"/>
          <w:spacing w:val="0"/>
          <w:szCs w:val="32"/>
          <w:u w:val="none" w:color="auto"/>
          <w:lang w:bidi="ar"/>
        </w:rPr>
        <w:t>责任单位：区科技局、区经济信息委、区大数据发展局、九龙新城园区管委会等</w:t>
      </w:r>
      <w:r>
        <w:rPr>
          <w:rFonts w:ascii="Times New Roman" w:hAnsi="Times New Roman" w:eastAsia="方正仿宋_GBK"/>
          <w:spacing w:val="0"/>
          <w:szCs w:val="32"/>
          <w:u w:val="none" w:color="auto"/>
          <w:lang w:bidi="ar"/>
        </w:rPr>
        <w:t>）</w:t>
      </w:r>
    </w:p>
    <w:p w14:paraId="715FA062">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27</w:t>
      </w:r>
      <w:r>
        <w:rPr>
          <w:rFonts w:hint="eastAsia" w:ascii="Times New Roman" w:hAnsi="Times New Roman" w:eastAsia="方正仿宋_GBK" w:cs="方正仿宋_GBK"/>
          <w:b/>
          <w:bCs w:val="0"/>
          <w:spacing w:val="0"/>
          <w:szCs w:val="32"/>
          <w:u w:val="none" w:color="auto"/>
        </w:rPr>
        <w:t>.深度融入“数字成渝”建设丰富数据要素供给</w:t>
      </w:r>
      <w:r>
        <w:rPr>
          <w:rFonts w:hint="eastAsia" w:ascii="Times New Roman" w:hAnsi="Times New Roman" w:eastAsia="方正仿宋_GBK" w:cs="方正仿宋_GBK"/>
          <w:spacing w:val="0"/>
          <w:szCs w:val="32"/>
          <w:u w:val="none" w:color="auto"/>
        </w:rPr>
        <w:t>。落实“</w:t>
      </w:r>
      <w:r>
        <w:rPr>
          <w:rFonts w:ascii="Times New Roman" w:hAnsi="Times New Roman" w:eastAsia="方正仿宋_GBK" w:cs="方正仿宋_GBK"/>
          <w:spacing w:val="0"/>
          <w:szCs w:val="32"/>
          <w:u w:val="none" w:color="auto"/>
        </w:rPr>
        <w:t>数字成渝</w:t>
      </w:r>
      <w:r>
        <w:rPr>
          <w:rFonts w:hint="eastAsia" w:ascii="Times New Roman" w:hAnsi="Times New Roman" w:eastAsia="方正仿宋_GBK" w:cs="方正仿宋_GBK"/>
          <w:spacing w:val="0"/>
          <w:szCs w:val="32"/>
          <w:u w:val="none" w:color="auto"/>
        </w:rPr>
        <w:t>”</w:t>
      </w:r>
      <w:r>
        <w:rPr>
          <w:rFonts w:ascii="Times New Roman" w:hAnsi="Times New Roman" w:eastAsia="方正仿宋_GBK" w:cs="方正仿宋_GBK"/>
          <w:spacing w:val="0"/>
          <w:szCs w:val="32"/>
          <w:u w:val="none" w:color="auto"/>
        </w:rPr>
        <w:t>共建机制，</w:t>
      </w:r>
      <w:r>
        <w:rPr>
          <w:rFonts w:hint="eastAsia" w:ascii="Times New Roman" w:hAnsi="Times New Roman" w:eastAsia="方正仿宋_GBK"/>
          <w:spacing w:val="0"/>
          <w:szCs w:val="32"/>
          <w:u w:val="none" w:color="auto"/>
          <w:lang w:bidi="ar"/>
        </w:rPr>
        <w:t>助力</w:t>
      </w:r>
      <w:r>
        <w:rPr>
          <w:rFonts w:ascii="Times New Roman" w:hAnsi="Times New Roman" w:eastAsia="方正仿宋_GBK"/>
          <w:spacing w:val="0"/>
          <w:szCs w:val="32"/>
          <w:u w:val="none" w:color="auto"/>
          <w:lang w:bidi="ar"/>
        </w:rPr>
        <w:t>构建政务服务、城市治理、智能网联汽车、生物医药等重点行业数据集。</w:t>
      </w:r>
      <w:r>
        <w:rPr>
          <w:rFonts w:hint="eastAsia" w:ascii="Times New Roman" w:hAnsi="Times New Roman" w:eastAsia="方正仿宋_GBK"/>
          <w:spacing w:val="0"/>
          <w:szCs w:val="32"/>
          <w:u w:val="none" w:color="auto"/>
          <w:lang w:bidi="ar"/>
        </w:rPr>
        <w:t>落实</w:t>
      </w:r>
      <w:r>
        <w:rPr>
          <w:rFonts w:ascii="Times New Roman" w:hAnsi="Times New Roman" w:eastAsia="方正仿宋_GBK"/>
          <w:spacing w:val="0"/>
          <w:szCs w:val="32"/>
          <w:u w:val="none" w:color="auto"/>
          <w:lang w:bidi="ar"/>
        </w:rPr>
        <w:t>公共数据开放共享机制，</w:t>
      </w:r>
      <w:r>
        <w:rPr>
          <w:rFonts w:ascii="Times New Roman" w:hAnsi="Times New Roman" w:eastAsia="方正仿宋_GBK"/>
          <w:spacing w:val="0"/>
          <w:szCs w:val="32"/>
          <w:highlight w:val="none"/>
          <w:u w:val="none" w:color="auto"/>
          <w:lang w:bidi="ar"/>
        </w:rPr>
        <w:t>依法有序推动企业登记监管、卫生健康、交通运输</w:t>
      </w:r>
      <w:r>
        <w:rPr>
          <w:rFonts w:hint="eastAsia" w:ascii="Times New Roman" w:hAnsi="Times New Roman" w:eastAsia="方正仿宋_GBK"/>
          <w:spacing w:val="0"/>
          <w:szCs w:val="32"/>
          <w:highlight w:val="none"/>
          <w:u w:val="none" w:color="auto"/>
          <w:lang w:eastAsia="zh-CN" w:bidi="ar"/>
        </w:rPr>
        <w:t>等</w:t>
      </w:r>
      <w:r>
        <w:rPr>
          <w:rFonts w:ascii="Times New Roman" w:hAnsi="Times New Roman" w:eastAsia="方正仿宋_GBK"/>
          <w:spacing w:val="0"/>
          <w:szCs w:val="32"/>
          <w:highlight w:val="none"/>
          <w:u w:val="none" w:color="auto"/>
          <w:lang w:bidi="ar"/>
        </w:rPr>
        <w:t>高价值数据向社会有序开放。</w:t>
      </w:r>
      <w:r>
        <w:rPr>
          <w:rFonts w:ascii="Times New Roman" w:hAnsi="Times New Roman" w:eastAsia="方正仿宋_GBK"/>
          <w:spacing w:val="0"/>
          <w:szCs w:val="32"/>
          <w:u w:val="none" w:color="auto"/>
          <w:lang w:bidi="ar"/>
        </w:rPr>
        <w:t>加快建设可信数据空间，探索建立可信数据空间协同联动机制。探索建立数据中介服务机构资质认证和服务质量评价体系。（</w:t>
      </w:r>
      <w:r>
        <w:rPr>
          <w:rFonts w:hint="eastAsia" w:ascii="Times New Roman" w:hAnsi="Times New Roman" w:eastAsia="方正楷体_GBK" w:cs="方正楷体_GBK"/>
          <w:spacing w:val="-6"/>
          <w:szCs w:val="32"/>
          <w:u w:val="none" w:color="auto"/>
          <w:lang w:bidi="ar"/>
        </w:rPr>
        <w:t>责任单位：区政府办公室、区经济信息委、区城市管理局、区交通运输委、区卫生健康委、区大数据发展局、区市场监管局等</w:t>
      </w:r>
      <w:r>
        <w:rPr>
          <w:rFonts w:ascii="Times New Roman" w:hAnsi="Times New Roman" w:eastAsia="方正仿宋_GBK"/>
          <w:spacing w:val="0"/>
          <w:szCs w:val="32"/>
          <w:u w:val="none" w:color="auto"/>
          <w:lang w:bidi="ar"/>
        </w:rPr>
        <w:t>）</w:t>
      </w:r>
    </w:p>
    <w:p w14:paraId="2ECA0D24">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28</w:t>
      </w:r>
      <w:r>
        <w:rPr>
          <w:rFonts w:hint="eastAsia" w:ascii="Times New Roman" w:hAnsi="Times New Roman" w:eastAsia="方正仿宋_GBK" w:cs="方正仿宋_GBK"/>
          <w:b/>
          <w:bCs w:val="0"/>
          <w:spacing w:val="0"/>
          <w:szCs w:val="32"/>
          <w:u w:val="none" w:color="auto"/>
        </w:rPr>
        <w:t>.优化人工智能应用发展生态环境</w:t>
      </w:r>
      <w:r>
        <w:rPr>
          <w:rFonts w:hint="eastAsia" w:ascii="Times New Roman" w:hAnsi="Times New Roman" w:eastAsia="方正仿宋_GBK" w:cs="方正仿宋_GBK"/>
          <w:spacing w:val="0"/>
          <w:szCs w:val="32"/>
          <w:u w:val="none" w:color="auto"/>
        </w:rPr>
        <w:t>。建成先进材料与数字制造学院，大力营造“人工智能</w:t>
      </w:r>
      <w:r>
        <w:rPr>
          <w:rFonts w:ascii="Times New Roman" w:hAnsi="Times New Roman" w:eastAsia="方正仿宋_GBK"/>
          <w:spacing w:val="0"/>
          <w:szCs w:val="32"/>
          <w:u w:val="none" w:color="auto"/>
        </w:rPr>
        <w:t>+</w:t>
      </w:r>
      <w:r>
        <w:rPr>
          <w:rFonts w:hint="eastAsia" w:ascii="Times New Roman" w:hAnsi="Times New Roman" w:eastAsia="方正仿宋_GBK" w:cs="方正仿宋_GBK"/>
          <w:spacing w:val="0"/>
          <w:szCs w:val="32"/>
          <w:u w:val="none" w:color="auto"/>
        </w:rPr>
        <w:t>”开源生态发展环境，加快打造制造业与人工智能深度融合的重要载体。</w:t>
      </w:r>
      <w:r>
        <w:rPr>
          <w:rFonts w:hint="eastAsia" w:ascii="Times New Roman" w:hAnsi="Times New Roman" w:eastAsia="方正仿宋_GBK" w:cs="方正仿宋_GBK"/>
          <w:spacing w:val="0"/>
          <w:szCs w:val="32"/>
          <w:u w:val="none" w:color="auto"/>
          <w:lang w:eastAsia="zh"/>
        </w:rPr>
        <w:t>探索</w:t>
      </w:r>
      <w:r>
        <w:rPr>
          <w:rFonts w:hint="eastAsia" w:ascii="Times New Roman" w:hAnsi="Times New Roman" w:eastAsia="方正仿宋_GBK" w:cs="方正仿宋_GBK"/>
          <w:spacing w:val="0"/>
          <w:szCs w:val="32"/>
          <w:highlight w:val="none"/>
          <w:u w:val="none" w:color="auto"/>
          <w:lang w:eastAsia="zh-CN"/>
        </w:rPr>
        <w:t>推广算力券政策，</w:t>
      </w:r>
      <w:r>
        <w:rPr>
          <w:rFonts w:hint="eastAsia" w:ascii="Times New Roman" w:hAnsi="Times New Roman" w:eastAsia="方正仿宋_GBK" w:cs="方正仿宋_GBK"/>
          <w:spacing w:val="0"/>
          <w:szCs w:val="32"/>
          <w:highlight w:val="none"/>
          <w:u w:val="none" w:color="auto"/>
          <w:lang w:eastAsia="zh"/>
        </w:rPr>
        <w:t>着力</w:t>
      </w:r>
      <w:r>
        <w:rPr>
          <w:rFonts w:hint="eastAsia" w:ascii="Times New Roman" w:hAnsi="Times New Roman" w:eastAsia="方正仿宋_GBK" w:cs="方正仿宋_GBK"/>
          <w:spacing w:val="0"/>
          <w:szCs w:val="32"/>
          <w:highlight w:val="none"/>
          <w:u w:val="none" w:color="auto"/>
          <w:lang w:eastAsia="zh-CN"/>
        </w:rPr>
        <w:t>降低算力使用成本。</w:t>
      </w:r>
      <w:r>
        <w:rPr>
          <w:rFonts w:ascii="Times New Roman" w:hAnsi="Times New Roman" w:eastAsia="方正仿宋_GBK"/>
          <w:spacing w:val="0"/>
          <w:szCs w:val="32"/>
          <w:u w:val="none" w:color="auto"/>
          <w:lang w:bidi="ar"/>
        </w:rPr>
        <w:t>聚焦科技创新、产业发展、民生福祉、超大城市现代化治理等重点领域，</w:t>
      </w:r>
      <w:r>
        <w:rPr>
          <w:rFonts w:ascii="Times New Roman" w:hAnsi="Times New Roman" w:eastAsia="方正仿宋_GBK" w:cs="方正仿宋_GBK"/>
          <w:spacing w:val="0"/>
          <w:szCs w:val="32"/>
          <w:u w:val="none" w:color="auto"/>
        </w:rPr>
        <w:t>协同四川</w:t>
      </w:r>
      <w:r>
        <w:rPr>
          <w:rFonts w:hint="eastAsia" w:ascii="Times New Roman" w:hAnsi="Times New Roman" w:eastAsia="方正仿宋_GBK" w:cs="方正仿宋_GBK"/>
          <w:spacing w:val="0"/>
          <w:szCs w:val="32"/>
          <w:u w:val="none" w:color="auto"/>
        </w:rPr>
        <w:t>地区</w:t>
      </w:r>
      <w:r>
        <w:rPr>
          <w:rFonts w:hint="eastAsia" w:ascii="Times New Roman" w:hAnsi="Times New Roman" w:eastAsia="方正仿宋_GBK"/>
          <w:spacing w:val="0"/>
          <w:szCs w:val="32"/>
          <w:u w:val="none" w:color="auto"/>
          <w:lang w:bidi="ar"/>
        </w:rPr>
        <w:t>打造</w:t>
      </w:r>
      <w:r>
        <w:rPr>
          <w:rFonts w:ascii="Times New Roman" w:hAnsi="Times New Roman" w:eastAsia="方正仿宋_GBK"/>
          <w:spacing w:val="0"/>
          <w:szCs w:val="32"/>
          <w:u w:val="none" w:color="auto"/>
          <w:lang w:bidi="ar"/>
        </w:rPr>
        <w:t>一批跨区域、跨领域的示范应用场景。</w:t>
      </w:r>
      <w:r>
        <w:rPr>
          <w:rFonts w:hint="eastAsia" w:ascii="Times New Roman" w:hAnsi="Times New Roman" w:eastAsia="方正仿宋_GBK" w:cs="方正仿宋_GBK"/>
          <w:spacing w:val="0"/>
          <w:szCs w:val="32"/>
          <w:u w:val="none" w:color="auto"/>
        </w:rPr>
        <w:t>（</w:t>
      </w:r>
      <w:r>
        <w:rPr>
          <w:rFonts w:hint="eastAsia" w:ascii="Times New Roman" w:hAnsi="Times New Roman" w:eastAsia="方正楷体_GBK" w:cs="方正楷体_GBK"/>
          <w:spacing w:val="0"/>
          <w:szCs w:val="32"/>
          <w:u w:val="none" w:color="auto"/>
        </w:rPr>
        <w:t>责任单位：区科技局、区经济信息委、区大数据发展局、九龙新城园区管委会等</w:t>
      </w:r>
      <w:r>
        <w:rPr>
          <w:rFonts w:hint="eastAsia" w:ascii="Times New Roman" w:hAnsi="Times New Roman" w:eastAsia="方正仿宋_GBK" w:cs="方正仿宋_GBK"/>
          <w:spacing w:val="0"/>
          <w:szCs w:val="32"/>
          <w:u w:val="none" w:color="auto"/>
        </w:rPr>
        <w:t>）</w:t>
      </w:r>
    </w:p>
    <w:p w14:paraId="07897F0F">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楷体_GBK" w:cs="方正楷体_GBK"/>
          <w:spacing w:val="0"/>
          <w:szCs w:val="32"/>
          <w:u w:val="none" w:color="auto"/>
        </w:rPr>
      </w:pPr>
      <w:r>
        <w:rPr>
          <w:rFonts w:hint="eastAsia" w:ascii="Times New Roman" w:hAnsi="Times New Roman" w:eastAsia="方正楷体_GBK" w:cs="方正楷体_GBK"/>
          <w:spacing w:val="0"/>
          <w:szCs w:val="32"/>
          <w:u w:val="none" w:color="auto"/>
        </w:rPr>
        <w:t>（十）实施极核引领、区域协同行动</w:t>
      </w:r>
    </w:p>
    <w:p w14:paraId="3EE5EE61">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仿宋_GBK" w:cs="方正仿宋_GBK"/>
          <w:spacing w:val="0"/>
          <w:szCs w:val="32"/>
          <w:u w:val="none" w:color="auto"/>
        </w:rPr>
      </w:pPr>
      <w:r>
        <w:rPr>
          <w:rFonts w:hint="eastAsia" w:ascii="Times New Roman" w:hAnsi="Times New Roman" w:eastAsia="方正仿宋_GBK"/>
          <w:spacing w:val="0"/>
          <w:szCs w:val="32"/>
          <w:u w:val="none" w:color="auto"/>
        </w:rPr>
        <w:t>深度融入东南西北四极牵引、内陆沿海互促共进的区域发展新格局，</w:t>
      </w:r>
      <w:r>
        <w:rPr>
          <w:rFonts w:hint="eastAsia" w:ascii="Times New Roman" w:hAnsi="Times New Roman" w:eastAsia="方正仿宋_GBK" w:cs="方正仿宋_GBK"/>
          <w:spacing w:val="0"/>
          <w:szCs w:val="32"/>
          <w:u w:val="none" w:color="auto"/>
        </w:rPr>
        <w:t>到</w:t>
      </w:r>
      <w:r>
        <w:rPr>
          <w:rFonts w:hint="eastAsia" w:ascii="Times New Roman" w:hAnsi="Times New Roman" w:eastAsia="方正仿宋_GBK"/>
          <w:spacing w:val="0"/>
          <w:szCs w:val="32"/>
          <w:u w:val="none" w:color="auto"/>
        </w:rPr>
        <w:t>2030</w:t>
      </w:r>
      <w:r>
        <w:rPr>
          <w:rFonts w:hint="eastAsia" w:ascii="Times New Roman" w:hAnsi="Times New Roman" w:eastAsia="方正仿宋_GBK" w:cs="方正仿宋_GBK"/>
          <w:spacing w:val="0"/>
          <w:szCs w:val="32"/>
          <w:u w:val="none" w:color="auto"/>
        </w:rPr>
        <w:t>年，地区生产总值达3000亿元，</w:t>
      </w:r>
      <w:r>
        <w:rPr>
          <w:rFonts w:hint="eastAsia" w:ascii="Times New Roman" w:hAnsi="Times New Roman" w:eastAsia="方正仿宋_GBK"/>
          <w:spacing w:val="0"/>
          <w:szCs w:val="32"/>
          <w:u w:val="none" w:color="auto"/>
        </w:rPr>
        <w:t>占双城经济圈</w:t>
      </w:r>
      <w:r>
        <w:rPr>
          <w:rFonts w:hint="eastAsia" w:ascii="Times New Roman" w:hAnsi="Times New Roman" w:eastAsia="方正仿宋_GBK" w:cs="方正仿宋_GBK"/>
          <w:spacing w:val="0"/>
          <w:szCs w:val="32"/>
          <w:u w:val="none" w:color="auto"/>
        </w:rPr>
        <w:t>比重达</w:t>
      </w:r>
      <w:r>
        <w:rPr>
          <w:rFonts w:hint="eastAsia" w:ascii="Times New Roman" w:hAnsi="Times New Roman" w:eastAsia="方正仿宋_GBK"/>
          <w:spacing w:val="0"/>
          <w:szCs w:val="32"/>
          <w:u w:val="none" w:color="auto"/>
        </w:rPr>
        <w:t>2.5%</w:t>
      </w:r>
      <w:r>
        <w:rPr>
          <w:rFonts w:hint="eastAsia" w:ascii="Times New Roman" w:hAnsi="Times New Roman" w:eastAsia="方正仿宋_GBK" w:cs="方正仿宋_GBK"/>
          <w:spacing w:val="0"/>
          <w:szCs w:val="32"/>
          <w:u w:val="none" w:color="auto"/>
        </w:rPr>
        <w:t>。</w:t>
      </w:r>
    </w:p>
    <w:p w14:paraId="1AB45644">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hint="eastAsia" w:ascii="Times New Roman" w:hAnsi="Times New Roman" w:eastAsia="方正仿宋_GBK" w:cs="方正仿宋_GBK"/>
          <w:spacing w:val="0"/>
          <w:szCs w:val="32"/>
          <w:u w:val="none" w:color="auto"/>
        </w:rPr>
      </w:pPr>
      <w:bookmarkStart w:id="0" w:name="_Toc3844"/>
      <w:bookmarkStart w:id="1" w:name="_Toc20425"/>
      <w:bookmarkStart w:id="2" w:name="_Toc16302"/>
      <w:bookmarkStart w:id="3" w:name="_Toc28456"/>
      <w:bookmarkStart w:id="4" w:name="_Toc15597"/>
      <w:r>
        <w:rPr>
          <w:rFonts w:ascii="Times New Roman" w:hAnsi="Times New Roman" w:eastAsia="方正仿宋_GBK"/>
          <w:b/>
          <w:bCs w:val="0"/>
          <w:spacing w:val="0"/>
          <w:szCs w:val="32"/>
          <w:u w:val="none" w:color="auto"/>
        </w:rPr>
        <w:t>29</w:t>
      </w:r>
      <w:r>
        <w:rPr>
          <w:rFonts w:hint="eastAsia" w:ascii="Times New Roman" w:hAnsi="Times New Roman" w:eastAsia="方正仿宋_GBK" w:cs="方正仿宋_GBK"/>
          <w:b/>
          <w:bCs w:val="0"/>
          <w:spacing w:val="0"/>
          <w:szCs w:val="32"/>
          <w:u w:val="none" w:color="auto"/>
        </w:rPr>
        <w:t>.</w:t>
      </w:r>
      <w:bookmarkEnd w:id="0"/>
      <w:bookmarkEnd w:id="1"/>
      <w:bookmarkEnd w:id="2"/>
      <w:bookmarkEnd w:id="3"/>
      <w:bookmarkEnd w:id="4"/>
      <w:r>
        <w:rPr>
          <w:rFonts w:hint="eastAsia" w:ascii="Times New Roman" w:hAnsi="Times New Roman" w:eastAsia="方正仿宋_GBK" w:cs="方正仿宋_GBK"/>
          <w:b/>
          <w:bCs w:val="0"/>
          <w:spacing w:val="0"/>
          <w:szCs w:val="32"/>
          <w:u w:val="none" w:color="auto"/>
        </w:rPr>
        <w:t>持续扩大川渝“朋友圈”</w:t>
      </w:r>
      <w:r>
        <w:rPr>
          <w:rFonts w:hint="eastAsia" w:ascii="Times New Roman" w:hAnsi="Times New Roman" w:eastAsia="方正仿宋_GBK" w:cs="方正仿宋_GBK"/>
          <w:spacing w:val="0"/>
          <w:szCs w:val="32"/>
          <w:u w:val="none" w:color="auto"/>
        </w:rPr>
        <w:t>。协同中心城区强核提能级，推动</w:t>
      </w:r>
      <w:r>
        <w:rPr>
          <w:rFonts w:ascii="Times New Roman" w:hAnsi="Times New Roman" w:eastAsia="方正仿宋_GBK"/>
          <w:spacing w:val="0"/>
          <w:szCs w:val="32"/>
          <w:u w:val="none" w:color="auto"/>
        </w:rPr>
        <w:t>4</w:t>
      </w:r>
      <w:r>
        <w:rPr>
          <w:rFonts w:hint="eastAsia" w:ascii="Times New Roman" w:hAnsi="Times New Roman" w:eastAsia="方正仿宋_GBK" w:cs="方正仿宋_GBK"/>
          <w:spacing w:val="0"/>
          <w:szCs w:val="32"/>
          <w:u w:val="none" w:color="auto"/>
        </w:rPr>
        <w:t>大片区组团式网络化发展，联动与两江新区、重庆高新区共同提升产业引领、科技创新、门户枢纽、综合服务等功能。</w:t>
      </w:r>
      <w:r>
        <w:rPr>
          <w:rFonts w:ascii="Times New Roman" w:hAnsi="Times New Roman" w:eastAsia="方正仿宋_GBK"/>
          <w:spacing w:val="0"/>
          <w:szCs w:val="32"/>
          <w:u w:val="none" w:color="auto"/>
        </w:rPr>
        <w:t>深化</w:t>
      </w:r>
      <w:r>
        <w:rPr>
          <w:rFonts w:hint="eastAsia" w:ascii="Times New Roman" w:hAnsi="Times New Roman" w:eastAsia="方正仿宋_GBK"/>
          <w:spacing w:val="0"/>
          <w:szCs w:val="32"/>
          <w:u w:val="none" w:color="auto"/>
          <w:lang w:eastAsia="zh-CN"/>
        </w:rPr>
        <w:t>“新龙合作”</w:t>
      </w:r>
      <w:r>
        <w:rPr>
          <w:rFonts w:ascii="Times New Roman" w:hAnsi="Times New Roman" w:eastAsia="方正仿宋_GBK"/>
          <w:spacing w:val="0"/>
          <w:szCs w:val="32"/>
          <w:u w:val="none" w:color="auto"/>
        </w:rPr>
        <w:t>，持续推进</w:t>
      </w:r>
      <w:r>
        <w:rPr>
          <w:rFonts w:hint="eastAsia" w:ascii="Times New Roman" w:hAnsi="Times New Roman" w:eastAsia="方正仿宋_GBK" w:cs="方正仿宋_GBK"/>
          <w:spacing w:val="0"/>
          <w:szCs w:val="32"/>
          <w:u w:val="none" w:color="auto"/>
        </w:rPr>
        <w:t>与成都市新都区产业、科创、消费、公共服务等领域协作，协同</w:t>
      </w:r>
      <w:r>
        <w:rPr>
          <w:rFonts w:ascii="Times New Roman" w:hAnsi="Times New Roman" w:eastAsia="方正仿宋_GBK"/>
          <w:spacing w:val="0"/>
          <w:szCs w:val="32"/>
          <w:u w:val="none" w:color="auto"/>
        </w:rPr>
        <w:t>共建</w:t>
      </w:r>
      <w:r>
        <w:rPr>
          <w:rFonts w:ascii="Times New Roman" w:hAnsi="Times New Roman" w:eastAsia="方正仿宋_GBK"/>
          <w:bCs w:val="0"/>
          <w:spacing w:val="0"/>
          <w:szCs w:val="32"/>
          <w:u w:val="none" w:color="auto"/>
        </w:rPr>
        <w:t>成渝主轴经济走廊</w:t>
      </w:r>
      <w:r>
        <w:rPr>
          <w:rFonts w:hint="eastAsia" w:ascii="Times New Roman" w:hAnsi="Times New Roman" w:eastAsia="方正仿宋_GBK"/>
          <w:bCs w:val="0"/>
          <w:spacing w:val="0"/>
          <w:szCs w:val="32"/>
          <w:u w:val="none" w:color="auto"/>
        </w:rPr>
        <w:t>。</w:t>
      </w:r>
      <w:r>
        <w:rPr>
          <w:rFonts w:hint="eastAsia" w:ascii="Times New Roman" w:hAnsi="Times New Roman" w:eastAsia="方正仿宋_GBK" w:cs="方正仿宋_GBK"/>
          <w:spacing w:val="0"/>
          <w:szCs w:val="32"/>
          <w:u w:val="none" w:color="auto"/>
        </w:rPr>
        <w:t>联动更多川渝市区县开展合作共建。</w:t>
      </w:r>
      <w:r>
        <w:rPr>
          <w:rFonts w:hint="eastAsia" w:ascii="Times New Roman" w:hAnsi="Times New Roman" w:eastAsia="方正仿宋_GBK" w:cs="方正仿宋_GBK"/>
          <w:spacing w:val="0"/>
          <w:szCs w:val="32"/>
          <w:u w:val="none" w:color="auto"/>
          <w:lang w:eastAsia="zh"/>
        </w:rPr>
        <w:t>深化落实</w:t>
      </w:r>
      <w:r>
        <w:rPr>
          <w:rFonts w:hint="eastAsia" w:ascii="Times New Roman" w:hAnsi="Times New Roman" w:eastAsia="方正仿宋_GBK" w:cs="方正仿宋_GBK"/>
          <w:spacing w:val="0"/>
          <w:szCs w:val="32"/>
          <w:u w:val="none" w:color="auto"/>
        </w:rPr>
        <w:t>大城市带大农村大山区大库区协同发展机制，滚动实施一批对口协同发展项目。（</w:t>
      </w:r>
      <w:r>
        <w:rPr>
          <w:rFonts w:hint="eastAsia" w:ascii="Times New Roman" w:hAnsi="Times New Roman" w:eastAsia="方正楷体_GBK" w:cs="方正楷体_GBK"/>
          <w:spacing w:val="0"/>
          <w:szCs w:val="32"/>
          <w:u w:val="none" w:color="auto"/>
        </w:rPr>
        <w:t>责任单位：区政府办公室、区发展改革委、区教委、区科技局、区经济信息委、区人力社保局、区商务委、区文化旅游委、区卫生健康委、区医保局、九龙新城园区管委会等</w:t>
      </w:r>
      <w:r>
        <w:rPr>
          <w:rFonts w:hint="eastAsia" w:ascii="Times New Roman" w:hAnsi="Times New Roman" w:eastAsia="方正仿宋_GBK" w:cs="方正仿宋_GBK"/>
          <w:spacing w:val="0"/>
          <w:szCs w:val="32"/>
          <w:u w:val="none" w:color="auto"/>
        </w:rPr>
        <w:t>）</w:t>
      </w:r>
    </w:p>
    <w:p w14:paraId="3875DA8F">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ascii="Times New Roman" w:hAnsi="Times New Roman" w:eastAsia="方正仿宋_GBK" w:cs="方正仿宋_GBK"/>
          <w:spacing w:val="0"/>
          <w:szCs w:val="32"/>
          <w:u w:val="none" w:color="auto"/>
        </w:rPr>
      </w:pPr>
      <w:r>
        <w:rPr>
          <w:rFonts w:ascii="Times New Roman" w:hAnsi="Times New Roman" w:eastAsia="方正仿宋_GBK"/>
          <w:b/>
          <w:bCs w:val="0"/>
          <w:spacing w:val="0"/>
          <w:szCs w:val="32"/>
          <w:u w:val="none" w:color="auto"/>
        </w:rPr>
        <w:t>30</w:t>
      </w:r>
      <w:r>
        <w:rPr>
          <w:rFonts w:hint="eastAsia" w:ascii="Times New Roman" w:hAnsi="Times New Roman" w:eastAsia="方正仿宋_GBK" w:cs="方正仿宋_GBK"/>
          <w:b/>
          <w:bCs w:val="0"/>
          <w:spacing w:val="0"/>
          <w:szCs w:val="32"/>
          <w:u w:val="none" w:color="auto"/>
        </w:rPr>
        <w:t>.全力支撑西部“增长极”</w:t>
      </w:r>
      <w:r>
        <w:rPr>
          <w:rFonts w:hint="eastAsia" w:ascii="Times New Roman" w:hAnsi="Times New Roman" w:eastAsia="方正仿宋_GBK" w:cs="方正仿宋_GBK"/>
          <w:spacing w:val="0"/>
          <w:szCs w:val="32"/>
          <w:u w:val="none" w:color="auto"/>
        </w:rPr>
        <w:t>。</w:t>
      </w:r>
      <w:r>
        <w:rPr>
          <w:rFonts w:ascii="Times New Roman" w:hAnsi="Times New Roman" w:eastAsia="方正仿宋_GBK"/>
          <w:spacing w:val="0"/>
          <w:szCs w:val="32"/>
          <w:u w:val="none" w:color="auto"/>
        </w:rPr>
        <w:t>加强与西部省区交流互动，高水平共建西部陆海新通道，持续推进能源、物流、产业等领域合作</w:t>
      </w:r>
      <w:r>
        <w:rPr>
          <w:rFonts w:ascii="Times New Roman" w:hAnsi="Times New Roman" w:eastAsia="方正仿宋_GBK"/>
          <w:bCs w:val="0"/>
          <w:spacing w:val="0"/>
          <w:szCs w:val="32"/>
          <w:u w:val="none" w:color="auto"/>
        </w:rPr>
        <w:t>。深化与</w:t>
      </w:r>
      <w:r>
        <w:rPr>
          <w:rFonts w:hint="eastAsia" w:ascii="Times New Roman" w:hAnsi="Times New Roman" w:eastAsia="方正仿宋_GBK"/>
          <w:bCs w:val="0"/>
          <w:spacing w:val="0"/>
          <w:szCs w:val="32"/>
          <w:u w:val="none" w:color="auto"/>
        </w:rPr>
        <w:t>西北地区</w:t>
      </w:r>
      <w:r>
        <w:rPr>
          <w:rFonts w:ascii="Times New Roman" w:hAnsi="Times New Roman" w:eastAsia="方正仿宋_GBK"/>
          <w:bCs w:val="0"/>
          <w:spacing w:val="0"/>
          <w:szCs w:val="32"/>
          <w:u w:val="none" w:color="auto"/>
        </w:rPr>
        <w:t>城市群联动，引导航空航天、新型储能、电子信息等领域创新成果在</w:t>
      </w:r>
      <w:r>
        <w:rPr>
          <w:rFonts w:hint="eastAsia" w:ascii="Times New Roman" w:hAnsi="Times New Roman" w:eastAsia="方正仿宋_GBK"/>
          <w:bCs w:val="0"/>
          <w:spacing w:val="0"/>
          <w:szCs w:val="32"/>
          <w:u w:val="none" w:color="auto"/>
        </w:rPr>
        <w:t>九龙坡</w:t>
      </w:r>
      <w:r>
        <w:rPr>
          <w:rFonts w:ascii="Times New Roman" w:hAnsi="Times New Roman" w:eastAsia="方正仿宋_GBK"/>
          <w:bCs w:val="0"/>
          <w:spacing w:val="0"/>
          <w:szCs w:val="32"/>
          <w:u w:val="none" w:color="auto"/>
        </w:rPr>
        <w:t>转化。加强与黔中、滇中、北部湾城市群合作，</w:t>
      </w:r>
      <w:r>
        <w:rPr>
          <w:rFonts w:hint="eastAsia" w:ascii="Times New Roman" w:hAnsi="Times New Roman" w:eastAsia="方正仿宋_GBK"/>
          <w:spacing w:val="0"/>
          <w:szCs w:val="32"/>
          <w:u w:val="none" w:color="auto"/>
        </w:rPr>
        <w:t>支撑打造以成渝为中心联结西南五省市的产业链供应链</w:t>
      </w:r>
      <w:r>
        <w:rPr>
          <w:rFonts w:ascii="Times New Roman" w:hAnsi="Times New Roman" w:eastAsia="方正仿宋_GBK"/>
          <w:bCs w:val="0"/>
          <w:spacing w:val="0"/>
          <w:szCs w:val="32"/>
          <w:u w:val="none" w:color="auto"/>
        </w:rPr>
        <w:t>。</w:t>
      </w:r>
      <w:r>
        <w:rPr>
          <w:rFonts w:hint="eastAsia" w:ascii="Times New Roman" w:hAnsi="Times New Roman" w:eastAsia="方正仿宋_GBK" w:cs="方正仿宋_GBK"/>
          <w:spacing w:val="0"/>
          <w:szCs w:val="32"/>
          <w:u w:val="none" w:color="auto"/>
        </w:rPr>
        <w:t>聚焦民族交往交流交融，持续做好援藏</w:t>
      </w:r>
      <w:r>
        <w:rPr>
          <w:rFonts w:hint="eastAsia" w:ascii="Times New Roman" w:hAnsi="Times New Roman" w:eastAsia="方正仿宋_GBK" w:cs="方正仿宋_GBK"/>
          <w:spacing w:val="0"/>
          <w:szCs w:val="32"/>
          <w:u w:val="none" w:color="auto"/>
          <w:lang w:val="en-US" w:eastAsia="zh-CN"/>
        </w:rPr>
        <w:t>援疆</w:t>
      </w:r>
      <w:r>
        <w:rPr>
          <w:rFonts w:hint="eastAsia" w:ascii="Times New Roman" w:hAnsi="Times New Roman" w:eastAsia="方正仿宋_GBK" w:cs="方正仿宋_GBK"/>
          <w:spacing w:val="0"/>
          <w:szCs w:val="32"/>
          <w:u w:val="none" w:color="auto"/>
        </w:rPr>
        <w:t>工作。（</w:t>
      </w:r>
      <w:r>
        <w:rPr>
          <w:rFonts w:hint="eastAsia" w:ascii="Times New Roman" w:hAnsi="Times New Roman" w:eastAsia="方正楷体_GBK" w:cs="方正楷体_GBK"/>
          <w:spacing w:val="0"/>
          <w:szCs w:val="32"/>
          <w:u w:val="none" w:color="auto"/>
        </w:rPr>
        <w:t>责任单位：区发展改革委、区科技局、区经济信息委、区交通运输委、区商务委、九龙新城园区管委会等</w:t>
      </w:r>
      <w:r>
        <w:rPr>
          <w:rFonts w:hint="eastAsia" w:ascii="Times New Roman" w:hAnsi="Times New Roman" w:eastAsia="方正仿宋_GBK" w:cs="方正仿宋_GBK"/>
          <w:spacing w:val="0"/>
          <w:szCs w:val="32"/>
          <w:u w:val="none" w:color="auto"/>
        </w:rPr>
        <w:t>）</w:t>
      </w:r>
    </w:p>
    <w:p w14:paraId="70DF6FDF">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3"/>
        <w:rPr>
          <w:rFonts w:hint="eastAsia" w:ascii="Times New Roman" w:hAnsi="Times New Roman" w:eastAsia="方正楷体_GBK" w:cs="方正楷体_GBK"/>
          <w:spacing w:val="0"/>
          <w:szCs w:val="32"/>
          <w:u w:val="none" w:color="auto"/>
        </w:rPr>
      </w:pPr>
      <w:bookmarkStart w:id="5" w:name="_Toc19836"/>
      <w:bookmarkStart w:id="6" w:name="_Toc14571"/>
      <w:bookmarkStart w:id="7" w:name="_Toc29859"/>
      <w:bookmarkStart w:id="8" w:name="_Toc6069"/>
      <w:bookmarkStart w:id="9" w:name="_Toc11844"/>
      <w:r>
        <w:rPr>
          <w:rFonts w:ascii="Times New Roman" w:hAnsi="Times New Roman" w:eastAsia="方正仿宋_GBK"/>
          <w:b/>
          <w:bCs w:val="0"/>
          <w:spacing w:val="0"/>
          <w:szCs w:val="32"/>
          <w:u w:val="none" w:color="auto"/>
        </w:rPr>
        <w:t>31</w:t>
      </w:r>
      <w:r>
        <w:rPr>
          <w:rFonts w:hint="eastAsia" w:ascii="Times New Roman" w:hAnsi="Times New Roman" w:eastAsia="方正仿宋_GBK" w:cs="方正仿宋_GBK"/>
          <w:b/>
          <w:bCs w:val="0"/>
          <w:spacing w:val="0"/>
          <w:szCs w:val="32"/>
          <w:u w:val="none" w:color="auto"/>
        </w:rPr>
        <w:t>.</w:t>
      </w:r>
      <w:bookmarkEnd w:id="5"/>
      <w:bookmarkEnd w:id="6"/>
      <w:bookmarkEnd w:id="7"/>
      <w:bookmarkEnd w:id="8"/>
      <w:bookmarkEnd w:id="9"/>
      <w:r>
        <w:rPr>
          <w:rFonts w:hint="eastAsia" w:ascii="Times New Roman" w:hAnsi="Times New Roman" w:eastAsia="方正仿宋_GBK" w:cs="方正仿宋_GBK"/>
          <w:b/>
          <w:bCs w:val="0"/>
          <w:spacing w:val="0"/>
          <w:szCs w:val="32"/>
          <w:u w:val="none" w:color="auto"/>
        </w:rPr>
        <w:t>积极联动东部“大动脉”</w:t>
      </w:r>
      <w:r>
        <w:rPr>
          <w:rFonts w:hint="eastAsia" w:ascii="Times New Roman" w:hAnsi="Times New Roman" w:eastAsia="方正仿宋_GBK" w:cs="方正仿宋_GBK"/>
          <w:spacing w:val="0"/>
          <w:szCs w:val="32"/>
          <w:u w:val="none" w:color="auto"/>
        </w:rPr>
        <w:t>。链接京津冀、长三角、粤港澳大湾区等地区城市，积极承接东部地区产业链整体转移和关联产业协同转移。支持开发开放平台探索“飞地经济”和反向科创飞地模式。推动长江经济带高质量发展，强化与长江沿线城市的产业协作、要素互补、设施共建，依托港口航道、铁路公路建设，积极链接长江黄金水道、沿江铁路、高速公路网等为纽带的经济大动脉。（</w:t>
      </w:r>
      <w:r>
        <w:rPr>
          <w:rFonts w:hint="eastAsia" w:ascii="Times New Roman" w:hAnsi="Times New Roman" w:eastAsia="方正楷体_GBK" w:cs="方正楷体_GBK"/>
          <w:spacing w:val="-6"/>
          <w:szCs w:val="32"/>
          <w:u w:val="none" w:color="auto"/>
        </w:rPr>
        <w:t>责任单位：区发展改革委、区科技局、区交通运输委、区商务委、九龙新城园区管委会等</w:t>
      </w:r>
      <w:r>
        <w:rPr>
          <w:rFonts w:hint="eastAsia" w:ascii="Times New Roman" w:hAnsi="Times New Roman" w:eastAsia="方正仿宋_GBK" w:cs="方正仿宋_GBK"/>
          <w:spacing w:val="0"/>
          <w:szCs w:val="32"/>
          <w:u w:val="none" w:color="auto"/>
        </w:rPr>
        <w:t>）</w:t>
      </w:r>
    </w:p>
    <w:p w14:paraId="01B9F402">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hint="eastAsia" w:ascii="Times New Roman" w:hAnsi="Times New Roman" w:eastAsia="方正黑体_GBK" w:cs="方正黑体_GBK"/>
          <w:spacing w:val="0"/>
          <w:szCs w:val="32"/>
          <w:u w:val="none" w:color="auto"/>
        </w:rPr>
      </w:pPr>
      <w:r>
        <w:rPr>
          <w:rFonts w:hint="eastAsia" w:ascii="Times New Roman" w:hAnsi="Times New Roman" w:eastAsia="方正黑体_GBK" w:cs="方正黑体_GBK"/>
          <w:spacing w:val="0"/>
          <w:szCs w:val="32"/>
          <w:u w:val="none" w:color="auto"/>
        </w:rPr>
        <w:t>四、组织保障</w:t>
      </w:r>
    </w:p>
    <w:p w14:paraId="41E67066">
      <w:pPr>
        <w:pStyle w:val="14"/>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rPr>
          <w:rFonts w:ascii="Times New Roman" w:hAnsi="Times New Roman" w:eastAsia="方正仿宋_GBK"/>
          <w:spacing w:val="0"/>
          <w:szCs w:val="32"/>
          <w:u w:val="none" w:color="auto"/>
        </w:rPr>
      </w:pPr>
      <w:r>
        <w:rPr>
          <w:rFonts w:hint="eastAsia" w:ascii="Times New Roman" w:hAnsi="Times New Roman" w:eastAsia="方正楷体_GBK" w:cs="方正楷体_GBK"/>
          <w:spacing w:val="0"/>
          <w:szCs w:val="32"/>
          <w:u w:val="none" w:color="auto"/>
        </w:rPr>
        <w:t>（一）强化组织领导。</w:t>
      </w:r>
      <w:r>
        <w:rPr>
          <w:rFonts w:hint="eastAsia" w:ascii="Times New Roman" w:hAnsi="Times New Roman" w:eastAsia="方正仿宋_GBK"/>
          <w:spacing w:val="0"/>
          <w:szCs w:val="32"/>
          <w:u w:val="none" w:color="auto"/>
        </w:rPr>
        <w:t>区</w:t>
      </w:r>
      <w:r>
        <w:rPr>
          <w:rFonts w:hint="eastAsia" w:ascii="Times New Roman" w:hAnsi="Times New Roman" w:eastAsia="方正仿宋_GBK"/>
          <w:spacing w:val="0"/>
          <w:szCs w:val="32"/>
          <w:u w:val="none" w:color="auto"/>
          <w:lang w:eastAsia="zh"/>
        </w:rPr>
        <w:t>建设成渝地区双城经济</w:t>
      </w:r>
      <w:r>
        <w:rPr>
          <w:rFonts w:hint="eastAsia" w:ascii="Times New Roman" w:hAnsi="Times New Roman" w:eastAsia="方正仿宋_GBK"/>
          <w:spacing w:val="0"/>
          <w:szCs w:val="32"/>
          <w:u w:val="none" w:color="auto"/>
          <w:lang w:eastAsia="zh-CN"/>
        </w:rPr>
        <w:t>圈</w:t>
      </w:r>
      <w:r>
        <w:rPr>
          <w:rFonts w:hint="eastAsia" w:ascii="Times New Roman" w:hAnsi="Times New Roman" w:eastAsia="方正仿宋_GBK"/>
          <w:spacing w:val="0"/>
          <w:szCs w:val="32"/>
          <w:u w:val="none" w:color="auto"/>
          <w:lang w:eastAsia="zh"/>
        </w:rPr>
        <w:t>专项工作组要</w:t>
      </w:r>
      <w:r>
        <w:rPr>
          <w:rFonts w:ascii="Times New Roman" w:hAnsi="Times New Roman" w:eastAsia="方正仿宋_GBK"/>
          <w:spacing w:val="0"/>
          <w:szCs w:val="32"/>
          <w:u w:val="none" w:color="auto"/>
        </w:rPr>
        <w:t>充分发挥牵头抓总作用，</w:t>
      </w:r>
      <w:r>
        <w:rPr>
          <w:rFonts w:hint="eastAsia" w:ascii="Times New Roman" w:hAnsi="Times New Roman" w:eastAsia="方正仿宋_GBK" w:cs="Times New Roman"/>
          <w:bCs/>
          <w:spacing w:val="0"/>
          <w:kern w:val="2"/>
          <w:sz w:val="32"/>
          <w:szCs w:val="32"/>
          <w:u w:val="none" w:color="auto"/>
          <w:lang w:val="en-US" w:eastAsia="zh" w:bidi="ar-SA"/>
        </w:rPr>
        <w:t>滚动实施年度重大项目、重大政策、重大改革、重大平台</w:t>
      </w:r>
      <w:r>
        <w:rPr>
          <w:rFonts w:hint="eastAsia" w:ascii="Times New Roman" w:hAnsi="Times New Roman" w:eastAsia="方正仿宋_GBK" w:cs="方正仿宋_GBK"/>
          <w:sz w:val="32"/>
          <w:szCs w:val="32"/>
          <w:u w:val="none" w:color="auto"/>
          <w:lang w:val="en-US" w:eastAsia="zh-CN"/>
        </w:rPr>
        <w:t>“四重清单”</w:t>
      </w:r>
      <w:r>
        <w:rPr>
          <w:rFonts w:hint="eastAsia" w:ascii="Times New Roman" w:hAnsi="Times New Roman" w:eastAsia="方正仿宋_GBK" w:cs="Times New Roman"/>
          <w:bCs/>
          <w:spacing w:val="0"/>
          <w:kern w:val="2"/>
          <w:sz w:val="32"/>
          <w:szCs w:val="32"/>
          <w:u w:val="none" w:color="auto"/>
          <w:lang w:val="en-US" w:eastAsia="zh" w:bidi="ar-SA"/>
        </w:rPr>
        <w:t>清单。</w:t>
      </w:r>
      <w:r>
        <w:rPr>
          <w:rFonts w:hint="eastAsia" w:ascii="Times New Roman" w:hAnsi="Times New Roman" w:eastAsia="方正仿宋_GBK"/>
          <w:spacing w:val="0"/>
          <w:szCs w:val="32"/>
          <w:u w:val="none" w:color="auto"/>
        </w:rPr>
        <w:t>各镇街、区级部门及单位</w:t>
      </w:r>
      <w:r>
        <w:rPr>
          <w:rFonts w:hint="eastAsia" w:ascii="Times New Roman" w:hAnsi="Times New Roman" w:eastAsia="方正仿宋_GBK"/>
          <w:spacing w:val="0"/>
          <w:szCs w:val="32"/>
          <w:u w:val="none" w:color="auto"/>
          <w:lang w:eastAsia="zh"/>
        </w:rPr>
        <w:t>要</w:t>
      </w:r>
      <w:r>
        <w:rPr>
          <w:rFonts w:ascii="Times New Roman" w:hAnsi="Times New Roman" w:eastAsia="方正仿宋_GBK"/>
          <w:spacing w:val="0"/>
          <w:szCs w:val="32"/>
          <w:u w:val="none" w:color="auto"/>
        </w:rPr>
        <w:t>找准</w:t>
      </w:r>
      <w:r>
        <w:rPr>
          <w:rFonts w:hint="eastAsia" w:ascii="Times New Roman" w:hAnsi="Times New Roman" w:eastAsia="方正仿宋_GBK"/>
          <w:spacing w:val="0"/>
          <w:szCs w:val="32"/>
          <w:u w:val="none" w:color="auto"/>
          <w:lang w:eastAsia="zh"/>
        </w:rPr>
        <w:t>工作</w:t>
      </w:r>
      <w:r>
        <w:rPr>
          <w:rFonts w:ascii="Times New Roman" w:hAnsi="Times New Roman" w:eastAsia="方正仿宋_GBK"/>
          <w:spacing w:val="0"/>
          <w:szCs w:val="32"/>
          <w:u w:val="none" w:color="auto"/>
        </w:rPr>
        <w:t>切入点，</w:t>
      </w:r>
      <w:r>
        <w:rPr>
          <w:rFonts w:hint="eastAsia" w:ascii="Times New Roman" w:hAnsi="Times New Roman" w:eastAsia="方正仿宋_GBK"/>
          <w:spacing w:val="0"/>
          <w:szCs w:val="32"/>
          <w:u w:val="none" w:color="auto"/>
          <w:lang w:eastAsia="zh"/>
        </w:rPr>
        <w:t>形成工作合力，推动各项任务落地落实</w:t>
      </w:r>
      <w:r>
        <w:rPr>
          <w:rFonts w:ascii="Times New Roman" w:hAnsi="Times New Roman" w:eastAsia="方正仿宋_GBK"/>
          <w:spacing w:val="0"/>
          <w:szCs w:val="32"/>
          <w:u w:val="none" w:color="auto"/>
        </w:rPr>
        <w:t>。</w:t>
      </w:r>
    </w:p>
    <w:p w14:paraId="39E489B6">
      <w:pPr>
        <w:pStyle w:val="14"/>
        <w:keepNext w:val="0"/>
        <w:keepLines w:val="0"/>
        <w:pageBreakBefore w:val="0"/>
        <w:widowControl w:val="0"/>
        <w:kinsoku/>
        <w:wordWrap/>
        <w:overflowPunct/>
        <w:topLinePunct w:val="0"/>
        <w:autoSpaceDE/>
        <w:autoSpaceDN/>
        <w:bidi w:val="0"/>
        <w:spacing w:after="0" w:line="600" w:lineRule="exact"/>
        <w:ind w:left="0" w:leftChars="0" w:right="0" w:rightChars="0"/>
        <w:rPr>
          <w:rFonts w:hint="eastAsia" w:ascii="Times New Roman" w:hAnsi="Times New Roman" w:eastAsia="方正仿宋_GBK" w:cs="Times New Roman"/>
          <w:bCs/>
          <w:spacing w:val="0"/>
          <w:kern w:val="2"/>
          <w:sz w:val="32"/>
          <w:szCs w:val="32"/>
          <w:u w:val="none" w:color="auto"/>
          <w:lang w:val="en-US" w:eastAsia="zh" w:bidi="ar-SA"/>
        </w:rPr>
      </w:pPr>
      <w:r>
        <w:rPr>
          <w:rFonts w:ascii="Times New Roman" w:hAnsi="Times New Roman" w:eastAsia="方正楷体_GBK" w:cs="方正楷体_GBK"/>
          <w:sz w:val="32"/>
          <w:szCs w:val="32"/>
          <w:u w:val="none" w:color="auto"/>
        </w:rPr>
        <w:t>（二）强化</w:t>
      </w:r>
      <w:r>
        <w:rPr>
          <w:rFonts w:hint="eastAsia" w:ascii="Times New Roman" w:hAnsi="Times New Roman" w:eastAsia="方正楷体_GBK" w:cs="方正楷体_GBK"/>
          <w:sz w:val="32"/>
          <w:szCs w:val="32"/>
          <w:u w:val="none" w:color="auto"/>
          <w:lang w:eastAsia="zh-CN"/>
        </w:rPr>
        <w:t>跟踪</w:t>
      </w:r>
      <w:r>
        <w:rPr>
          <w:rFonts w:ascii="Times New Roman" w:hAnsi="Times New Roman" w:eastAsia="方正楷体_GBK" w:cs="方正楷体_GBK"/>
          <w:sz w:val="32"/>
          <w:szCs w:val="32"/>
          <w:u w:val="none" w:color="auto"/>
        </w:rPr>
        <w:t>问效</w:t>
      </w:r>
      <w:r>
        <w:rPr>
          <w:rFonts w:hint="eastAsia" w:ascii="Times New Roman" w:hAnsi="Times New Roman" w:eastAsia="方正仿宋_GBK" w:cs="方正仿宋_GBK"/>
          <w:sz w:val="32"/>
          <w:szCs w:val="32"/>
          <w:u w:val="none" w:color="auto"/>
        </w:rPr>
        <w:t>。</w:t>
      </w:r>
      <w:r>
        <w:rPr>
          <w:rFonts w:hint="eastAsia" w:ascii="Times New Roman" w:hAnsi="Times New Roman" w:eastAsia="方正仿宋_GBK" w:cs="Times New Roman"/>
          <w:bCs/>
          <w:spacing w:val="0"/>
          <w:kern w:val="2"/>
          <w:sz w:val="32"/>
          <w:szCs w:val="32"/>
          <w:u w:val="none" w:color="auto"/>
          <w:lang w:val="en-US" w:eastAsia="zh" w:bidi="ar-SA"/>
        </w:rPr>
        <w:t>落实“清单制+责任制+销号制”闭环管理机制，建立本行动方案年度评价</w:t>
      </w:r>
      <w:r>
        <w:rPr>
          <w:rFonts w:hint="eastAsia" w:ascii="Times New Roman" w:hAnsi="Times New Roman" w:eastAsia="方正仿宋_GBK" w:cs="Times New Roman"/>
          <w:bCs/>
          <w:spacing w:val="0"/>
          <w:kern w:val="2"/>
          <w:sz w:val="32"/>
          <w:szCs w:val="32"/>
          <w:u w:val="none" w:color="auto"/>
          <w:lang w:val="en-US" w:eastAsia="zh-CN" w:bidi="ar-SA"/>
        </w:rPr>
        <w:t>量化</w:t>
      </w:r>
      <w:r>
        <w:rPr>
          <w:rFonts w:hint="eastAsia" w:ascii="Times New Roman" w:hAnsi="Times New Roman" w:eastAsia="方正仿宋_GBK" w:cs="Times New Roman"/>
          <w:bCs/>
          <w:spacing w:val="0"/>
          <w:kern w:val="2"/>
          <w:sz w:val="32"/>
          <w:szCs w:val="32"/>
          <w:u w:val="none" w:color="auto"/>
          <w:lang w:val="en-US" w:eastAsia="zh" w:bidi="ar-SA"/>
        </w:rPr>
        <w:t>指标体系，全面评估责任单位重视程度、推进力度、成效辨识度，提升工作主动性和创造性。</w:t>
      </w:r>
    </w:p>
    <w:p w14:paraId="7D9A1E51">
      <w:pPr>
        <w:pStyle w:val="37"/>
        <w:keepNext w:val="0"/>
        <w:keepLines w:val="0"/>
        <w:pageBreakBefore w:val="0"/>
        <w:widowControl w:val="0"/>
        <w:kinsoku/>
        <w:wordWrap/>
        <w:overflowPunct/>
        <w:topLinePunct w:val="0"/>
        <w:bidi w:val="0"/>
        <w:spacing w:line="60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楷体_GBK" w:cs="方正楷体_GBK"/>
          <w:sz w:val="32"/>
          <w:szCs w:val="32"/>
          <w:u w:val="none" w:color="auto"/>
        </w:rPr>
        <w:t>（三）强化氛围营造。</w:t>
      </w:r>
      <w:r>
        <w:rPr>
          <w:rFonts w:ascii="Times New Roman" w:hAnsi="Times New Roman" w:eastAsia="方正仿宋_GBK"/>
          <w:sz w:val="32"/>
          <w:szCs w:val="32"/>
          <w:u w:val="none" w:color="auto"/>
        </w:rPr>
        <w:t>创新宣传推介方式，加大重大节点专题宣传，及时总结提炼典型案例，</w:t>
      </w:r>
      <w:r>
        <w:rPr>
          <w:rFonts w:hint="eastAsia" w:ascii="Times New Roman" w:hAnsi="Times New Roman" w:eastAsia="方正仿宋_GBK" w:cs="方正仿宋_GBK"/>
          <w:i w:val="0"/>
          <w:iCs w:val="0"/>
          <w:caps w:val="0"/>
          <w:color w:val="000000"/>
          <w:spacing w:val="0"/>
          <w:kern w:val="2"/>
          <w:sz w:val="32"/>
          <w:szCs w:val="32"/>
          <w:u w:val="none" w:color="auto"/>
          <w:shd w:val="clear" w:color="auto" w:fill="FFFFFF"/>
        </w:rPr>
        <w:t>引导各</w:t>
      </w:r>
      <w:r>
        <w:rPr>
          <w:rFonts w:hint="eastAsia" w:ascii="Times New Roman" w:hAnsi="Times New Roman" w:eastAsia="方正仿宋_GBK" w:cs="方正仿宋_GBK"/>
          <w:i w:val="0"/>
          <w:iCs w:val="0"/>
          <w:caps w:val="0"/>
          <w:color w:val="000000"/>
          <w:spacing w:val="0"/>
          <w:kern w:val="2"/>
          <w:sz w:val="32"/>
          <w:szCs w:val="32"/>
          <w:u w:val="none" w:color="auto"/>
          <w:shd w:val="clear" w:color="auto" w:fill="FFFFFF"/>
          <w:lang w:eastAsia="zh"/>
        </w:rPr>
        <w:t>有关</w:t>
      </w:r>
      <w:r>
        <w:rPr>
          <w:rFonts w:hint="eastAsia" w:ascii="Times New Roman" w:hAnsi="Times New Roman" w:eastAsia="方正仿宋_GBK" w:cs="方正仿宋_GBK"/>
          <w:i w:val="0"/>
          <w:iCs w:val="0"/>
          <w:caps w:val="0"/>
          <w:color w:val="000000"/>
          <w:spacing w:val="0"/>
          <w:kern w:val="2"/>
          <w:sz w:val="32"/>
          <w:szCs w:val="32"/>
          <w:u w:val="none" w:color="auto"/>
          <w:shd w:val="clear" w:color="auto" w:fill="FFFFFF"/>
        </w:rPr>
        <w:t>单位大胆创新、敢于突破，加快形成更多可视化、有辨识度的川渝合作成果</w:t>
      </w:r>
      <w:r>
        <w:rPr>
          <w:rFonts w:hint="eastAsia" w:ascii="Times New Roman" w:hAnsi="Times New Roman" w:eastAsia="方正仿宋_GBK" w:cs="方正仿宋_GBK"/>
          <w:i w:val="0"/>
          <w:iCs w:val="0"/>
          <w:caps w:val="0"/>
          <w:color w:val="000000"/>
          <w:spacing w:val="0"/>
          <w:kern w:val="2"/>
          <w:sz w:val="32"/>
          <w:szCs w:val="32"/>
          <w:u w:val="none" w:color="auto"/>
          <w:shd w:val="clear" w:color="auto" w:fill="FFFFFF"/>
          <w:lang w:eastAsia="zh"/>
        </w:rPr>
        <w:t>，</w:t>
      </w:r>
      <w:r>
        <w:rPr>
          <w:rFonts w:ascii="Times New Roman" w:hAnsi="Times New Roman" w:eastAsia="方正仿宋_GBK"/>
          <w:sz w:val="32"/>
          <w:szCs w:val="32"/>
          <w:u w:val="none" w:color="auto"/>
        </w:rPr>
        <w:t>营造唱好新时代</w:t>
      </w:r>
      <w:r>
        <w:rPr>
          <w:rFonts w:hint="eastAsia" w:ascii="Times New Roman" w:hAnsi="Times New Roman" w:eastAsia="方正仿宋_GBK"/>
          <w:sz w:val="32"/>
          <w:szCs w:val="32"/>
          <w:u w:val="none" w:color="auto"/>
        </w:rPr>
        <w:t>“</w:t>
      </w:r>
      <w:r>
        <w:rPr>
          <w:rFonts w:ascii="Times New Roman" w:hAnsi="Times New Roman" w:eastAsia="方正仿宋_GBK"/>
          <w:sz w:val="32"/>
          <w:szCs w:val="32"/>
          <w:u w:val="none" w:color="auto"/>
        </w:rPr>
        <w:t>双城记</w:t>
      </w:r>
      <w:r>
        <w:rPr>
          <w:rFonts w:hint="eastAsia" w:ascii="Times New Roman" w:hAnsi="Times New Roman" w:eastAsia="方正仿宋_GBK"/>
          <w:sz w:val="32"/>
          <w:szCs w:val="32"/>
          <w:u w:val="none" w:color="auto"/>
        </w:rPr>
        <w:t>”</w:t>
      </w:r>
      <w:r>
        <w:rPr>
          <w:rFonts w:ascii="Times New Roman" w:hAnsi="Times New Roman" w:eastAsia="方正仿宋_GBK"/>
          <w:sz w:val="32"/>
          <w:szCs w:val="32"/>
          <w:u w:val="none" w:color="auto"/>
        </w:rPr>
        <w:t>、共建双城经济圈的浓厚氛围</w:t>
      </w:r>
      <w:r>
        <w:rPr>
          <w:rFonts w:hint="eastAsia" w:ascii="Times New Roman" w:hAnsi="Times New Roman" w:eastAsia="方正仿宋_GBK" w:cs="Times New Roman"/>
          <w:color w:val="auto"/>
          <w:sz w:val="32"/>
          <w:szCs w:val="32"/>
        </w:rPr>
        <w:t>。</w:t>
      </w:r>
    </w:p>
    <w:p w14:paraId="508AC8EC">
      <w:pPr>
        <w:pStyle w:val="37"/>
        <w:widowControl w:val="0"/>
        <w:spacing w:line="540" w:lineRule="exact"/>
        <w:ind w:firstLine="640" w:firstLineChars="200"/>
        <w:rPr>
          <w:rFonts w:ascii="Times New Roman" w:hAnsi="Times New Roman" w:eastAsia="方正仿宋_GBK" w:cs="Times New Roman"/>
          <w:color w:val="auto"/>
          <w:sz w:val="32"/>
          <w:szCs w:val="32"/>
        </w:rPr>
      </w:pPr>
    </w:p>
    <w:p w14:paraId="644D50A5">
      <w:pPr>
        <w:spacing w:line="600" w:lineRule="exact"/>
        <w:ind w:firstLine="640" w:firstLineChars="200"/>
        <w:rPr>
          <w:rFonts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50895235-4686-42E9-8C4B-D1950662F18E}"/>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E0E3A51C-A773-43B2-8C0D-6B2FF9593062}"/>
  </w:font>
  <w:font w:name="方正黑体_GBK">
    <w:panose1 w:val="03000509000000000000"/>
    <w:charset w:val="86"/>
    <w:family w:val="script"/>
    <w:pitch w:val="default"/>
    <w:sig w:usb0="00000001" w:usb1="080E0000" w:usb2="00000000" w:usb3="00000000" w:csb0="00040000" w:csb1="00000000"/>
    <w:embedRegular r:id="rId3" w:fontKey="{CB0CF505-96CC-4C15-A21C-12935DB35ABD}"/>
  </w:font>
  <w:font w:name="方正楷体_GBK">
    <w:panose1 w:val="02000000000000000000"/>
    <w:charset w:val="86"/>
    <w:family w:val="script"/>
    <w:pitch w:val="default"/>
    <w:sig w:usb0="800002BF" w:usb1="38CF7CFA" w:usb2="00000016" w:usb3="00000000" w:csb0="00040000" w:csb1="00000000"/>
    <w:embedRegular r:id="rId4" w:fontKey="{EA16686B-55B2-4BD6-9BEA-2CF53206DBF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83B5">
    <w:pPr>
      <w:pStyle w:val="1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B6ED3">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3FB6ED3">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1035DA71">
    <w:pPr>
      <w:pStyle w:val="12"/>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14:paraId="7015FC29">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8107">
    <w:pPr>
      <w:pStyle w:val="1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0902246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4FA12806">
    <w:pPr>
      <w:pStyle w:val="12"/>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72A27"/>
    <w:rsid w:val="001A0F61"/>
    <w:rsid w:val="001F71B5"/>
    <w:rsid w:val="00205228"/>
    <w:rsid w:val="00216A16"/>
    <w:rsid w:val="002502BB"/>
    <w:rsid w:val="002E100B"/>
    <w:rsid w:val="002F4FD9"/>
    <w:rsid w:val="0031576A"/>
    <w:rsid w:val="003226E7"/>
    <w:rsid w:val="00384BBB"/>
    <w:rsid w:val="00396852"/>
    <w:rsid w:val="003A299F"/>
    <w:rsid w:val="003A363F"/>
    <w:rsid w:val="003C79B8"/>
    <w:rsid w:val="003F7AAE"/>
    <w:rsid w:val="00466F55"/>
    <w:rsid w:val="004869FD"/>
    <w:rsid w:val="004B1B6A"/>
    <w:rsid w:val="00502992"/>
    <w:rsid w:val="00586C3F"/>
    <w:rsid w:val="005D51A1"/>
    <w:rsid w:val="0060255B"/>
    <w:rsid w:val="00607CBE"/>
    <w:rsid w:val="00624860"/>
    <w:rsid w:val="00663465"/>
    <w:rsid w:val="006A378B"/>
    <w:rsid w:val="007B4E2A"/>
    <w:rsid w:val="007F76DC"/>
    <w:rsid w:val="00833D49"/>
    <w:rsid w:val="00841229"/>
    <w:rsid w:val="008B3780"/>
    <w:rsid w:val="008C69E7"/>
    <w:rsid w:val="0091684D"/>
    <w:rsid w:val="00923B5D"/>
    <w:rsid w:val="00937FC4"/>
    <w:rsid w:val="00941F2B"/>
    <w:rsid w:val="009E08F5"/>
    <w:rsid w:val="009E59CC"/>
    <w:rsid w:val="009F3B12"/>
    <w:rsid w:val="00A12A80"/>
    <w:rsid w:val="00A5243D"/>
    <w:rsid w:val="00A83E2C"/>
    <w:rsid w:val="00AB7B73"/>
    <w:rsid w:val="00AC1060"/>
    <w:rsid w:val="00B2314E"/>
    <w:rsid w:val="00B412C1"/>
    <w:rsid w:val="00B96A53"/>
    <w:rsid w:val="00C233A7"/>
    <w:rsid w:val="00C62BF2"/>
    <w:rsid w:val="00CD2D66"/>
    <w:rsid w:val="00CF4091"/>
    <w:rsid w:val="00D11AF5"/>
    <w:rsid w:val="00DC44C5"/>
    <w:rsid w:val="00DC5CD4"/>
    <w:rsid w:val="00E21B56"/>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0403FCB"/>
    <w:rsid w:val="7313771A"/>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3"/>
    <w:basedOn w:val="1"/>
    <w:next w:val="1"/>
    <w:link w:val="35"/>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2"/>
    <w:qFormat/>
    <w:uiPriority w:val="0"/>
    <w:pPr>
      <w:spacing w:after="120"/>
    </w:pPr>
  </w:style>
  <w:style w:type="paragraph" w:styleId="8">
    <w:name w:val="Body Text Indent"/>
    <w:basedOn w:val="1"/>
    <w:next w:val="1"/>
    <w:link w:val="30"/>
    <w:qFormat/>
    <w:uiPriority w:val="0"/>
    <w:pPr>
      <w:spacing w:after="120"/>
      <w:ind w:left="420" w:leftChars="200"/>
    </w:pPr>
  </w:style>
  <w:style w:type="paragraph" w:styleId="9">
    <w:name w:val="Date"/>
    <w:basedOn w:val="1"/>
    <w:next w:val="1"/>
    <w:link w:val="28"/>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link w:val="27"/>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8"/>
    <w:next w:val="1"/>
    <w:link w:val="31"/>
    <w:unhideWhenUsed/>
    <w:qFormat/>
    <w:uiPriority w:val="99"/>
    <w:pPr>
      <w:ind w:left="0" w:leftChars="0" w:firstLine="420"/>
    </w:pPr>
    <w:rPr>
      <w:rFonts w:ascii="仿宋_GB2312" w:hAnsi="Calibri" w:eastAsia="仿宋_GB2312" w:cs="仿宋_GB2312"/>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page number"/>
    <w:qFormat/>
    <w:uiPriority w:val="0"/>
    <w:rPr>
      <w:rFonts w:eastAsia="宋体"/>
      <w:sz w:val="18"/>
    </w:rPr>
  </w:style>
  <w:style w:type="character" w:styleId="20">
    <w:name w:val="Hyperlink"/>
    <w:qFormat/>
    <w:uiPriority w:val="0"/>
    <w:rPr>
      <w:rFonts w:ascii="Calibri" w:hAnsi="Calibri" w:eastAsia="宋体" w:cs="Times New Roman"/>
      <w:color w:val="0563C1"/>
      <w:u w:val="single"/>
    </w:rPr>
  </w:style>
  <w:style w:type="paragraph" w:customStyle="1" w:styleId="21">
    <w:name w:val="p0"/>
    <w:basedOn w:val="1"/>
    <w:qFormat/>
    <w:uiPriority w:val="0"/>
    <w:pPr>
      <w:widowControl/>
    </w:pPr>
    <w:rPr>
      <w:rFonts w:ascii="Calibri" w:hAnsi="Calibri" w:eastAsia="宋体" w:cs="宋体"/>
      <w:kern w:val="0"/>
      <w:szCs w:val="32"/>
    </w:rPr>
  </w:style>
  <w:style w:type="character" w:customStyle="1" w:styleId="22">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3">
    <w:name w:val="@号"/>
    <w:link w:val="24"/>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4">
    <w:name w:val="@号 Char"/>
    <w:basedOn w:val="17"/>
    <w:link w:val="23"/>
    <w:qFormat/>
    <w:uiPriority w:val="0"/>
    <w:rPr>
      <w:rFonts w:eastAsia="方正仿宋_GBK"/>
      <w:kern w:val="2"/>
      <w:sz w:val="32"/>
      <w:szCs w:val="32"/>
    </w:rPr>
  </w:style>
  <w:style w:type="paragraph" w:customStyle="1" w:styleId="25">
    <w:name w:val="@落款"/>
    <w:link w:val="26"/>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6">
    <w:name w:val="@落款 Char"/>
    <w:basedOn w:val="17"/>
    <w:link w:val="25"/>
    <w:qFormat/>
    <w:uiPriority w:val="0"/>
    <w:rPr>
      <w:rFonts w:eastAsia="方正仿宋_GBK" w:cs="方正仿宋_GBK"/>
      <w:sz w:val="32"/>
      <w:szCs w:val="32"/>
    </w:rPr>
  </w:style>
  <w:style w:type="character" w:customStyle="1" w:styleId="27">
    <w:name w:val="页脚 Char"/>
    <w:link w:val="11"/>
    <w:qFormat/>
    <w:uiPriority w:val="0"/>
    <w:rPr>
      <w:rFonts w:asciiTheme="minorHAnsi" w:hAnsiTheme="minorHAnsi" w:eastAsiaTheme="minorEastAsia" w:cstheme="minorBidi"/>
      <w:kern w:val="2"/>
      <w:sz w:val="18"/>
      <w:szCs w:val="24"/>
    </w:rPr>
  </w:style>
  <w:style w:type="character" w:customStyle="1" w:styleId="28">
    <w:name w:val="日期 Char"/>
    <w:basedOn w:val="17"/>
    <w:link w:val="9"/>
    <w:qFormat/>
    <w:uiPriority w:val="0"/>
    <w:rPr>
      <w:rFonts w:asciiTheme="minorHAnsi" w:hAnsiTheme="minorHAnsi" w:eastAsiaTheme="minorEastAsia" w:cstheme="minorBidi"/>
      <w:kern w:val="2"/>
      <w:sz w:val="21"/>
      <w:szCs w:val="24"/>
    </w:rPr>
  </w:style>
  <w:style w:type="paragraph" w:styleId="29">
    <w:name w:val="List Paragraph"/>
    <w:basedOn w:val="1"/>
    <w:unhideWhenUsed/>
    <w:qFormat/>
    <w:uiPriority w:val="99"/>
    <w:pPr>
      <w:ind w:firstLine="420" w:firstLineChars="200"/>
    </w:pPr>
  </w:style>
  <w:style w:type="character" w:customStyle="1" w:styleId="30">
    <w:name w:val="正文文本缩进 Char"/>
    <w:basedOn w:val="17"/>
    <w:link w:val="8"/>
    <w:qFormat/>
    <w:uiPriority w:val="0"/>
    <w:rPr>
      <w:rFonts w:asciiTheme="minorHAnsi" w:hAnsiTheme="minorHAnsi" w:eastAsiaTheme="minorEastAsia" w:cstheme="minorBidi"/>
      <w:kern w:val="2"/>
      <w:sz w:val="21"/>
      <w:szCs w:val="24"/>
    </w:rPr>
  </w:style>
  <w:style w:type="character" w:customStyle="1" w:styleId="31">
    <w:name w:val="正文首行缩进 2 Char"/>
    <w:basedOn w:val="30"/>
    <w:link w:val="14"/>
    <w:qFormat/>
    <w:uiPriority w:val="99"/>
    <w:rPr>
      <w:rFonts w:ascii="仿宋_GB2312" w:hAnsi="Calibri" w:eastAsia="仿宋_GB2312" w:cs="仿宋_GB2312"/>
      <w:kern w:val="2"/>
      <w:sz w:val="32"/>
      <w:szCs w:val="32"/>
    </w:rPr>
  </w:style>
  <w:style w:type="character" w:customStyle="1" w:styleId="32">
    <w:name w:val="正文文本 Char"/>
    <w:basedOn w:val="17"/>
    <w:link w:val="7"/>
    <w:qFormat/>
    <w:uiPriority w:val="0"/>
    <w:rPr>
      <w:rFonts w:asciiTheme="minorHAnsi" w:hAnsiTheme="minorHAnsi" w:eastAsiaTheme="minorEastAsia" w:cstheme="minorBidi"/>
      <w:kern w:val="2"/>
      <w:sz w:val="21"/>
      <w:szCs w:val="24"/>
    </w:rPr>
  </w:style>
  <w:style w:type="table" w:customStyle="1" w:styleId="33">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4">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5">
    <w:name w:val="标题 3 Char"/>
    <w:basedOn w:val="17"/>
    <w:link w:val="4"/>
    <w:qFormat/>
    <w:uiPriority w:val="0"/>
    <w:rPr>
      <w:rFonts w:ascii="Calibri" w:hAnsi="Calibri"/>
      <w:b/>
      <w:bCs/>
      <w:kern w:val="2"/>
      <w:sz w:val="32"/>
      <w:szCs w:val="32"/>
    </w:rPr>
  </w:style>
  <w:style w:type="paragraph" w:customStyle="1" w:styleId="36">
    <w:name w:val="列出段落1"/>
    <w:basedOn w:val="1"/>
    <w:qFormat/>
    <w:uiPriority w:val="0"/>
    <w:pPr>
      <w:ind w:firstLine="420" w:firstLineChars="200"/>
    </w:pPr>
    <w:rPr>
      <w:rFonts w:ascii="Times New Roman" w:hAnsi="Times New Roman" w:eastAsia="宋体" w:cs="Times New Roman"/>
      <w:szCs w:val="20"/>
    </w:rPr>
  </w:style>
  <w:style w:type="paragraph" w:customStyle="1" w:styleId="37">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160cb8d0-5968-4b68-9a2c-8049a44f58ef</errorID>
      <errorWord>(</errorWord>
      <group>L1_Format</group>
      <groupName>格式问题</groupName>
      <ability>L2_HalfPunc_CN</ability>
      <abilityName>全半角问题</abilityName>
      <candidateList>
        <item>（</item>
      </candidateList>
      <explain>文本全半角错误。</explain>
      <paraID>3B66CFA5</paraID>
      <start>0</start>
      <end>1</end>
      <status>modified</status>
      <modifiedWord>（</modifiedWord>
      <trackRevisions>false</trackRevisions>
    </reviewItem>
    <reviewItem>
      <errorID>4ce8d3a3-93f8-4549-8948-5cb65c91617f</errorID>
      <errorWord>)</errorWord>
      <group>L1_Format</group>
      <groupName>格式问题</groupName>
      <ability>L2_HalfPunc_CN</ability>
      <abilityName>全半角问题</abilityName>
      <candidateList>
        <item>）</item>
      </candidateList>
      <explain>文本全半角错误。</explain>
      <paraID>3B66CFA5</paraID>
      <start>7</start>
      <end>8</end>
      <status>modified</status>
      <modifiedWord>）</modifiedWord>
      <trackRevisions>false</trackRevisions>
    </reviewItem>
    <reviewItem>
      <errorID>1d17c5d6-e1b0-4309-9185-68723db9d3c6</errorID>
      <errorWord>“</errorWord>
      <group>L1_Grammar</group>
      <groupName>语法问题</groupName>
      <ability>L2_Grammar</ability>
      <abilityName>语法错误</abilityName>
      <candidateList>
        <item>具有“</item>
      </candidateList>
      <explain/>
      <paraID>4FD9807B</paraID>
      <start>182</start>
      <end>183</end>
      <status>ignored</status>
      <modifiedWord/>
      <trackRevisions>false</trackRevisions>
    </reviewItem>
    <reviewItem>
      <errorID>863c86af-f9f4-4a91-805a-540a613363b8</errorID>
      <errorWord>增强</errorWord>
      <group>L1_Grammar</group>
      <groupName>语法问题</groupName>
      <ability>L2_Grammar</ability>
      <abilityName>语法错误</abilityName>
      <candidateList>
        <item>提升</item>
      </candidateList>
      <explain>“水平～增强”搭配不当，建议修改为“水平～提升”。</explain>
      <paraID> E40DED0</paraID>
      <start>17</start>
      <end>19</end>
      <status>ignored</status>
      <modifiedWord/>
      <trackRevisions>false</trackRevisions>
    </reviewItem>
    <reviewItem>
      <errorID>393c84f2-6eae-48ec-abdf-32865049071a</errorID>
      <errorWord>形成</errorWord>
      <group>L1_Word</group>
      <groupName>字词问题</groupName>
      <ability>L2_Typo</ability>
      <abilityName>字词错误</abilityName>
      <candidateList>
        <item>推动</item>
      </candidateList>
      <explain/>
      <paraID>10F5AC91</paraID>
      <start>67</start>
      <end>69</end>
      <status>ignored</status>
      <modifiedWord/>
      <trackRevisions>false</trackRevisions>
    </reviewItem>
    <reviewItem>
      <errorID>792bbbdf-b5d4-461c-be94-0b52178ac743</errorID>
      <errorWord>培育新兴产业和未来产业</errorWord>
      <group>L1_Political</group>
      <groupName>政治性问题</groupName>
      <ability>L2_Keyword</ability>
      <abilityName>固定表述</abilityName>
      <candidateList>
        <item>培育壮大新兴产业和未来产业</item>
      </candidateList>
      <explain>词汇“培育壮大新兴产业和未来产业”在特定场景下为固定表述形式，请确认此处的“培育新兴产业和未来产业”是否存在不当。</explain>
      <paraID>4A707FE5</paraID>
      <start>4</start>
      <end>15</end>
      <status>ignored</status>
      <modifiedWord/>
      <trackRevisions>false</trackRevisions>
    </reviewItem>
    <reviewItem>
      <errorID>6ec21768-9d60-46fd-9673-60cab354416e</errorID>
      <errorWord>万吨以上</errorWord>
      <group>L1_Grammar</group>
      <groupName>语法问题</groupName>
      <ability>L2_Grammar</ability>
      <abilityName>语法错误</abilityName>
      <candidateList>
        <item>万吨</item>
      </candidateList>
      <explain/>
      <paraID>72ADF62D</paraID>
      <start>69</start>
      <end>73</end>
      <status>ignored</status>
      <modifiedWord/>
      <trackRevisions>false</trackRevisions>
    </reviewItem>
    <reviewItem>
      <errorID>e08e93b7-1025-4e4d-aafd-a02980042838</errorID>
      <errorWord>场</errorWord>
      <group>L1_Word</group>
      <groupName>字词问题</groupName>
      <ability>L2_Typo</ability>
      <abilityName>字词错误</abilityName>
      <candidateList>
        <item>场化</item>
      </candidateList>
      <explain/>
      <paraID>6BE4953D</paraID>
      <start>248</start>
      <end>249</end>
      <status>ignored</status>
      <modifiedWord/>
      <trackRevisions>false</trackRevisions>
    </reviewItem>
    <reviewItem>
      <errorID>795fe0d7-4bcb-4380-85f2-3903b468933b</errorID>
      <errorWord>服务中心</errorWord>
      <group>L1_Word</group>
      <groupName>字词问题</groupName>
      <ability>L2_Typo</ability>
      <abilityName>字词错误</abilityName>
      <candidateList>
        <item>服务大局</item>
      </candidateList>
      <explain/>
      <paraID>22CE3770</paraID>
      <start>37</start>
      <end>41</end>
      <status>ignored</status>
      <modifiedWord/>
      <trackRevisions>false</trackRevisions>
    </reviewItem>
    <reviewItem>
      <errorID>482da725-0de7-47a0-bf3f-c35868843f4d</errorID>
      <errorWord>引领</errorWord>
      <group>L1_Word</group>
      <groupName>字词问题</groupName>
      <ability>L2_Typo</ability>
      <abilityName>字词错误</abilityName>
      <candidateList>
        <item>的引领</item>
      </candidateList>
      <explain/>
      <paraID>4AEEE2C5</paraID>
      <start>96</start>
      <end>98</end>
      <status>ignored</status>
      <modifiedWord/>
      <trackRevisions>false</trackRevisions>
    </reviewItem>
    <reviewItem>
      <errorID>6043478f-ae0e-4765-b28e-69758170d665</errorID>
      <errorWord>比重</errorWord>
      <group>L1_Word</group>
      <groupName>字词问题</groupName>
      <ability>L2_Typo</ability>
      <abilityName>字词错误</abilityName>
      <candidateList>
        <item>的比重</item>
      </candidateList>
      <explain/>
      <paraID>2797F5F6</paraID>
      <start>52</start>
      <end>54</end>
      <status>ignored</status>
      <modifiedWord/>
      <trackRevisions>false</trackRevisions>
    </reviewItem>
    <reviewItem>
      <errorID>28e20530-f9b0-4c0b-917b-56c38a7fb4e7</errorID>
      <errorWord>积极参加</errorWord>
      <group>L1_Word</group>
      <groupName>字词问题</groupName>
      <ability>L2_Typo</ability>
      <abilityName>字词错误</abilityName>
      <candidateList>
        <item>积极参与</item>
      </candidateList>
      <explain/>
      <paraID>2FD164B7</paraID>
      <start>209</start>
      <end>213</end>
      <status>ignored</status>
      <modifiedWord/>
      <trackRevisions>false</trackRevisions>
    </reviewItem>
    <reviewItem>
      <errorID>b091b50e-a561-4b2f-93b9-9fac0e2cf6fa</errorID>
      <errorWord>外卡</errorWord>
      <group>L1_Word</group>
      <groupName>字词问题</groupName>
      <ability>L2_Typo</ability>
      <abilityName>字词错误</abilityName>
      <candidateList>
        <item>的外卡</item>
      </candidateList>
      <explain/>
      <paraID>7077493F</paraID>
      <start>92</start>
      <end>94</end>
      <status>ignored</status>
      <modifiedWord/>
      <trackRevisions>false</trackRevisions>
    </reviewItem>
    <reviewItem>
      <errorID>84eab2d3-3d16-4052-a34a-0293175a2e0a</errorID>
      <errorWord>大综合一体化</errorWord>
      <group>L1_Political</group>
      <groupName>政治性问题</groupName>
      <ability>L2_Keyword</ability>
      <abilityName>固定表述</abilityName>
      <candidateList>
        <item>“大综合一体化”</item>
      </candidateList>
      <explain>注意检查当前固定表述标点是否使用规范。</explain>
      <paraID>229DDF92</paraID>
      <start>141</start>
      <end>147</end>
      <status>ignored</status>
      <modifiedWord/>
      <trackRevisions>false</trackRevisions>
    </reviewItem>
    <reviewItem>
      <errorID>e59b0cce-36ef-4e6a-a810-8be55ab6d7d4</errorID>
      <errorWord>转诊</errorWord>
      <group>L1_Grammar</group>
      <groupName>语法问题</groupName>
      <ability>L2_Grammar</ability>
      <abilityName>语法错误</abilityName>
      <candidateList>
        <item>转诊范围</item>
      </candidateList>
      <explain/>
      <paraID>122FF113</paraID>
      <start>190</start>
      <end>192</end>
      <status>ignored</status>
      <modifiedWord/>
      <trackRevisions>false</trackRevisions>
    </reviewItem>
    <reviewItem>
      <errorID>fb9e53f3-d386-4946-b7a7-fee54dc9fc16</errorID>
      <errorWord>建设、</errorWord>
      <group>L1_Grammar</group>
      <groupName>语法问题</groupName>
      <ability>L2_Grammar</ability>
      <abilityName>语法错误</abilityName>
      <candidateList>
        <item>，</item>
      </candidateList>
      <explain/>
      <paraID>1925CC17</paraID>
      <start>173</start>
      <end>176</end>
      <status>ignored</status>
      <modifiedWord/>
      <trackRevisions>false</trackRevisions>
    </reviewItem>
    <reviewItem>
      <errorID>eafc2d66-1c66-47fa-85ba-495362ef1531</errorID>
      <errorWord>政策生态</errorWord>
      <group>L1_Political</group>
      <groupName>政治性问题</groupName>
      <ability>L2_Keyword</ability>
      <abilityName>固定表述</abilityName>
      <candidateList>
        <item>政治生态</item>
      </candidateList>
      <explain>词汇“政治生态”在特定场景下为固定表述形式，请确认此处的“政策生态”是否存在不当。</explain>
      <paraID>1B9EEE1F</paraID>
      <start>19</start>
      <end>23</end>
      <status>ignored</status>
      <modifiedWord/>
      <trackRevisions>false</trackRevisions>
    </reviewItem>
    <reviewItem>
      <errorID>f40215fa-519d-4221-89ba-83c82f507feb</errorID>
      <errorWord>长江</errorWord>
      <group>L1_Word</group>
      <groupName>字词问题</groupName>
      <ability>L2_Typo</ability>
      <abilityName>字词错误</abilityName>
      <candidateList>
        <item>以长江</item>
      </candidateList>
      <explain/>
      <paraID>70DF6FDF</paraID>
      <start>144</start>
      <end>146</end>
      <status>ignored</status>
      <modifiedWord/>
      <trackRevisions>false</trackRevisions>
    </reviewItem>
    <reviewItem>
      <errorID>a026e858-14fc-4a75-8eae-f3293d60c508</errorID>
      <errorWord>建设成渝地区双城经济圈</errorWord>
      <group>L1_Political</group>
      <groupName>政治性问题</groupName>
      <ability>L2_Keyword</ability>
      <abilityName>固定表述</abilityName>
      <candidateList>
        <item>成渝地区双城经济圈建设</item>
      </candidateList>
      <explain>词汇“成渝地区双城经济圈建设”在特定场景下为固定表述形式，请确认此处的“建设成渝地区双城经济圈”是否存在不当。</explain>
      <paraID>41E67066</paraID>
      <start>11</start>
      <end>22</end>
      <status>ignored</status>
      <modifiedWord/>
      <trackRevisions>false</trackRevisions>
    </reviewItem>
    <reviewItem>
      <errorID>fc87400c-6b27-4faf-878c-a52abd69f472</errorID>
      <errorWord>”清单</errorWord>
      <group>L1_Grammar</group>
      <groupName>语法问题</groupName>
      <ability>L2_Grammar</ability>
      <abilityName>语法错误</abilityName>
      <candidateList>
        <item>”</item>
      </candidateList>
      <explain/>
      <paraID>41E67066</paraID>
      <start>69</start>
      <end>72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e8c65-68b5-4435-b76e-393576932dcb}">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6605</Words>
  <Characters>6792</Characters>
  <Lines>49</Lines>
  <Paragraphs>13</Paragraphs>
  <TotalTime>6</TotalTime>
  <ScaleCrop>false</ScaleCrop>
  <LinksUpToDate>false</LinksUpToDate>
  <CharactersWithSpaces>6920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2024-11-22T08:03:00Z</cp:lastPrinted>
  <dcterms:modified xsi:type="dcterms:W3CDTF">2026-07-23T04:34:35Z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48C61CB29D3F4D9384F5922CF0F7FFB4</vt:lpwstr>
  </property>
  <property fmtid="{D5CDD505-2E9C-101B-9397-08002B2CF9AE}" pid="4" name="KSOTemplateDocerSaveRecord">
    <vt:lpwstr>eyJoZGlkIjoiOTMwYWZjZTM1MzRhOGRhMTU4MjNlYjlmMWI2NzZmMTEiLCJ1c2VySWQiOiI2NDQ1MTQ4NDAifQ==</vt:lpwstr>
  </property>
</Properties>
</file>