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Style w:val="12"/>
          <w:rFonts w:hint="eastAsia"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</w:rPr>
        <w:t>重庆市</w:t>
      </w:r>
      <w:r>
        <w:rPr>
          <w:rFonts w:hint="eastAsia" w:eastAsia="方正小标宋_GBK"/>
          <w:sz w:val="44"/>
          <w:szCs w:val="44"/>
        </w:rPr>
        <w:t>九龙坡区渝州路街道办事处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关于印发《渝州路街道人民调解案件和</w:t>
      </w:r>
    </w:p>
    <w:p>
      <w:pPr>
        <w:pStyle w:val="9"/>
        <w:widowControl/>
        <w:shd w:val="clear" w:color="auto" w:fill="FFFFFF"/>
        <w:spacing w:beforeAutospacing="0" w:afterAutospacing="0" w:line="540" w:lineRule="exact"/>
        <w:jc w:val="center"/>
        <w:rPr>
          <w:rStyle w:val="12"/>
          <w:rFonts w:ascii="Times New Roman" w:hAnsi="Times New Roman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典型案例补贴办法》</w:t>
      </w:r>
      <w:r>
        <w:rPr>
          <w:rFonts w:hint="eastAsia" w:ascii="Times New Roman" w:hAnsi="Times New Roman" w:eastAsia="方正小标宋_GBK"/>
          <w:sz w:val="44"/>
          <w:szCs w:val="44"/>
        </w:rPr>
        <w:t>的通</w:t>
      </w:r>
      <w:r>
        <w:rPr>
          <w:rStyle w:val="12"/>
          <w:rFonts w:hint="eastAsia"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</w:rPr>
        <w:t>知</w:t>
      </w:r>
    </w:p>
    <w:p>
      <w:pPr>
        <w:pStyle w:val="16"/>
      </w:pPr>
      <w:r>
        <w:rPr>
          <w:rFonts w:hint="eastAsia"/>
        </w:rPr>
        <w:t>渝街办发〔2022〕83号</w:t>
      </w:r>
    </w:p>
    <w:p>
      <w:pPr>
        <w:spacing w:line="600" w:lineRule="atLeast"/>
        <w:rPr>
          <w:rFonts w:ascii="Times New Roman" w:hAnsi="Times New Roman" w:eastAsia="宋体" w:cs="宋体"/>
          <w:sz w:val="44"/>
          <w:szCs w:val="44"/>
          <w:shd w:val="clear" w:color="auto" w:fill="FFFFFF"/>
        </w:rPr>
      </w:pPr>
    </w:p>
    <w:p>
      <w:pPr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各科室、各社区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：</w:t>
      </w:r>
    </w:p>
    <w:p>
      <w:pPr>
        <w:spacing w:line="60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</w:rPr>
        <w:t>现将《渝州路街道人民调解案件和典型案例补贴办法》印发给你们，请结合实际，认真贯彻落实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</w:p>
    <w:p>
      <w:pPr>
        <w:spacing w:line="600" w:lineRule="exact"/>
        <w:ind w:firstLine="420" w:firstLineChars="200"/>
        <w:rPr>
          <w:rFonts w:ascii="Times New Roman" w:hAnsi="Times New Roman"/>
        </w:rPr>
      </w:pPr>
    </w:p>
    <w:p>
      <w:pPr>
        <w:spacing w:line="600" w:lineRule="exact"/>
        <w:ind w:firstLine="420" w:firstLineChars="200"/>
        <w:rPr>
          <w:rFonts w:ascii="Times New Roman" w:hAnsi="Times New Roman"/>
        </w:rPr>
      </w:pPr>
    </w:p>
    <w:p>
      <w:pPr>
        <w:pStyle w:val="18"/>
        <w:wordWrap w:val="0"/>
      </w:pPr>
      <w:r>
        <w:rPr>
          <w:rFonts w:hint="eastAsia"/>
        </w:rPr>
        <w:t xml:space="preserve">重庆市九龙坡区人民政府渝州路街道办事处    </w:t>
      </w:r>
    </w:p>
    <w:p>
      <w:pPr>
        <w:pStyle w:val="18"/>
        <w:wordWrap w:val="0"/>
        <w:ind w:right="1600" w:firstLine="4000" w:firstLineChars="1250"/>
        <w:jc w:val="both"/>
        <w:rPr>
          <w:rFonts w:hint="eastAsia"/>
        </w:rPr>
      </w:pPr>
      <w:r>
        <w:rPr>
          <w:rFonts w:cs="Times New Roman"/>
        </w:rPr>
        <w:t>20</w:t>
      </w:r>
      <w:r>
        <w:rPr>
          <w:rFonts w:hint="eastAsia" w:cs="Times New Roman"/>
        </w:rPr>
        <w:t>22</w:t>
      </w:r>
      <w:r>
        <w:rPr>
          <w:rFonts w:cs="Times New Roman"/>
        </w:rPr>
        <w:t>年</w:t>
      </w:r>
      <w:r>
        <w:rPr>
          <w:rFonts w:hint="eastAsia" w:cs="Times New Roman"/>
        </w:rPr>
        <w:t>6</w:t>
      </w:r>
      <w:r>
        <w:rPr>
          <w:rFonts w:cs="Times New Roman"/>
        </w:rPr>
        <w:t>月</w:t>
      </w:r>
      <w:r>
        <w:rPr>
          <w:rFonts w:hint="eastAsia" w:cs="Times New Roman"/>
        </w:rPr>
        <w:t>20</w:t>
      </w:r>
      <w:r>
        <w:rPr>
          <w:rFonts w:cs="Times New Roman"/>
        </w:rPr>
        <w:t>日</w:t>
      </w:r>
      <w:r>
        <w:rPr>
          <w:rFonts w:hint="eastAsia"/>
        </w:rPr>
        <w:t xml:space="preserve">   </w:t>
      </w:r>
    </w:p>
    <w:p>
      <w:pPr>
        <w:pStyle w:val="1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right="1599" w:firstLine="64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此件公开发布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 </w:t>
      </w:r>
    </w:p>
    <w:p>
      <w:pPr>
        <w:pStyle w:val="1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right="1599" w:firstLine="68000" w:firstLineChars="21250"/>
        <w:jc w:val="both"/>
        <w:textAlignment w:val="auto"/>
        <w:rPr>
          <w:rFonts w:hint="eastAsia"/>
        </w:rPr>
      </w:pPr>
    </w:p>
    <w:p>
      <w:pPr>
        <w:widowControl/>
        <w:jc w:val="left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br w:type="page"/>
      </w:r>
      <w:bookmarkStart w:id="0" w:name="_GoBack"/>
      <w:bookmarkEnd w:id="0"/>
    </w:p>
    <w:p>
      <w:pPr>
        <w:pStyle w:val="18"/>
        <w:ind w:right="480"/>
      </w:pPr>
    </w:p>
    <w:p>
      <w:pPr>
        <w:spacing w:line="600" w:lineRule="exact"/>
        <w:jc w:val="center"/>
        <w:rPr>
          <w:rFonts w:ascii="Times New Roman" w:hAnsi="Times New Roman" w:eastAsia="方正小标宋_GBK" w:cs="方正小标宋_GBK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宋体"/>
          <w:bCs/>
          <w:kern w:val="0"/>
          <w:sz w:val="44"/>
          <w:szCs w:val="44"/>
        </w:rPr>
        <w:t>渝州路街道人民调解案件和典型案例补贴办法</w:t>
      </w:r>
    </w:p>
    <w:p>
      <w:pPr>
        <w:snapToGrid w:val="0"/>
        <w:spacing w:line="600" w:lineRule="exact"/>
        <w:ind w:firstLine="640" w:firstLineChars="200"/>
        <w:jc w:val="center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jc w:val="center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为适应新时期调解工作新要求，根据《</w:t>
      </w:r>
      <w:r>
        <w:rPr>
          <w:rFonts w:ascii="Times New Roman" w:hAnsi="Times New Roman" w:eastAsia="方正仿宋_GBK" w:cs="方正仿宋_GBK"/>
          <w:bCs/>
          <w:sz w:val="32"/>
          <w:szCs w:val="32"/>
        </w:rPr>
        <w:t>九龙坡区人民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调解</w:t>
      </w:r>
      <w:r>
        <w:rPr>
          <w:rFonts w:ascii="Times New Roman" w:hAnsi="Times New Roman" w:eastAsia="方正仿宋_GBK" w:cs="方正仿宋_GBK"/>
          <w:bCs/>
          <w:sz w:val="32"/>
          <w:szCs w:val="32"/>
        </w:rPr>
        <w:t>案件补贴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资金</w:t>
      </w:r>
      <w:r>
        <w:rPr>
          <w:rFonts w:ascii="Times New Roman" w:hAnsi="Times New Roman" w:eastAsia="方正仿宋_GBK" w:cs="方正仿宋_GBK"/>
          <w:bCs/>
          <w:sz w:val="32"/>
          <w:szCs w:val="32"/>
        </w:rPr>
        <w:t>管理办法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(试行)》，结合街道实际，特制定本办法。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一、补贴范围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渝州路街道机关、社区调解的案件及报送的典型案例。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案件补贴标准</w:t>
      </w: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调解案件按</w:t>
      </w:r>
      <w:r>
        <w:rPr>
          <w:rFonts w:hint="eastAsia" w:ascii="Times New Roman" w:hAnsi="Times New Roman" w:eastAsia="方正仿宋_GBK"/>
          <w:color w:val="000000"/>
          <w:sz w:val="32"/>
        </w:rPr>
        <w:t>口头纠纷、简易纠纷、一般纠纷、疑难纠纷、重大纠纷</w:t>
      </w:r>
      <w:r>
        <w:rPr>
          <w:rFonts w:hint="eastAsia" w:ascii="Times New Roman" w:hAnsi="Times New Roman" w:eastAsia="方正仿宋_GBK"/>
          <w:sz w:val="32"/>
          <w:szCs w:val="32"/>
        </w:rPr>
        <w:t>五类进行分类及补贴。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>（一）口头纠纷案件。</w:t>
      </w:r>
      <w:r>
        <w:rPr>
          <w:rFonts w:ascii="Times New Roman" w:hAnsi="Times New Roman" w:eastAsia="方正仿宋_GBK"/>
          <w:color w:val="000000"/>
          <w:sz w:val="32"/>
        </w:rPr>
        <w:t>仅有</w:t>
      </w:r>
      <w:r>
        <w:rPr>
          <w:rFonts w:ascii="Times New Roman" w:hAnsi="Times New Roman" w:eastAsia="方正仿宋_GBK"/>
          <w:color w:val="000000"/>
          <w:sz w:val="32"/>
          <w:szCs w:val="32"/>
        </w:rPr>
        <w:t>2名当事人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简单易行，当场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解决</w:t>
      </w:r>
      <w:r>
        <w:rPr>
          <w:rFonts w:ascii="Times New Roman" w:hAnsi="Times New Roman" w:eastAsia="方正仿宋_GBK"/>
          <w:color w:val="000000"/>
          <w:sz w:val="32"/>
          <w:szCs w:val="32"/>
        </w:rPr>
        <w:t>的纠纷案件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调解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成功每</w:t>
      </w:r>
      <w:r>
        <w:rPr>
          <w:rFonts w:ascii="Times New Roman" w:hAnsi="Times New Roman" w:eastAsia="方正仿宋_GBK"/>
          <w:color w:val="000000"/>
          <w:sz w:val="32"/>
          <w:szCs w:val="32"/>
        </w:rPr>
        <w:t>件补贴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3</w:t>
      </w:r>
      <w:r>
        <w:rPr>
          <w:rFonts w:ascii="Times New Roman" w:hAnsi="Times New Roman" w:eastAsia="方正仿宋_GBK"/>
          <w:color w:val="000000"/>
          <w:sz w:val="32"/>
          <w:szCs w:val="32"/>
        </w:rPr>
        <w:t>0</w:t>
      </w:r>
      <w:r>
        <w:rPr>
          <w:rFonts w:ascii="Times New Roman" w:hAnsi="Times New Roman" w:eastAsia="方正仿宋_GBK"/>
          <w:color w:val="000000"/>
          <w:sz w:val="32"/>
        </w:rPr>
        <w:t>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>（二）简易纠纷案件。</w:t>
      </w:r>
      <w:r>
        <w:rPr>
          <w:rFonts w:ascii="Times New Roman" w:hAnsi="Times New Roman" w:eastAsia="方正仿宋_GBK"/>
          <w:color w:val="000000"/>
          <w:sz w:val="32"/>
        </w:rPr>
        <w:t>仅有</w:t>
      </w:r>
      <w:r>
        <w:rPr>
          <w:rFonts w:ascii="Times New Roman" w:hAnsi="Times New Roman" w:eastAsia="方正仿宋_GBK"/>
          <w:color w:val="000000"/>
          <w:sz w:val="32"/>
          <w:szCs w:val="32"/>
        </w:rPr>
        <w:t>2名当事人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有一定行为履行内容的纠纷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案件（</w:t>
      </w:r>
      <w:r>
        <w:rPr>
          <w:rFonts w:ascii="Times New Roman" w:hAnsi="Times New Roman" w:eastAsia="方正仿宋_GBK"/>
          <w:color w:val="000000"/>
          <w:sz w:val="32"/>
          <w:szCs w:val="32"/>
        </w:rPr>
        <w:t>财产给付金额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在2万元及以下）。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调解成功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每</w:t>
      </w:r>
      <w:r>
        <w:rPr>
          <w:rFonts w:ascii="Times New Roman" w:hAnsi="Times New Roman" w:eastAsia="方正仿宋_GBK"/>
          <w:color w:val="000000"/>
          <w:sz w:val="32"/>
          <w:szCs w:val="32"/>
        </w:rPr>
        <w:t>件补贴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6</w:t>
      </w:r>
      <w:r>
        <w:rPr>
          <w:rFonts w:ascii="Times New Roman" w:hAnsi="Times New Roman" w:eastAsia="方正仿宋_GBK"/>
          <w:color w:val="000000"/>
          <w:sz w:val="32"/>
          <w:szCs w:val="32"/>
        </w:rPr>
        <w:t>0元。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（三）一般纠纷案件。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纠纷情况一般，可能存在特殊情况或激化转化趋势，经调解成功化解隐患的纠纷案件。应符合下列条件之一：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1.当事人在2—10人（含10人）的纠纷案件；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2.调解协议达成的财产给付金额为2—10万元（含10万元）的纠纷案件。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调解成功每件补贴120元。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（四）疑难纠纷案件。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涉及当事人众多、权利义务关系复杂、可能导致矛盾激化、群体性事件、越级上访或民事纠纷转化为刑事案件。应符合下列条件之一：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1.当事人在10—20人（含20人）以下的纠纷案件；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2.调解协议达成的财产给付金额为10—50万元（含50万）的纠纷案件；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3.涉及征地拆迁的纠纷案件；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4.一般涉法涉诉纠纷案件；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5.其他疑难纠纷案件。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调解成功每件补贴200元。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（五）重大纠纷案件。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涉及人数多、范围广，调解周期长、社会影响重大的，可能导致矛盾激化、群体性事件、越级上访或民事纠纷转化为刑事案件的纠纷案件。应符合下列条件之一：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1.当事人为20人（不含20人）以上的纠纷案件；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2.调解协议达成的财产给付金额为50万元（不含50万元）以上的纠纷案件；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3.涉及较大环境污染或环境破坏的纠纷案件；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4.涉及跨市、县（市、区）的重大矛盾纠纷案件；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5.重大涉法涉诉的纠纷案件；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6.上级领导批示督办的矛盾纠纷案件；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7.其他范围广、影响重大的纠纷案件。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调解成功</w:t>
      </w:r>
      <w:r>
        <w:rPr>
          <w:rFonts w:ascii="Times New Roman" w:hAnsi="Times New Roman" w:eastAsia="方正仿宋_GBK"/>
          <w:color w:val="000000"/>
          <w:sz w:val="32"/>
        </w:rPr>
        <w:t>每件补贴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3</w:t>
      </w:r>
      <w:r>
        <w:rPr>
          <w:rFonts w:ascii="Times New Roman" w:hAnsi="Times New Roman" w:eastAsia="方正仿宋_GBK"/>
          <w:color w:val="000000"/>
          <w:sz w:val="32"/>
          <w:szCs w:val="32"/>
        </w:rPr>
        <w:t>00</w:t>
      </w:r>
      <w:r>
        <w:rPr>
          <w:rFonts w:ascii="Times New Roman" w:hAnsi="Times New Roman" w:eastAsia="方正仿宋_GBK"/>
          <w:color w:val="000000"/>
          <w:sz w:val="32"/>
        </w:rPr>
        <w:t>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三、人民调解案件卷宗认定标准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规范卷宗是指主要事实清楚、调解程序合法、适用法律正确、调解文书统一规范的卷宗。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Times New Roman" w:hAnsi="Times New Roman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kern w:val="0"/>
          <w:sz w:val="32"/>
          <w:szCs w:val="32"/>
        </w:rPr>
        <w:t>（一）规范化调解案件卷宗应具备的材料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1.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卷宗封面；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2.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卷内目录；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3.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人民调解申请书或人民调解受理登记表；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4.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当事人身份证明；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5.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人民调解调查笔录和证据材料；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6.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人民调解记录；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7.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人民调解协议书或人民调解口头协议登记表；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8.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人民调解回访记录；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9.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卷宗情况说明；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10.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封底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如申请司法确认，卷宗内还应有司法确认相关材料。卷宗内材料必须按上述材料1至10的顺序装订。其中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口头纠纷案件不需制作调解卷宗（有相应的纠纷调解登记表即可），简易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纠纷调解卷宗可根据实际酌情减少相关资料，但第3项、第7项不得减少。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kern w:val="0"/>
          <w:sz w:val="32"/>
          <w:szCs w:val="32"/>
        </w:rPr>
        <w:t>（二）调解卷宗制作要求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1.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统一使用司法部印制的格式文书；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2.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当事人身份明确，必须有联系电话；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3.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调查笔录及相关证据要求事实清楚、证据充分；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4.</w:t>
      </w:r>
      <w:r>
        <w:rPr>
          <w:rFonts w:ascii="Times New Roman" w:hAnsi="Times New Roman" w:eastAsia="方正仿宋_GBK"/>
          <w:color w:val="000000"/>
          <w:spacing w:val="-6"/>
          <w:kern w:val="0"/>
          <w:sz w:val="32"/>
          <w:szCs w:val="32"/>
        </w:rPr>
        <w:t>调解协议书权利义务具体，履行时间、地点、方式明确；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5.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回访记录要记载协议履行情况、当事人对矛盾纠纷调解的意见和建议；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6.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调解案件适用法律、法规正确；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7.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所有文书签名、捺印、印章规范，无漏项。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四、案卷分类认定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每季度由人民调解员提交调解文书原件，交街道司法所初审，司法所初审后交区司法局审定案卷类型及数量。口头、简易、一般、疑难、重大纠纷案件均按区司法局认定的案件类型进行补贴。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五、典型案例的补贴与认定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人民调解典型案例由案情简介、调解过程、调解结果、案例点评几部分组成，字数在2500字左右。调解员将撰写的典型案例提交司法所审核合格后，逐级上报，被区司法局推荐上报的，按每篇200元予以补贴；被市司法局推荐上报的，按每篇500元予以补贴；被司法部采用的，按每篇1000元予以补贴。若同时符合多项条件的，按最高级标准补贴，不累计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六、资金来源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由街道财政列支。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七、有关事项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本办法自2022年7月1日起施行，原《重庆市九龙坡区渝州路街道办事处关于印发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渝州路街道人民调解案件和典型案例补贴办法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&gt;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的通知》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渝街办发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〔2019〕107号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同时废止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ZF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8"/>
      <w:wordWrap w:val="0"/>
      <w:ind w:left="1067" w:leftChars="508" w:firstLine="10115" w:firstLineChars="316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重庆市九龙坡区人民政府渝州路街道办事处发布</w: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61312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FTKBbUAAAACQEAAA8AAAAAAAAAAQAgAAAAIgAAAGRycy9kb3ducmV2LnhtbFBLAQIUABQA&#10;AAAIAIdO4kDecTi29AEAAL8DAAAOAAAAAAAAAAEAIAAAACM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  <w:lang w:eastAsia="zh-Hans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13" name="图片 1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0"/>
        <w:szCs w:val="30"/>
      </w:rPr>
      <w:t>重庆市九龙坡区人民政府渝州路街道办事处行政</w:t>
    </w:r>
    <w:r>
      <w:rPr>
        <w:rFonts w:hint="eastAsia" w:ascii="宋体" w:hAnsi="宋体" w:eastAsia="宋体" w:cs="宋体"/>
        <w:b/>
        <w:bCs/>
        <w:color w:val="005192"/>
        <w:sz w:val="30"/>
        <w:szCs w:val="30"/>
        <w:lang w:eastAsia="zh-Hans"/>
      </w:rPr>
      <w:t>规范性文件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A4F56"/>
    <w:multiLevelType w:val="multilevel"/>
    <w:tmpl w:val="205A4F56"/>
    <w:lvl w:ilvl="0" w:tentative="0">
      <w:start w:val="1"/>
      <w:numFmt w:val="decimal"/>
      <w:pStyle w:val="2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30"/>
        <w:szCs w:val="24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default" w:ascii="Times New Roman" w:hAnsi="Times New Roman"/>
        <w:b/>
        <w:i w:val="0"/>
        <w:sz w:val="28"/>
        <w:szCs w:val="24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/>
        <w:b w:val="0"/>
        <w:i w:val="0"/>
        <w:sz w:val="28"/>
        <w:szCs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305BAD5B"/>
    <w:multiLevelType w:val="singleLevel"/>
    <w:tmpl w:val="305BAD5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GIyOWFjY2IwOWU2NmQ5NjlmNjgzNmI5MjRjYmIifQ=="/>
  </w:docVars>
  <w:rsids>
    <w:rsidRoot w:val="00172A27"/>
    <w:rsid w:val="000150B8"/>
    <w:rsid w:val="00123E99"/>
    <w:rsid w:val="00172792"/>
    <w:rsid w:val="00172A27"/>
    <w:rsid w:val="002D5681"/>
    <w:rsid w:val="00384BBB"/>
    <w:rsid w:val="003A363F"/>
    <w:rsid w:val="003F7AAE"/>
    <w:rsid w:val="00405CA7"/>
    <w:rsid w:val="00466F55"/>
    <w:rsid w:val="00470CFC"/>
    <w:rsid w:val="005676F4"/>
    <w:rsid w:val="005F4EB5"/>
    <w:rsid w:val="00642AAD"/>
    <w:rsid w:val="00671B16"/>
    <w:rsid w:val="006D6C8E"/>
    <w:rsid w:val="00774C49"/>
    <w:rsid w:val="00785C98"/>
    <w:rsid w:val="007969B4"/>
    <w:rsid w:val="007A7A7C"/>
    <w:rsid w:val="007D01EA"/>
    <w:rsid w:val="007F76DC"/>
    <w:rsid w:val="00800ECD"/>
    <w:rsid w:val="00841229"/>
    <w:rsid w:val="00845DE4"/>
    <w:rsid w:val="00850309"/>
    <w:rsid w:val="00871350"/>
    <w:rsid w:val="008B5147"/>
    <w:rsid w:val="008C69E7"/>
    <w:rsid w:val="009B6E4E"/>
    <w:rsid w:val="009F3B12"/>
    <w:rsid w:val="00AB7B73"/>
    <w:rsid w:val="00AC1060"/>
    <w:rsid w:val="00AE39CB"/>
    <w:rsid w:val="00B2314E"/>
    <w:rsid w:val="00B42945"/>
    <w:rsid w:val="00BC2155"/>
    <w:rsid w:val="00BD6763"/>
    <w:rsid w:val="00BE30B8"/>
    <w:rsid w:val="00BF77D8"/>
    <w:rsid w:val="00CC573D"/>
    <w:rsid w:val="00CF4091"/>
    <w:rsid w:val="00CF66B5"/>
    <w:rsid w:val="00D07A0F"/>
    <w:rsid w:val="00D11AF5"/>
    <w:rsid w:val="00D162E0"/>
    <w:rsid w:val="00D54368"/>
    <w:rsid w:val="00D63436"/>
    <w:rsid w:val="00D64A59"/>
    <w:rsid w:val="00E21B56"/>
    <w:rsid w:val="00E313D5"/>
    <w:rsid w:val="00E371EA"/>
    <w:rsid w:val="00E463D9"/>
    <w:rsid w:val="00E77A74"/>
    <w:rsid w:val="00ED546F"/>
    <w:rsid w:val="00F3025C"/>
    <w:rsid w:val="00F3774E"/>
    <w:rsid w:val="00F46DAB"/>
    <w:rsid w:val="00F57DF9"/>
    <w:rsid w:val="00FB1643"/>
    <w:rsid w:val="00FD3421"/>
    <w:rsid w:val="00FD5983"/>
    <w:rsid w:val="019E71BD"/>
    <w:rsid w:val="049A1735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E23A13"/>
    <w:rsid w:val="0E025194"/>
    <w:rsid w:val="12E45DA9"/>
    <w:rsid w:val="1357175D"/>
    <w:rsid w:val="152D2DCA"/>
    <w:rsid w:val="171F6119"/>
    <w:rsid w:val="187168EA"/>
    <w:rsid w:val="196673CA"/>
    <w:rsid w:val="1A0B791D"/>
    <w:rsid w:val="1CF734C9"/>
    <w:rsid w:val="1DEC284C"/>
    <w:rsid w:val="1E4E59B9"/>
    <w:rsid w:val="1E6523AC"/>
    <w:rsid w:val="22440422"/>
    <w:rsid w:val="22BB4BBB"/>
    <w:rsid w:val="241B1988"/>
    <w:rsid w:val="24735DA9"/>
    <w:rsid w:val="2AEB3417"/>
    <w:rsid w:val="31A15F24"/>
    <w:rsid w:val="36FB1DF0"/>
    <w:rsid w:val="37A62A7C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68102D8"/>
    <w:rsid w:val="478C4352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49753A5"/>
    <w:rsid w:val="65AA7241"/>
    <w:rsid w:val="665233C1"/>
    <w:rsid w:val="68C91527"/>
    <w:rsid w:val="69AC0D42"/>
    <w:rsid w:val="69AE7C10"/>
    <w:rsid w:val="6AD9688B"/>
    <w:rsid w:val="6D0E3F22"/>
    <w:rsid w:val="744E4660"/>
    <w:rsid w:val="753355A2"/>
    <w:rsid w:val="759F1C61"/>
    <w:rsid w:val="75A75EC4"/>
    <w:rsid w:val="769F2DE8"/>
    <w:rsid w:val="76FDEB7C"/>
    <w:rsid w:val="79C65162"/>
    <w:rsid w:val="7C9011D9"/>
    <w:rsid w:val="7DC651C5"/>
    <w:rsid w:val="7FCC2834"/>
    <w:rsid w:val="92DD1CEF"/>
    <w:rsid w:val="F05B4F69"/>
    <w:rsid w:val="F97D9566"/>
    <w:rsid w:val="FDFF411C"/>
    <w:rsid w:val="FFFB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numPr>
        <w:ilvl w:val="0"/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3">
    <w:name w:val="heading 2"/>
    <w:basedOn w:val="1"/>
    <w:next w:val="1"/>
    <w:qFormat/>
    <w:uiPriority w:val="0"/>
    <w:pPr>
      <w:numPr>
        <w:ilvl w:val="1"/>
        <w:numId w:val="1"/>
      </w:numPr>
      <w:jc w:val="left"/>
      <w:outlineLvl w:val="1"/>
    </w:pPr>
    <w:rPr>
      <w:b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qFormat/>
    <w:uiPriority w:val="0"/>
    <w:rPr>
      <w:rFonts w:eastAsia="宋体"/>
      <w:sz w:val="18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@号"/>
    <w:link w:val="17"/>
    <w:qFormat/>
    <w:uiPriority w:val="0"/>
    <w:pPr>
      <w:widowControl w:val="0"/>
      <w:spacing w:line="540" w:lineRule="exact"/>
      <w:jc w:val="center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17">
    <w:name w:val="@号 Char"/>
    <w:basedOn w:val="11"/>
    <w:link w:val="16"/>
    <w:qFormat/>
    <w:uiPriority w:val="0"/>
    <w:rPr>
      <w:rFonts w:eastAsia="方正仿宋_GBK"/>
      <w:kern w:val="2"/>
      <w:sz w:val="32"/>
      <w:szCs w:val="32"/>
    </w:rPr>
  </w:style>
  <w:style w:type="paragraph" w:customStyle="1" w:styleId="18">
    <w:name w:val="@落款"/>
    <w:link w:val="19"/>
    <w:qFormat/>
    <w:uiPriority w:val="0"/>
    <w:pPr>
      <w:widowControl w:val="0"/>
      <w:spacing w:line="600" w:lineRule="exact"/>
      <w:jc w:val="right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19">
    <w:name w:val="@落款 Char"/>
    <w:basedOn w:val="11"/>
    <w:link w:val="18"/>
    <w:qFormat/>
    <w:uiPriority w:val="0"/>
    <w:rPr>
      <w:rFonts w:eastAsia="方正仿宋_GBK" w:cs="方正仿宋_GBK"/>
      <w:sz w:val="32"/>
      <w:szCs w:val="32"/>
    </w:rPr>
  </w:style>
  <w:style w:type="paragraph" w:styleId="20">
    <w:name w:val="List Paragraph"/>
    <w:basedOn w:val="1"/>
    <w:unhideWhenUsed/>
    <w:uiPriority w:val="99"/>
    <w:pPr>
      <w:ind w:firstLine="420" w:firstLineChars="200"/>
    </w:pPr>
  </w:style>
  <w:style w:type="character" w:customStyle="1" w:styleId="21">
    <w:name w:val="页脚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2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3">
    <w:name w:val="标题 1 Char"/>
    <w:basedOn w:val="11"/>
    <w:link w:val="2"/>
    <w:qFormat/>
    <w:uiPriority w:val="0"/>
    <w:rPr>
      <w:rFonts w:eastAsia="黑体" w:asciiTheme="minorHAnsi" w:hAnsiTheme="minorHAnsi" w:cstheme="minorBidi"/>
      <w:b/>
      <w:bCs/>
      <w:kern w:val="2"/>
      <w:sz w:val="21"/>
      <w:szCs w:val="32"/>
    </w:rPr>
  </w:style>
  <w:style w:type="character" w:customStyle="1" w:styleId="24">
    <w:name w:val="fontstyle21"/>
    <w:basedOn w:val="11"/>
    <w:qFormat/>
    <w:uiPriority w:val="0"/>
    <w:rPr>
      <w:rFonts w:ascii="FZFSJW--GB1-0" w:hAnsi="FZFSJW--GB1-0" w:eastAsia="FZFSJW--GB1-0" w:cs="FZFSJW--GB1-0"/>
      <w:color w:val="000000"/>
      <w:sz w:val="32"/>
      <w:szCs w:val="32"/>
    </w:rPr>
  </w:style>
  <w:style w:type="character" w:customStyle="1" w:styleId="25">
    <w:name w:val="fontstyle31"/>
    <w:basedOn w:val="11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  <w:style w:type="character" w:customStyle="1" w:styleId="2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1572</Characters>
  <Lines>13</Lines>
  <Paragraphs>3</Paragraphs>
  <TotalTime>2</TotalTime>
  <ScaleCrop>false</ScaleCrop>
  <LinksUpToDate>false</LinksUpToDate>
  <CharactersWithSpaces>1844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Administrator</cp:lastModifiedBy>
  <cp:lastPrinted>2023-08-25T07:37:00Z</cp:lastPrinted>
  <dcterms:modified xsi:type="dcterms:W3CDTF">2023-12-05T02:27:57Z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1D823CB28DE94F938F93E740E2B66C87_13</vt:lpwstr>
  </property>
</Properties>
</file>