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44"/>
          <w:szCs w:val="44"/>
        </w:rPr>
        <w:t>重庆市九龙坡区城市管理综合行政执法支队黄桷坪街道大队</w:t>
      </w:r>
      <w:r>
        <w:rPr>
          <w:rFonts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一、部门基本情况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rPr>
        <w:t>（一）职能职责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94" w:lineRule="exact"/>
        <w:ind w:left="0" w:right="0" w:firstLine="640" w:firstLineChars="200"/>
        <w:jc w:val="both"/>
        <w:textAlignment w:val="auto"/>
        <w:rPr>
          <w:rFonts w:hint="default" w:ascii="Times New Roman" w:hAnsi="Times New Roman" w:eastAsia="方正仿宋_GBK" w:cs="宋体"/>
          <w:kern w:val="0"/>
          <w:sz w:val="32"/>
          <w:szCs w:val="32"/>
        </w:rPr>
      </w:pPr>
      <w:r>
        <w:rPr>
          <w:rFonts w:hint="eastAsia" w:ascii="方正仿宋_GBK" w:hAnsi="方正仿宋_GBK" w:eastAsia="方正仿宋_GBK" w:cs="方正仿宋_GBK"/>
          <w:b w:val="0"/>
          <w:kern w:val="2"/>
          <w:sz w:val="32"/>
          <w:szCs w:val="32"/>
          <w:lang w:val="en-US" w:eastAsia="zh-CN" w:bidi="ar"/>
        </w:rPr>
        <w:t>本单位受委托依法开展城市管理及相关领域综合行政执法。主要包括：辖区内市政公用设施运行管理、市容环境卫生管理、园林绿化管理等方面的全部行政处罚权；露天烧烤污染、城市焚烧沥青塑料垃圾等烟尘和恶臭污染、露天焚烧秸秆落叶等烟尘污染行政处罚权；户外公共场所无照经营、违规设置户外广告行政处罚权；侵占城市道路行政处罚权；向城市河道倾倒废弃物和垃圾行政处罚权；户外公共场所食品销售和餐饮摊点无证经营等行政处罚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rPr>
        <w:t>（二）机构设置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color w:val="FF0000"/>
          <w:sz w:val="32"/>
          <w:szCs w:val="32"/>
          <w:shd w:val="clear" w:color="auto" w:fill="FFFFFF"/>
        </w:rPr>
      </w:pPr>
      <w:r>
        <w:rPr>
          <w:rFonts w:hint="default" w:ascii="方正仿宋_GBK" w:hAnsi="方正仿宋_GBK" w:eastAsia="方正仿宋_GBK" w:cs="方正仿宋_GBK"/>
          <w:b w:val="0"/>
          <w:kern w:val="2"/>
          <w:sz w:val="32"/>
          <w:szCs w:val="32"/>
          <w:lang w:val="en-US" w:eastAsia="zh-CN" w:bidi="ar"/>
        </w:rPr>
        <w:t>“</w:t>
      </w:r>
      <w:r>
        <w:rPr>
          <w:rFonts w:hint="eastAsia" w:ascii="方正仿宋_GBK" w:hAnsi="方正仿宋_GBK" w:eastAsia="方正仿宋_GBK" w:cs="方正仿宋_GBK"/>
          <w:b w:val="0"/>
          <w:kern w:val="2"/>
          <w:sz w:val="32"/>
          <w:szCs w:val="32"/>
          <w:lang w:val="en-US" w:eastAsia="zh-CN" w:bidi="ar"/>
        </w:rPr>
        <w:t>重庆市九龙坡区城市管理综合行政执法支队黄桷坪街道大队”为区城市管理局派驻机构。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二、单位决算收支情况说明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6"/>
        <w:jc w:val="left"/>
        <w:textAlignment w:val="auto"/>
        <w:rPr>
          <w:rFonts w:hint="eastAsia" w:ascii="方正仿宋_GBK" w:hAnsi="方正仿宋_GBK" w:eastAsia="方正仿宋_GBK" w:cs="方正仿宋_GBK"/>
          <w:kern w:val="0"/>
          <w:sz w:val="32"/>
          <w:szCs w:val="32"/>
          <w:shd w:val="clear" w:fill="FFFFFF"/>
          <w:lang w:val="en-US" w:eastAsia="zh-CN" w:bidi="ar-SA"/>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度收入总计312.36万元，支出总计</w:t>
      </w:r>
      <w:r>
        <w:rPr>
          <w:rFonts w:ascii="方正仿宋_GBK" w:hAnsi="方正仿宋_GBK" w:eastAsia="方正仿宋_GBK" w:cs="方正仿宋_GBK"/>
          <w:sz w:val="32"/>
          <w:szCs w:val="32"/>
        </w:rPr>
        <w:t>312.36</w:t>
      </w:r>
      <w:r>
        <w:rPr>
          <w:rFonts w:ascii="方正仿宋_GBK" w:hAnsi="方正仿宋_GBK" w:eastAsia="方正仿宋_GBK" w:cs="方正仿宋_GBK"/>
          <w:sz w:val="32"/>
          <w:szCs w:val="32"/>
          <w:shd w:val="clear" w:color="auto" w:fill="FFFFFF"/>
        </w:rPr>
        <w:t>万元。收、支与2023年度相比，减少40.62万元，下降11.5%，主要原</w:t>
      </w:r>
      <w:r>
        <w:rPr>
          <w:rFonts w:hint="eastAsia" w:ascii="方正仿宋_GBK" w:hAnsi="方正仿宋_GBK" w:eastAsia="方正仿宋_GBK" w:cs="方正仿宋_GBK"/>
          <w:kern w:val="0"/>
          <w:sz w:val="32"/>
          <w:szCs w:val="32"/>
          <w:shd w:val="clear" w:fill="FFFFFF"/>
          <w:lang w:val="en-US" w:eastAsia="zh-CN" w:bidi="ar-SA"/>
        </w:rPr>
        <w:t>因是上年度在职14人，本年度在职10人，经费支出减少。</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6"/>
        <w:jc w:val="left"/>
        <w:textAlignment w:val="auto"/>
        <w:rPr>
          <w:rFonts w:hint="default" w:ascii="方正仿宋_GBK" w:hAnsi="方正仿宋_GBK" w:eastAsia="方正仿宋_GBK" w:cs="方正仿宋_GBK"/>
          <w:kern w:val="0"/>
          <w:sz w:val="32"/>
          <w:szCs w:val="32"/>
          <w:shd w:val="clear" w:fill="FFFFFF"/>
          <w:lang w:val="en-US" w:eastAsia="zh-CN" w:bidi="ar-SA"/>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kern w:val="0"/>
          <w:sz w:val="32"/>
          <w:szCs w:val="32"/>
          <w:shd w:val="clear" w:fill="FFFFFF"/>
          <w:lang w:val="en-US" w:eastAsia="zh-CN" w:bidi="ar-SA"/>
        </w:rPr>
        <w:t>年度收入合计312.36万元，与2023年度相比，减少40.62万元，下降11.5%，主要原因是上年度在职14人，本年度在职10人，经费支出减少。其中：财政拨款收入312.36万元，占100.00%。</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312.36</w:t>
      </w:r>
      <w:r>
        <w:rPr>
          <w:rFonts w:ascii="方正仿宋_GBK" w:hAnsi="方正仿宋_GBK" w:eastAsia="方正仿宋_GBK" w:cs="方正仿宋_GBK"/>
          <w:sz w:val="32"/>
          <w:szCs w:val="32"/>
          <w:shd w:val="clear" w:color="auto" w:fill="FFFFFF"/>
        </w:rPr>
        <w:t>万元，与2023年度相比，减少40.62万元，</w:t>
      </w:r>
      <w:r>
        <w:rPr>
          <w:rFonts w:hint="eastAsia" w:ascii="方正仿宋_GBK" w:hAnsi="方正仿宋_GBK" w:eastAsia="方正仿宋_GBK" w:cs="方正仿宋_GBK"/>
          <w:kern w:val="0"/>
          <w:sz w:val="32"/>
          <w:szCs w:val="32"/>
          <w:shd w:val="clear" w:fill="FFFFFF"/>
          <w:lang w:val="en-US" w:eastAsia="zh-CN" w:bidi="ar-SA"/>
        </w:rPr>
        <w:t>下降11.5%，主要原因是上年度在职14人，本年度在职10人，经费支出减少。其中：基本支出312.36万元，占100.00%。</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度财政拨款收、支总计312.36万元。与202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w:t>
      </w:r>
      <w:r>
        <w:rPr>
          <w:rFonts w:hint="eastAsia" w:ascii="方正仿宋_GBK" w:hAnsi="方正仿宋_GBK" w:eastAsia="方正仿宋_GBK" w:cs="方正仿宋_GBK"/>
          <w:kern w:val="0"/>
          <w:sz w:val="32"/>
          <w:szCs w:val="32"/>
          <w:shd w:val="clear" w:fill="FFFFFF"/>
          <w:lang w:val="en-US" w:eastAsia="zh-CN" w:bidi="ar-SA"/>
        </w:rPr>
        <w:t>0.62万元，下降11.5%。主要原因是上年度在职14人，本年度在职10人，经费支出减少。</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kern w:val="0"/>
          <w:sz w:val="32"/>
          <w:szCs w:val="32"/>
          <w:shd w:val="clear" w:fill="FFFFFF"/>
          <w:lang w:val="en-US" w:eastAsia="zh-CN" w:bidi="ar-SA"/>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312.36</w:t>
      </w:r>
      <w:r>
        <w:rPr>
          <w:rFonts w:ascii="方正仿宋_GBK" w:hAnsi="方正仿宋_GBK" w:eastAsia="方正仿宋_GBK" w:cs="方正仿宋_GBK"/>
          <w:sz w:val="32"/>
          <w:szCs w:val="32"/>
          <w:shd w:val="clear" w:color="auto" w:fill="FFFFFF"/>
        </w:rPr>
        <w:t>万元，与2023年度相比，减少40.62万元，下降11.5%。主要原因</w:t>
      </w:r>
      <w:r>
        <w:rPr>
          <w:rFonts w:hint="eastAsia" w:ascii="方正仿宋_GBK" w:hAnsi="方正仿宋_GBK" w:eastAsia="方正仿宋_GBK" w:cs="方正仿宋_GBK"/>
          <w:kern w:val="0"/>
          <w:sz w:val="32"/>
          <w:szCs w:val="32"/>
          <w:shd w:val="clear" w:fill="FFFFFF"/>
          <w:lang w:val="en-US" w:eastAsia="zh-CN" w:bidi="ar-SA"/>
        </w:rPr>
        <w:t>是上年度在职14人，本年度在职10人，经费支出减少。较年初预算数减少7.59万元，下降2.4%。主要原因是年中退休1人，调出1人，经费支出减少。此外，年初财政拨款结转和结余0.00万元。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kern w:val="0"/>
          <w:sz w:val="32"/>
          <w:szCs w:val="32"/>
          <w:shd w:val="clear" w:fill="FFFFFF"/>
          <w:lang w:val="en-US" w:eastAsia="zh-CN" w:bidi="ar-SA"/>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312.36</w:t>
      </w:r>
      <w:r>
        <w:rPr>
          <w:rFonts w:ascii="方正仿宋_GBK" w:hAnsi="方正仿宋_GBK" w:eastAsia="方正仿宋_GBK" w:cs="方正仿宋_GBK"/>
          <w:sz w:val="32"/>
          <w:szCs w:val="32"/>
          <w:shd w:val="clear" w:color="auto" w:fill="FFFFFF"/>
        </w:rPr>
        <w:t>万元，与2023年度相比，减少40.62万元，下降11.5%。主要原</w:t>
      </w:r>
      <w:r>
        <w:rPr>
          <w:rFonts w:hint="eastAsia" w:ascii="方正仿宋_GBK" w:hAnsi="方正仿宋_GBK" w:eastAsia="方正仿宋_GBK" w:cs="方正仿宋_GBK"/>
          <w:kern w:val="0"/>
          <w:sz w:val="32"/>
          <w:szCs w:val="32"/>
          <w:shd w:val="clear" w:fill="FFFFFF"/>
          <w:lang w:val="en-US" w:eastAsia="zh-CN" w:bidi="ar-SA"/>
        </w:rPr>
        <w:t>因是上年度在职14人，本年度在职10人，经费支出减少。较年初预算数减少7.59万元，下降2.4%。主要原因是年中退休1人，调出1人，经费支出减少。</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bookmarkStart w:id="0" w:name="_GoBack"/>
      <w:r>
        <w:rPr>
          <w:rFonts w:ascii="方正仿宋_GBK" w:hAnsi="方正仿宋_GBK" w:eastAsia="方正仿宋_GBK" w:cs="方正仿宋_GBK"/>
          <w:color w:val="auto"/>
          <w:sz w:val="32"/>
          <w:szCs w:val="32"/>
          <w:shd w:val="clear" w:color="auto" w:fill="FFFFFF"/>
        </w:rPr>
        <w:t>。</w:t>
      </w:r>
      <w:bookmarkEnd w:id="0"/>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shd w:val="clear"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55.94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17.91</w:t>
      </w:r>
      <w:r>
        <w:rPr>
          <w:rFonts w:ascii="方正仿宋_GBK" w:hAnsi="方正仿宋_GBK" w:eastAsia="方正仿宋_GBK" w:cs="方正仿宋_GBK"/>
          <w:sz w:val="32"/>
          <w:szCs w:val="32"/>
          <w:shd w:val="clear" w:color="auto" w:fill="FFFFFF"/>
        </w:rPr>
        <w:t>%，较年初预算数减少0.02万元，下降0.0%，主要原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val="en-US" w:eastAsia="zh-CN"/>
        </w:rPr>
        <w:t>人员经费剩余</w:t>
      </w:r>
      <w:r>
        <w:rPr>
          <w:rFonts w:hint="eastAsia" w:ascii="方正仿宋_GBK" w:hAnsi="方正仿宋_GBK" w:eastAsia="方正仿宋_GBK" w:cs="方正仿宋_GBK"/>
          <w:kern w:val="0"/>
          <w:sz w:val="32"/>
          <w:szCs w:val="32"/>
          <w:shd w:val="clear" w:fill="FFFFFF"/>
          <w:lang w:val="en-US" w:eastAsia="zh-CN" w:bidi="ar-SA"/>
        </w:rPr>
        <w:t>，年底收回。</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（2）卫生健康支出15.89万元，占5.09%，较年初预算数无增减。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（3）城乡社区支出221.88万元，占71.04%，较年初预算数减少7.57万元，下降3.3%，主要原因是年中退休1人，调出1人，经费支出减少。</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（4）住房保障支出18.65万元，占5.97%，较年初预算数无增减。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312.36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239.45</w:t>
      </w:r>
      <w:r>
        <w:rPr>
          <w:rFonts w:ascii="方正仿宋_GBK" w:hAnsi="方正仿宋_GBK" w:eastAsia="方正仿宋_GBK" w:cs="方正仿宋_GBK"/>
          <w:sz w:val="32"/>
          <w:szCs w:val="32"/>
          <w:shd w:val="clear" w:color="auto" w:fill="FFFFFF"/>
        </w:rPr>
        <w:t>万</w:t>
      </w:r>
      <w:r>
        <w:rPr>
          <w:rFonts w:hint="eastAsia" w:ascii="方正仿宋_GBK" w:hAnsi="方正仿宋_GBK" w:eastAsia="方正仿宋_GBK" w:cs="方正仿宋_GBK"/>
          <w:kern w:val="0"/>
          <w:sz w:val="32"/>
          <w:szCs w:val="32"/>
          <w:shd w:val="clear" w:fill="FFFFFF"/>
          <w:lang w:val="en-US" w:eastAsia="zh-CN" w:bidi="ar-SA"/>
        </w:rPr>
        <w:t>元，与2023年度相比，减少31.90万元，下降11.8%，主要原因是上年度在职14人，本年度在职10人，经费支出减少。人员经费用途主</w:t>
      </w:r>
      <w:r>
        <w:rPr>
          <w:rFonts w:ascii="方正仿宋_GBK" w:hAnsi="方正仿宋_GBK" w:eastAsia="方正仿宋_GBK" w:cs="方正仿宋_GBK"/>
          <w:color w:val="auto"/>
          <w:sz w:val="32"/>
          <w:szCs w:val="32"/>
          <w:shd w:val="clear" w:color="auto" w:fill="FFFFFF"/>
        </w:rPr>
        <w:t>要包括</w:t>
      </w:r>
      <w:r>
        <w:rPr>
          <w:rFonts w:hint="default" w:ascii="Times New Roman" w:hAnsi="Times New Roman" w:eastAsia="方正仿宋_GBK" w:cs="Times New Roman"/>
          <w:b w:val="0"/>
          <w:bCs/>
          <w:color w:val="auto"/>
          <w:sz w:val="32"/>
          <w:szCs w:val="32"/>
        </w:rPr>
        <w:t>基本工资、津贴补贴、奖金、社会保障缴费、其他工资福利支出、住房公积金及购</w:t>
      </w:r>
      <w:r>
        <w:rPr>
          <w:rFonts w:hint="default" w:ascii="方正仿宋_GBK" w:hAnsi="方正仿宋_GBK" w:eastAsia="方正仿宋_GBK" w:cs="方正仿宋_GBK"/>
          <w:kern w:val="0"/>
          <w:sz w:val="32"/>
          <w:szCs w:val="32"/>
          <w:shd w:val="clear" w:fill="FFFFFF"/>
          <w:lang w:val="en-US" w:eastAsia="zh-CN" w:bidi="ar-SA"/>
        </w:rPr>
        <w:t>房补贴</w:t>
      </w:r>
      <w:r>
        <w:rPr>
          <w:rFonts w:hint="eastAsia" w:ascii="方正仿宋_GBK" w:hAnsi="方正仿宋_GBK" w:eastAsia="方正仿宋_GBK" w:cs="方正仿宋_GBK"/>
          <w:kern w:val="0"/>
          <w:sz w:val="32"/>
          <w:szCs w:val="32"/>
          <w:shd w:val="clear" w:fill="FFFFFF"/>
          <w:lang w:val="en-US" w:eastAsia="zh-CN" w:bidi="ar-SA"/>
        </w:rPr>
        <w:t>等。公用经费72.91万元，与2023年度相比，减少8.73万元，下降10.7%，主要原因是上年度在职14人，本年度在职10人，经费减少。</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sz w:val="32"/>
          <w:szCs w:val="32"/>
        </w:rPr>
        <w:t>办公费、水费、电费、邮电费、物业管理费、工会经费、福利费等</w:t>
      </w:r>
      <w:r>
        <w:rPr>
          <w:rFonts w:hint="eastAsia" w:ascii="Times New Roman" w:hAnsi="Times New Roman" w:eastAsia="方正仿宋_GBK" w:cs="Times New Roman"/>
          <w:b w:val="0"/>
          <w:bCs/>
          <w:sz w:val="32"/>
          <w:szCs w:val="32"/>
          <w:lang w:eastAsia="zh-CN"/>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本单位2024年度无政府性基金预算财政拨款收支。</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三、“三公”经费情况说明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rPr>
      </w:pPr>
      <w:r>
        <w:rPr>
          <w:rStyle w:val="11"/>
          <w:rFonts w:hint="eastAsia" w:ascii="方正楷体_GBK" w:hAnsi="方正楷体_GBK" w:eastAsia="方正楷体_GBK" w:cs="方正楷体_GBK"/>
          <w:b w:val="0"/>
          <w:bCs w:val="0"/>
          <w:sz w:val="32"/>
          <w:szCs w:val="32"/>
          <w:shd w:val="clear" w:color="auto" w:fill="FFFFFF"/>
          <w:lang w:val="en-US" w:eastAsia="zh-CN"/>
        </w:rPr>
        <w:t>（一）“三公”经费支出总体情况说明</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本单位202</w:t>
      </w:r>
      <w:r>
        <w:rPr>
          <w:rFonts w:hint="eastAsia" w:ascii="Times New Roman" w:hAnsi="Times New Roman" w:cs="Times New Roman"/>
          <w:b w:val="0"/>
          <w:bCs/>
          <w:sz w:val="32"/>
          <w:szCs w:val="32"/>
          <w:lang w:val="en-US" w:eastAsia="zh-CN"/>
        </w:rPr>
        <w:t>4</w:t>
      </w:r>
      <w:r>
        <w:rPr>
          <w:rFonts w:hint="default" w:ascii="Times New Roman" w:hAnsi="Times New Roman" w:eastAsia="方正仿宋_GBK" w:cs="Times New Roman"/>
          <w:b w:val="0"/>
          <w:bCs/>
          <w:sz w:val="32"/>
          <w:szCs w:val="32"/>
        </w:rPr>
        <w:t>年度未发生“三公”经费支出。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rPr>
      </w:pPr>
      <w:r>
        <w:rPr>
          <w:rStyle w:val="11"/>
          <w:rFonts w:hint="eastAsia" w:ascii="方正楷体_GBK" w:hAnsi="方正楷体_GBK" w:eastAsia="方正楷体_GBK" w:cs="方正楷体_GBK"/>
          <w:b w:val="0"/>
          <w:bCs w:val="0"/>
          <w:sz w:val="32"/>
          <w:szCs w:val="32"/>
          <w:shd w:val="clear" w:color="auto" w:fill="FFFFFF"/>
          <w:lang w:val="en-US" w:eastAsia="zh-CN"/>
        </w:rPr>
        <w:t>（二）“三公”经费分项支出情况</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本单位202</w:t>
      </w:r>
      <w:r>
        <w:rPr>
          <w:rFonts w:hint="eastAsia" w:ascii="Times New Roman" w:hAnsi="Times New Roman" w:cs="Times New Roman"/>
          <w:b w:val="0"/>
          <w:bCs/>
          <w:sz w:val="32"/>
          <w:szCs w:val="32"/>
          <w:lang w:val="en-US" w:eastAsia="zh-CN"/>
        </w:rPr>
        <w:t>4</w:t>
      </w:r>
      <w:r>
        <w:rPr>
          <w:rFonts w:hint="default" w:ascii="Times New Roman" w:hAnsi="Times New Roman" w:eastAsia="方正仿宋_GBK" w:cs="Times New Roman"/>
          <w:b w:val="0"/>
          <w:bCs/>
          <w:sz w:val="32"/>
          <w:szCs w:val="32"/>
        </w:rPr>
        <w:t>年度未发生因公出国（境）费用。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本单位202</w:t>
      </w:r>
      <w:r>
        <w:rPr>
          <w:rFonts w:hint="eastAsia" w:ascii="Times New Roman" w:hAnsi="Times New Roman" w:cs="Times New Roman"/>
          <w:b w:val="0"/>
          <w:bCs/>
          <w:sz w:val="32"/>
          <w:szCs w:val="32"/>
          <w:lang w:val="en-US" w:eastAsia="zh-CN"/>
        </w:rPr>
        <w:t>4</w:t>
      </w:r>
      <w:r>
        <w:rPr>
          <w:rFonts w:hint="default" w:ascii="Times New Roman" w:hAnsi="Times New Roman" w:eastAsia="方正仿宋_GBK" w:cs="Times New Roman"/>
          <w:b w:val="0"/>
          <w:bCs/>
          <w:sz w:val="32"/>
          <w:szCs w:val="32"/>
        </w:rPr>
        <w:t>年度未发生公务车购置费。</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本单位202</w:t>
      </w:r>
      <w:r>
        <w:rPr>
          <w:rFonts w:hint="eastAsia" w:ascii="Times New Roman" w:hAnsi="Times New Roman" w:cs="Times New Roman"/>
          <w:b w:val="0"/>
          <w:bCs/>
          <w:sz w:val="32"/>
          <w:szCs w:val="32"/>
          <w:lang w:val="en-US" w:eastAsia="zh-CN"/>
        </w:rPr>
        <w:t>4</w:t>
      </w:r>
      <w:r>
        <w:rPr>
          <w:rFonts w:hint="default" w:ascii="Times New Roman" w:hAnsi="Times New Roman" w:eastAsia="方正仿宋_GBK" w:cs="Times New Roman"/>
          <w:b w:val="0"/>
          <w:bCs/>
          <w:sz w:val="32"/>
          <w:szCs w:val="32"/>
        </w:rPr>
        <w:t>年度未发生公务车运行维护费。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cs="Times New Roman"/>
          <w:b w:val="0"/>
          <w:bCs/>
          <w:sz w:val="32"/>
          <w:szCs w:val="32"/>
        </w:rPr>
        <w:t>本单位202</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年度未发生公务接待费。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rPr>
      </w:pPr>
      <w:r>
        <w:rPr>
          <w:rStyle w:val="11"/>
          <w:rFonts w:hint="eastAsia" w:ascii="方正楷体_GBK" w:hAnsi="方正楷体_GBK" w:eastAsia="方正楷体_GBK" w:cs="方正楷体_GBK"/>
          <w:b w:val="0"/>
          <w:bCs w:val="0"/>
          <w:sz w:val="32"/>
          <w:szCs w:val="32"/>
          <w:shd w:val="clear" w:color="auto" w:fill="FFFFFF"/>
          <w:lang w:val="en-US" w:eastAsia="zh-CN"/>
        </w:rPr>
        <w:t>（三）“三公”经费实物量情况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cs="宋体"/>
          <w:kern w:val="0"/>
          <w:szCs w:val="32"/>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人。2023年本单位人均接待费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（一）一般公共预算财政拨款会议费和培训费情况说明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本年度会议费支出0万元，较上年决算数无变化。本年度培训费支出0.23万元，较上年决算数增加0.23万元，增长100%，主要原因是单位开展了窗口礼仪会务服务培训。</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2024年度本部门机关运行经费支出72.91万元，机关运行经费主要用于开支办公费、邮电费、其他交通费用、其他商品和服务支出等。机关运行经费较上年决算数减少8.73万元，下降10.69%，主要原因是上年度在职14人，本年度在职10人，经费减少。</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本单位无国有资产占用情况</w:t>
      </w:r>
      <w:r>
        <w:rPr>
          <w:rFonts w:hint="eastAsia" w:ascii="方正仿宋_GBK" w:hAnsi="方正仿宋_GBK" w:eastAsia="方正仿宋_GBK" w:cs="方正仿宋_GBK"/>
          <w:b w:val="0"/>
          <w:bCs w:val="0"/>
          <w:color w:val="000000"/>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color w:val="000000"/>
          <w:kern w:val="0"/>
          <w:sz w:val="32"/>
          <w:szCs w:val="32"/>
          <w:shd w:val="clear" w:color="auto" w:fill="FFFFFF"/>
        </w:rPr>
      </w:pPr>
      <w:r>
        <w:rPr>
          <w:rFonts w:hint="eastAsia" w:ascii="方正仿宋_GBK" w:hAnsi="方正仿宋_GBK" w:eastAsia="方正仿宋_GBK" w:cs="方正仿宋_GBK"/>
          <w:b w:val="0"/>
          <w:bCs w:val="0"/>
          <w:color w:val="000000"/>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（一）单位自评情况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firstLineChars="200"/>
        <w:textAlignment w:val="auto"/>
        <w:rPr>
          <w:rFonts w:hint="eastAsia" w:cs="宋体"/>
          <w:kern w:val="0"/>
          <w:szCs w:val="32"/>
        </w:rPr>
      </w:pPr>
      <w:r>
        <w:rPr>
          <w:rFonts w:hint="eastAsia" w:ascii="方正仿宋_GBK" w:hAnsi="方正仿宋_GBK" w:eastAsia="方正仿宋_GBK" w:cs="方正仿宋_GBK"/>
          <w:color w:val="auto"/>
          <w:sz w:val="32"/>
          <w:szCs w:val="32"/>
          <w:lang w:val="en-US" w:eastAsia="zh-CN" w:bidi="ar-SA"/>
        </w:rPr>
        <w:t>我单位未开展绩效自评。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（二）部门重点绩效评价情况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我单位未开展重点绩效评价。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（三）财政绩效评价情况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Style w:val="11"/>
          <w:rFonts w:hint="eastAsia" w:ascii="黑体" w:hAnsi="黑体" w:eastAsia="黑体" w:cs="黑体"/>
          <w:color w:val="auto"/>
          <w:sz w:val="32"/>
          <w:szCs w:val="32"/>
          <w:highlight w:val="yellow"/>
          <w:shd w:val="clear" w:color="auto"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p>
    <w:p>
      <w:pPr>
        <w:keepNext w:val="0"/>
        <w:keepLines w:val="0"/>
        <w:pageBreakBefore w:val="0"/>
        <w:widowControl w:val="0"/>
        <w:kinsoku/>
        <w:wordWrap/>
        <w:overflowPunct/>
        <w:topLinePunct w:val="0"/>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p>
    <w:p>
      <w:pPr>
        <w:keepNext w:val="0"/>
        <w:keepLines w:val="0"/>
        <w:pageBreakBefore w:val="0"/>
        <w:widowControl w:val="0"/>
        <w:kinsoku/>
        <w:wordWrap/>
        <w:overflowPunct/>
        <w:topLinePunct w:val="0"/>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line="594"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重庆市九龙坡区城市管理综合行政执法支队黄桷坪街道大队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312.36</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重庆市九龙坡区城市管理综合行政执法支队黄桷坪街道大队</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重庆市九龙坡区城市管理综合行政执法支队黄桷坪街道大队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重庆市九龙坡区城市管理综合行政执法支队黄桷坪街道大队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重庆市九龙坡区城市管理综合行政执法支队黄桷坪街道大队</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重庆市九龙坡区城市管理综合行政执法支队黄桷坪街道大队</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239.45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重庆市九龙坡区城市管理综合行政执法支队黄桷坪街道大队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重庆市九龙坡区城市管理综合行政执法支队黄桷坪街道大队</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重庆市九龙坡区城市管理综合行政执法支队黄桷坪街道大队</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72.91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72.91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1B439B"/>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7D382A"/>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9FE4AB2"/>
    <w:rsid w:val="2A076083"/>
    <w:rsid w:val="2A306CA5"/>
    <w:rsid w:val="2A73162E"/>
    <w:rsid w:val="2AFA2E94"/>
    <w:rsid w:val="2B167953"/>
    <w:rsid w:val="2B200583"/>
    <w:rsid w:val="2B4104F9"/>
    <w:rsid w:val="2B8209DE"/>
    <w:rsid w:val="2C6762A3"/>
    <w:rsid w:val="2D5F4C37"/>
    <w:rsid w:val="2D8D7A26"/>
    <w:rsid w:val="2E024618"/>
    <w:rsid w:val="2FE029D7"/>
    <w:rsid w:val="2FF06E00"/>
    <w:rsid w:val="30BF058C"/>
    <w:rsid w:val="315F0B22"/>
    <w:rsid w:val="31BE24D6"/>
    <w:rsid w:val="31D84415"/>
    <w:rsid w:val="32285F6F"/>
    <w:rsid w:val="32770556"/>
    <w:rsid w:val="329C0913"/>
    <w:rsid w:val="3337290D"/>
    <w:rsid w:val="334B0167"/>
    <w:rsid w:val="349A6E58"/>
    <w:rsid w:val="35076329"/>
    <w:rsid w:val="352930DB"/>
    <w:rsid w:val="35573069"/>
    <w:rsid w:val="355B37D6"/>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977EA"/>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3C5DEA"/>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636554"/>
    <w:rsid w:val="5842572D"/>
    <w:rsid w:val="598A28E2"/>
    <w:rsid w:val="5A6279C1"/>
    <w:rsid w:val="5AD563E4"/>
    <w:rsid w:val="5C1336B7"/>
    <w:rsid w:val="5C263CE4"/>
    <w:rsid w:val="5C5D2777"/>
    <w:rsid w:val="5C722D7F"/>
    <w:rsid w:val="5CFF4383"/>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AC1AB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86ABF"/>
    <w:rsid w:val="70AB70D6"/>
    <w:rsid w:val="70D9479E"/>
    <w:rsid w:val="70DE5507"/>
    <w:rsid w:val="71C34D91"/>
    <w:rsid w:val="71ED38AA"/>
    <w:rsid w:val="723F3B65"/>
    <w:rsid w:val="72DB435C"/>
    <w:rsid w:val="738549F4"/>
    <w:rsid w:val="74ED1B1B"/>
    <w:rsid w:val="750837F0"/>
    <w:rsid w:val="75C90169"/>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CE387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0"/>
    <w:basedOn w:val="10"/>
    <w:qFormat/>
    <w:uiPriority w:val="0"/>
    <w:rPr>
      <w:rFonts w:hint="default" w:ascii="Times New Roman" w:hAnsi="Times New Roman" w:cs="Times New Roman"/>
    </w:rPr>
  </w:style>
  <w:style w:type="character" w:customStyle="1" w:styleId="17">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4621</Words>
  <Characters>5550</Characters>
  <Lines>1</Lines>
  <Paragraphs>1</Paragraphs>
  <TotalTime>30</TotalTime>
  <ScaleCrop>false</ScaleCrop>
  <LinksUpToDate>false</LinksUpToDate>
  <CharactersWithSpaces>5745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cp:lastPrinted>2025-10-24T08:23:00Z</cp:lastPrinted>
  <dcterms:modified xsi:type="dcterms:W3CDTF">2025-10-27T00:53:18Z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