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jc w:val="center"/>
        <w:textAlignment w:val="auto"/>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重庆市九龙坡区黄桷坪街道社会管理信息服务中心</w:t>
      </w:r>
      <w:r>
        <w:rPr>
          <w:rFonts w:ascii="方正小标宋_GBK" w:hAnsi="方正小标宋_GBK" w:eastAsia="方正小标宋_GBK" w:cs="方正小标宋_GBK"/>
          <w:color w:val="auto"/>
          <w:sz w:val="44"/>
          <w:szCs w:val="44"/>
          <w:shd w:val="clear" w:color="auto" w:fill="FFFFFF"/>
        </w:rPr>
        <w:t>202</w:t>
      </w:r>
      <w:r>
        <w:rPr>
          <w:rFonts w:hint="eastAsia" w:ascii="方正小标宋_GBK" w:hAnsi="方正小标宋_GBK" w:eastAsia="方正小标宋_GBK" w:cs="方正小标宋_GBK"/>
          <w:color w:val="auto"/>
          <w:sz w:val="44"/>
          <w:szCs w:val="44"/>
          <w:shd w:val="clear" w:color="auto" w:fill="FFFFFF"/>
          <w:lang w:val="en-US" w:eastAsia="zh-CN"/>
        </w:rPr>
        <w:t>4</w:t>
      </w:r>
      <w:r>
        <w:rPr>
          <w:rFonts w:ascii="方正小标宋_GBK" w:hAnsi="方正小标宋_GBK" w:eastAsia="方正小标宋_GBK" w:cs="方正小标宋_GBK"/>
          <w:color w:val="auto"/>
          <w:sz w:val="44"/>
          <w:szCs w:val="44"/>
          <w:shd w:val="clear" w:color="auto" w:fill="FFFFFF"/>
        </w:rPr>
        <w:t>年度决算公开说明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方正小标宋_GBK" w:hAnsi="方正小标宋_GBK" w:eastAsia="方正小标宋_GBK" w:cs="方正小标宋_GBK"/>
          <w:color w:val="auto"/>
          <w:sz w:val="36"/>
          <w:szCs w:val="36"/>
          <w:shd w:val="clear" w:color="auto" w:fill="FFFFFF"/>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一、单位基本情况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cs="宋体"/>
          <w:color w:val="auto"/>
          <w:kern w:val="0"/>
          <w:szCs w:val="32"/>
        </w:rPr>
      </w:pPr>
      <w:r>
        <w:rPr>
          <w:rFonts w:hint="default" w:ascii="Times New Roman" w:hAnsi="Times New Roman" w:eastAsia="方正仿宋_GBK" w:cs="Times New Roman"/>
          <w:color w:val="auto"/>
          <w:kern w:val="0"/>
          <w:sz w:val="32"/>
          <w:szCs w:val="32"/>
        </w:rPr>
        <w:t>集中管理维护综治、信访、维稳、生态环境、城市管理、</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两违</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整治、应急管理等网格化信息系统，协调、指导、推动辖区内网格化管理工作落实；承办公共安全隐患排查治理体系和风险预防控制体系信息化建设任务，对辖区内群众有关社会管理方面的求助、投诉受理、处理、督办、反馈；依托网格化信息系统，开展对社会管理信息的筛查研判、动态监测，并提出工作建议意见；承担社会管理信息收集、排查、调度、上报等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（二）机构设置</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lang w:val="en-US" w:eastAsia="zh-CN" w:bidi="ar-SA"/>
        </w:rPr>
      </w:pPr>
      <w:r>
        <w:rPr>
          <w:rStyle w:val="11"/>
          <w:rFonts w:hint="eastAsia" w:ascii="方正仿宋_GBK" w:hAnsi="方正仿宋_GBK" w:eastAsia="方正仿宋_GBK" w:cs="方正仿宋_GBK"/>
          <w:b w:val="0"/>
          <w:bCs w:val="0"/>
          <w:color w:val="auto"/>
          <w:sz w:val="32"/>
          <w:szCs w:val="32"/>
          <w:shd w:val="clear" w:color="auto" w:fill="FFFFFF"/>
          <w:lang w:val="en-US" w:eastAsia="zh-CN"/>
        </w:rPr>
        <w:t>“重庆市九龙坡区黄桷坪街道</w:t>
      </w:r>
      <w:r>
        <w:rPr>
          <w:rFonts w:hint="eastAsia" w:ascii="方正仿宋_GBK" w:hAnsi="方正仿宋_GBK" w:eastAsia="方正仿宋_GBK" w:cs="方正仿宋_GBK"/>
          <w:color w:val="auto"/>
          <w:kern w:val="0"/>
          <w:sz w:val="32"/>
          <w:szCs w:val="32"/>
          <w:lang w:val="en-US" w:eastAsia="zh-CN" w:bidi="ar-SA"/>
        </w:rPr>
        <w:t>社会管理信息服务中心”为正科级公益一类事业单位。</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二、单位决算收支情况说明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（一）收入支出决算总体情况说明。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30" w:firstLineChars="196"/>
        <w:jc w:val="left"/>
        <w:textAlignment w:val="auto"/>
        <w:rPr>
          <w:rFonts w:hint="default" w:ascii="Times New Roman" w:hAnsi="Times New Roman" w:eastAsia="方正仿宋_GBK" w:cs="Times New Roman"/>
          <w:b w:val="0"/>
          <w:bCs w:val="0"/>
          <w:color w:val="auto"/>
          <w:sz w:val="32"/>
          <w:szCs w:val="32"/>
          <w:lang w:val="en-US" w:eastAsia="zh-CN" w:bidi="ar-SA"/>
        </w:rPr>
      </w:pPr>
      <w:r>
        <w:rPr>
          <w:rStyle w:val="11"/>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度收入总计61.27万元，支出总计</w:t>
      </w:r>
      <w:r>
        <w:rPr>
          <w:rFonts w:ascii="方正仿宋_GBK" w:hAnsi="方正仿宋_GBK" w:eastAsia="方正仿宋_GBK" w:cs="方正仿宋_GBK"/>
          <w:color w:val="auto"/>
          <w:sz w:val="32"/>
          <w:szCs w:val="32"/>
        </w:rPr>
        <w:t>61.27</w:t>
      </w:r>
      <w:r>
        <w:rPr>
          <w:rFonts w:ascii="方正仿宋_GBK" w:hAnsi="方正仿宋_GBK" w:eastAsia="方正仿宋_GBK" w:cs="方正仿宋_GBK"/>
          <w:color w:val="auto"/>
          <w:sz w:val="32"/>
          <w:szCs w:val="32"/>
          <w:shd w:val="clear" w:color="auto" w:fill="FFFFFF"/>
        </w:rPr>
        <w:t>万元。收、支与2023年度相比，增加0.65万元，增长1.1%，主要</w:t>
      </w:r>
      <w:r>
        <w:rPr>
          <w:rFonts w:hint="default" w:ascii="Times New Roman" w:hAnsi="Times New Roman" w:eastAsia="方正仿宋_GBK" w:cs="Times New Roman"/>
          <w:b w:val="0"/>
          <w:bCs w:val="0"/>
          <w:color w:val="auto"/>
          <w:sz w:val="32"/>
          <w:szCs w:val="32"/>
          <w:lang w:val="en-US" w:eastAsia="zh-CN" w:bidi="ar-SA"/>
        </w:rPr>
        <w:t>原因是</w:t>
      </w:r>
      <w:r>
        <w:rPr>
          <w:rFonts w:hint="eastAsia" w:ascii="Times New Roman" w:hAnsi="Times New Roman" w:eastAsia="方正仿宋_GBK" w:cs="Times New Roman"/>
          <w:b w:val="0"/>
          <w:bCs w:val="0"/>
          <w:color w:val="auto"/>
          <w:sz w:val="32"/>
          <w:szCs w:val="32"/>
          <w:lang w:val="en-US" w:eastAsia="zh-CN" w:bidi="ar-SA"/>
        </w:rPr>
        <w:t>在职人员工资、养老保险和职业年金预算政策性调整、事业单位超额绩效清算补发等。</w:t>
      </w:r>
    </w:p>
    <w:p>
      <w:pPr>
        <w:keepNext w:val="0"/>
        <w:keepLines w:val="0"/>
        <w:pageBreakBefore w:val="0"/>
        <w:widowControl w:val="0"/>
        <w:kinsoku/>
        <w:wordWrap/>
        <w:overflowPunct/>
        <w:topLinePunct w:val="0"/>
        <w:autoSpaceDE/>
        <w:autoSpaceDN/>
        <w:bidi w:val="0"/>
        <w:adjustRightInd/>
        <w:spacing w:line="594" w:lineRule="exact"/>
        <w:ind w:firstLine="630" w:firstLineChars="196"/>
        <w:jc w:val="left"/>
        <w:textAlignment w:val="auto"/>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度收入合计61.27万元，与2023年度相比，增加0.65万元，增</w:t>
      </w:r>
      <w:r>
        <w:rPr>
          <w:rFonts w:hint="default" w:ascii="Times New Roman" w:hAnsi="Times New Roman" w:eastAsia="方正仿宋_GBK" w:cs="Times New Roman"/>
          <w:b w:val="0"/>
          <w:bCs w:val="0"/>
          <w:color w:val="auto"/>
          <w:sz w:val="32"/>
          <w:szCs w:val="32"/>
          <w:lang w:val="en-US" w:eastAsia="zh-CN" w:bidi="ar-SA"/>
        </w:rPr>
        <w:t>长1.1%，主要原因是</w:t>
      </w:r>
      <w:r>
        <w:rPr>
          <w:rFonts w:hint="eastAsia" w:ascii="Times New Roman" w:hAnsi="Times New Roman" w:eastAsia="方正仿宋_GBK" w:cs="Times New Roman"/>
          <w:b w:val="0"/>
          <w:bCs w:val="0"/>
          <w:color w:val="auto"/>
          <w:sz w:val="32"/>
          <w:szCs w:val="32"/>
          <w:lang w:val="en-US" w:eastAsia="zh-CN" w:bidi="ar-SA"/>
        </w:rPr>
        <w:t>在职人员工资、养老保险和职业年金预算政策性调整、事业单位超额绩效清算补发等</w:t>
      </w:r>
      <w:r>
        <w:rPr>
          <w:rFonts w:hint="default" w:ascii="Times New Roman" w:hAnsi="Times New Roman" w:eastAsia="方正仿宋_GBK" w:cs="Times New Roman"/>
          <w:b w:val="0"/>
          <w:bCs w:val="0"/>
          <w:color w:val="auto"/>
          <w:sz w:val="32"/>
          <w:szCs w:val="32"/>
          <w:lang w:val="en-US" w:eastAsia="zh-CN" w:bidi="ar-SA"/>
        </w:rPr>
        <w:t>。</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61.27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61.27</w:t>
      </w:r>
      <w:r>
        <w:rPr>
          <w:rFonts w:ascii="方正仿宋_GBK" w:hAnsi="方正仿宋_GBK" w:eastAsia="方正仿宋_GBK" w:cs="方正仿宋_GBK"/>
          <w:color w:val="auto"/>
          <w:sz w:val="32"/>
          <w:szCs w:val="32"/>
          <w:shd w:val="clear" w:color="auto" w:fill="FFFFFF"/>
        </w:rPr>
        <w:t>万元，与2023年度相比，增加0.65万元，增长1.1%</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61.27</w:t>
      </w:r>
      <w:r>
        <w:rPr>
          <w:rFonts w:ascii="方正仿宋_GBK" w:hAnsi="方正仿宋_GBK" w:eastAsia="方正仿宋_GBK" w:cs="方正仿宋_GBK"/>
          <w:color w:val="auto"/>
          <w:sz w:val="32"/>
          <w:szCs w:val="32"/>
          <w:shd w:val="clear" w:color="auto" w:fill="FFFFFF"/>
        </w:rPr>
        <w:t>万元，占100.00%</w:t>
      </w:r>
      <w:r>
        <w:rPr>
          <w:rFonts w:hint="eastAsia" w:ascii="方正仿宋_GBK" w:hAnsi="方正仿宋_GBK" w:eastAsia="方正仿宋_GBK" w:cs="方正仿宋_GBK"/>
          <w:color w:val="auto"/>
          <w:sz w:val="32"/>
          <w:szCs w:val="32"/>
          <w:shd w:val="clear" w:color="auto" w:fill="FFFFFF"/>
          <w:lang w:eastAsia="zh-CN"/>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Style w:val="11"/>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w:t>
      </w:r>
      <w:r>
        <w:rPr>
          <w:rFonts w:hint="default" w:ascii="Times New Roman" w:hAnsi="Times New Roman" w:eastAsia="方正仿宋_GBK" w:cs="Times New Roman"/>
          <w:b w:val="0"/>
          <w:bCs w:val="0"/>
          <w:color w:val="auto"/>
          <w:sz w:val="32"/>
          <w:szCs w:val="32"/>
        </w:rPr>
        <w:t>增减。</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（二）财政拨款收入支出决算总体情况说明</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方正仿宋_GBK" w:cs="Times New Roman"/>
          <w:b w:val="0"/>
          <w:bCs w:val="0"/>
          <w:color w:val="auto"/>
          <w:sz w:val="32"/>
          <w:szCs w:val="32"/>
          <w:lang w:val="en-US" w:eastAsia="zh-CN" w:bidi="ar-SA"/>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度财政拨款收、支总计61.27万元。与202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年相比，财政拨款收、支总计各增加0.65万元，增长1.1%。主要原</w:t>
      </w:r>
      <w:r>
        <w:rPr>
          <w:rFonts w:hint="default" w:ascii="Times New Roman" w:hAnsi="Times New Roman" w:eastAsia="方正仿宋_GBK" w:cs="Times New Roman"/>
          <w:b w:val="0"/>
          <w:bCs w:val="0"/>
          <w:color w:val="auto"/>
          <w:sz w:val="32"/>
          <w:szCs w:val="32"/>
          <w:lang w:val="en-US" w:eastAsia="zh-CN" w:bidi="ar-SA"/>
        </w:rPr>
        <w:t>因是</w:t>
      </w:r>
      <w:r>
        <w:rPr>
          <w:rFonts w:hint="eastAsia" w:ascii="Times New Roman" w:hAnsi="Times New Roman" w:eastAsia="方正仿宋_GBK" w:cs="Times New Roman"/>
          <w:b w:val="0"/>
          <w:bCs w:val="0"/>
          <w:color w:val="auto"/>
          <w:sz w:val="32"/>
          <w:szCs w:val="32"/>
          <w:lang w:val="en-US" w:eastAsia="zh-CN" w:bidi="ar-SA"/>
        </w:rPr>
        <w:t>在职人员工资、养老保险和职业年金预算政策性调整、事业单位超额绩效清算补发等。</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（三）一般公共预算财政拨款收入支出决算情况说明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61.27</w:t>
      </w:r>
      <w:r>
        <w:rPr>
          <w:rFonts w:ascii="方正仿宋_GBK" w:hAnsi="方正仿宋_GBK" w:eastAsia="方正仿宋_GBK" w:cs="方正仿宋_GBK"/>
          <w:color w:val="auto"/>
          <w:sz w:val="32"/>
          <w:szCs w:val="32"/>
          <w:shd w:val="clear" w:color="auto" w:fill="FFFFFF"/>
        </w:rPr>
        <w:t>万元，与2023年度相比，增加0.65万元，增长1.1%。主要原因</w:t>
      </w:r>
      <w:r>
        <w:rPr>
          <w:rFonts w:hint="default" w:ascii="Times New Roman" w:hAnsi="Times New Roman" w:eastAsia="方正仿宋_GBK" w:cs="Times New Roman"/>
          <w:b w:val="0"/>
          <w:bCs w:val="0"/>
          <w:color w:val="auto"/>
          <w:sz w:val="32"/>
          <w:szCs w:val="32"/>
        </w:rPr>
        <w:t>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。较</w:t>
      </w:r>
      <w:r>
        <w:rPr>
          <w:rFonts w:ascii="方正仿宋_GBK" w:hAnsi="方正仿宋_GBK" w:eastAsia="方正仿宋_GBK" w:cs="方正仿宋_GBK"/>
          <w:color w:val="auto"/>
          <w:sz w:val="32"/>
          <w:szCs w:val="32"/>
          <w:shd w:val="clear" w:color="auto" w:fill="FFFFFF"/>
        </w:rPr>
        <w:t>年初预算数增加6.34</w:t>
      </w:r>
      <w:r>
        <w:rPr>
          <w:rFonts w:ascii="方正仿宋_GBK" w:hAnsi="方正仿宋_GBK" w:eastAsia="方正仿宋_GBK" w:cs="方正仿宋_GBK"/>
          <w:color w:val="auto"/>
          <w:sz w:val="32"/>
          <w:szCs w:val="32"/>
          <w:shd w:val="clear" w:color="auto" w:fill="FFFFFF"/>
        </w:rPr>
        <w:t>万元，增长11.5%。主要原因</w:t>
      </w:r>
      <w:r>
        <w:rPr>
          <w:rFonts w:hint="default" w:ascii="Times New Roman" w:hAnsi="Times New Roman" w:eastAsia="方正仿宋_GBK" w:cs="Times New Roman"/>
          <w:b w:val="0"/>
          <w:bCs w:val="0"/>
          <w:color w:val="auto"/>
          <w:sz w:val="32"/>
          <w:szCs w:val="32"/>
        </w:rPr>
        <w:t>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此外，年初财政拨款结转和结余0.00万元。</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61.27</w:t>
      </w:r>
      <w:r>
        <w:rPr>
          <w:rFonts w:ascii="方正仿宋_GBK" w:hAnsi="方正仿宋_GBK" w:eastAsia="方正仿宋_GBK" w:cs="方正仿宋_GBK"/>
          <w:color w:val="auto"/>
          <w:sz w:val="32"/>
          <w:szCs w:val="32"/>
          <w:shd w:val="clear" w:color="auto" w:fill="FFFFFF"/>
        </w:rPr>
        <w:t>万元，与2023年度相比，增加0.65万元，增长1.1%。主要原</w:t>
      </w:r>
      <w:r>
        <w:rPr>
          <w:rFonts w:hint="default" w:ascii="Times New Roman" w:hAnsi="Times New Roman" w:eastAsia="方正仿宋_GBK" w:cs="Times New Roman"/>
          <w:b w:val="0"/>
          <w:bCs w:val="0"/>
          <w:color w:val="auto"/>
          <w:sz w:val="32"/>
          <w:szCs w:val="32"/>
        </w:rPr>
        <w:t>因是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。较年初预算数增加6.34万元，增长11.5%。主要原因是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1"/>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41.62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67.92</w:t>
      </w:r>
      <w:r>
        <w:rPr>
          <w:rFonts w:ascii="方正仿宋_GBK" w:hAnsi="方正仿宋_GBK" w:eastAsia="方正仿宋_GBK" w:cs="方正仿宋_GBK"/>
          <w:color w:val="auto"/>
          <w:sz w:val="32"/>
          <w:szCs w:val="32"/>
          <w:shd w:val="clear" w:color="auto" w:fill="FFFFFF"/>
        </w:rPr>
        <w:t>%，较年初预算数增加1.97万元，增长5.0%，主要原</w:t>
      </w:r>
      <w:r>
        <w:rPr>
          <w:rFonts w:ascii="方正仿宋_GBK" w:hAnsi="方正仿宋_GBK" w:eastAsia="方正仿宋_GBK" w:cs="方正仿宋_GBK"/>
          <w:color w:val="auto"/>
          <w:sz w:val="32"/>
          <w:szCs w:val="32"/>
          <w:shd w:val="clear" w:color="auto" w:fill="FFFFFF"/>
        </w:rPr>
        <w:t>因</w:t>
      </w:r>
      <w:r>
        <w:rPr>
          <w:rFonts w:hint="eastAsia"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kern w:val="0"/>
          <w:sz w:val="32"/>
          <w:szCs w:val="32"/>
        </w:rPr>
        <w:t>在职人员</w:t>
      </w:r>
      <w:r>
        <w:rPr>
          <w:rFonts w:hint="eastAsia" w:ascii="方正仿宋_GBK" w:hAnsi="方正仿宋_GBK" w:eastAsia="方正仿宋_GBK" w:cs="方正仿宋_GBK"/>
          <w:color w:val="auto"/>
          <w:kern w:val="0"/>
          <w:sz w:val="32"/>
          <w:szCs w:val="32"/>
          <w:lang w:val="en-US" w:eastAsia="zh-CN"/>
        </w:rPr>
        <w:t>工资、</w:t>
      </w:r>
      <w:r>
        <w:rPr>
          <w:rFonts w:hint="eastAsia" w:ascii="方正仿宋_GBK" w:hAnsi="方正仿宋_GBK" w:eastAsia="方正仿宋_GBK" w:cs="方正仿宋_GBK"/>
          <w:color w:val="auto"/>
          <w:kern w:val="0"/>
          <w:sz w:val="32"/>
          <w:szCs w:val="32"/>
        </w:rPr>
        <w:t>事业单位超额绩效清算</w:t>
      </w:r>
      <w:r>
        <w:rPr>
          <w:rFonts w:hint="eastAsia" w:ascii="方正仿宋_GBK" w:hAnsi="方正仿宋_GBK" w:eastAsia="方正仿宋_GBK" w:cs="方正仿宋_GBK"/>
          <w:color w:val="auto"/>
          <w:kern w:val="0"/>
          <w:sz w:val="32"/>
          <w:szCs w:val="32"/>
          <w:lang w:val="en-US" w:eastAsia="zh-CN"/>
        </w:rPr>
        <w:t>补发等</w:t>
      </w:r>
      <w:r>
        <w:rPr>
          <w:rFonts w:hint="eastAsia"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14.01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22.86</w:t>
      </w:r>
      <w:r>
        <w:rPr>
          <w:rFonts w:ascii="方正仿宋_GBK" w:hAnsi="方正仿宋_GBK" w:eastAsia="方正仿宋_GBK" w:cs="方正仿宋_GBK"/>
          <w:color w:val="auto"/>
          <w:sz w:val="32"/>
          <w:szCs w:val="32"/>
          <w:shd w:val="clear" w:color="auto" w:fill="FFFFFF"/>
        </w:rPr>
        <w:t>%，较年初预算数增加4.58万元，增长48.6%，主要原因是</w:t>
      </w:r>
      <w:r>
        <w:rPr>
          <w:rFonts w:hint="eastAsia" w:ascii="方正仿宋_GBK" w:hAnsi="方正仿宋_GBK" w:eastAsia="方正仿宋_GBK" w:cs="方正仿宋_GBK"/>
          <w:color w:val="auto"/>
          <w:sz w:val="32"/>
          <w:szCs w:val="32"/>
          <w:shd w:val="clear" w:color="auto" w:fill="FFFFFF"/>
          <w:lang w:val="en-US" w:eastAsia="zh-CN"/>
        </w:rPr>
        <w:t>在职人</w:t>
      </w:r>
      <w:r>
        <w:rPr>
          <w:rFonts w:hint="eastAsia" w:ascii="Times New Roman" w:hAnsi="Times New Roman" w:eastAsia="方正仿宋_GBK" w:cs="Times New Roman"/>
          <w:b w:val="0"/>
          <w:bCs w:val="0"/>
          <w:color w:val="auto"/>
          <w:sz w:val="32"/>
          <w:szCs w:val="32"/>
          <w:lang w:val="en-US" w:eastAsia="zh-CN"/>
        </w:rPr>
        <w:t>员</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政策性调整等</w:t>
      </w:r>
      <w:r>
        <w:rPr>
          <w:rFonts w:hint="default" w:ascii="Times New Roman" w:hAnsi="Times New Roman" w:eastAsia="方正仿宋_GBK" w:cs="Times New Roman"/>
          <w:b w:val="0"/>
          <w:bCs w:val="0"/>
          <w:color w:val="auto"/>
          <w:sz w:val="32"/>
          <w:szCs w:val="32"/>
        </w:rPr>
        <w:t>。</w:t>
      </w:r>
      <w:bookmarkStart w:id="0" w:name="_GoBack"/>
      <w:bookmarkEnd w:id="0"/>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2.11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3.44</w:t>
      </w:r>
      <w:r>
        <w:rPr>
          <w:rFonts w:ascii="方正仿宋_GBK" w:hAnsi="方正仿宋_GBK" w:eastAsia="方正仿宋_GBK" w:cs="方正仿宋_GBK"/>
          <w:color w:val="auto"/>
          <w:sz w:val="32"/>
          <w:szCs w:val="32"/>
          <w:shd w:val="clear" w:color="auto" w:fill="FFFFFF"/>
        </w:rPr>
        <w:t>%，较年初预算数减少0.20万元，下降8</w:t>
      </w:r>
      <w:r>
        <w:rPr>
          <w:rFonts w:hint="default" w:ascii="Times New Roman" w:hAnsi="Times New Roman" w:eastAsia="方正仿宋_GBK" w:cs="Times New Roman"/>
          <w:b w:val="0"/>
          <w:bCs w:val="0"/>
          <w:color w:val="auto"/>
          <w:sz w:val="32"/>
          <w:szCs w:val="32"/>
        </w:rPr>
        <w:t>.7%，主要原因是</w:t>
      </w:r>
      <w:r>
        <w:rPr>
          <w:rFonts w:hint="eastAsia" w:ascii="Times New Roman" w:hAnsi="Times New Roman" w:eastAsia="方正仿宋_GBK" w:cs="Times New Roman"/>
          <w:b w:val="0"/>
          <w:bCs w:val="0"/>
          <w:color w:val="auto"/>
          <w:sz w:val="32"/>
          <w:szCs w:val="32"/>
          <w:lang w:val="en-US" w:eastAsia="zh-CN"/>
        </w:rPr>
        <w:t>退休人员医疗补助费剩余，年底收回</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N/>
        <w:bidi w:val="0"/>
        <w:ind w:firstLine="640" w:firstLineChars="200"/>
        <w:textAlignment w:val="auto"/>
        <w:rPr>
          <w:rFonts w:hint="default" w:ascii="Times New Roman" w:hAnsi="Times New Roman" w:eastAsia="方正仿宋_GBK" w:cs="Times New Roman"/>
          <w:b w:val="0"/>
          <w:bCs w:val="0"/>
          <w:color w:val="auto"/>
          <w:sz w:val="32"/>
          <w:szCs w:val="32"/>
          <w:lang w:val="en-US" w:eastAsia="zh-CN" w:bidi="ar-SA"/>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住房保障支出3.54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5.78</w:t>
      </w:r>
      <w:r>
        <w:rPr>
          <w:rFonts w:ascii="方正仿宋_GBK" w:hAnsi="方正仿宋_GBK" w:eastAsia="方正仿宋_GBK" w:cs="方正仿宋_GBK"/>
          <w:color w:val="auto"/>
          <w:sz w:val="32"/>
          <w:szCs w:val="32"/>
          <w:shd w:val="clear" w:color="auto" w:fill="FFFFFF"/>
        </w:rPr>
        <w:t>%，较年初预算数无增</w:t>
      </w:r>
      <w:r>
        <w:rPr>
          <w:rFonts w:hint="default" w:ascii="Times New Roman" w:hAnsi="Times New Roman" w:eastAsia="方正仿宋_GBK" w:cs="Times New Roman"/>
          <w:b w:val="0"/>
          <w:bCs w:val="0"/>
          <w:color w:val="auto"/>
          <w:sz w:val="32"/>
          <w:szCs w:val="32"/>
          <w:lang w:val="en-US" w:eastAsia="zh-CN" w:bidi="ar-SA"/>
        </w:rPr>
        <w:t>减。</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（四）一般公共预算财政拨款基本支出决算情况说明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61.27</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50.85</w:t>
      </w:r>
      <w:r>
        <w:rPr>
          <w:rFonts w:ascii="方正仿宋_GBK" w:hAnsi="方正仿宋_GBK" w:eastAsia="方正仿宋_GBK" w:cs="方正仿宋_GBK"/>
          <w:color w:val="auto"/>
          <w:sz w:val="32"/>
          <w:szCs w:val="32"/>
          <w:shd w:val="clear" w:color="auto" w:fill="FFFFFF"/>
        </w:rPr>
        <w:t>万元，与2023年度相比，增加4.73万元，增长10.3%，主要原</w:t>
      </w:r>
      <w:r>
        <w:rPr>
          <w:rFonts w:hint="default" w:ascii="Times New Roman" w:hAnsi="Times New Roman" w:eastAsia="方正仿宋_GBK" w:cs="Times New Roman"/>
          <w:b w:val="0"/>
          <w:bCs w:val="0"/>
          <w:color w:val="auto"/>
          <w:sz w:val="32"/>
          <w:szCs w:val="32"/>
        </w:rPr>
        <w:t>因是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。人</w:t>
      </w:r>
      <w:r>
        <w:rPr>
          <w:rFonts w:ascii="方正仿宋_GBK" w:hAnsi="方正仿宋_GBK" w:eastAsia="方正仿宋_GBK" w:cs="方正仿宋_GBK"/>
          <w:color w:val="auto"/>
          <w:sz w:val="32"/>
          <w:szCs w:val="32"/>
          <w:shd w:val="clear" w:color="auto" w:fill="FFFFFF"/>
        </w:rPr>
        <w:t>员经费用途主要包括</w:t>
      </w:r>
      <w:r>
        <w:rPr>
          <w:rFonts w:hint="eastAsia" w:ascii="方正仿宋_GBK" w:hAnsi="方正仿宋_GBK" w:eastAsia="方正仿宋_GBK" w:cs="方正仿宋_GBK"/>
          <w:color w:val="auto"/>
          <w:kern w:val="0"/>
          <w:sz w:val="32"/>
          <w:szCs w:val="32"/>
          <w:shd w:val="clear" w:color="auto" w:fill="FFFFFF"/>
        </w:rPr>
        <w:t>基本工资、津贴补贴、奖金、社会保障缴费、其他工资福利支出、住房公积</w:t>
      </w:r>
      <w:r>
        <w:rPr>
          <w:rFonts w:hint="eastAsia" w:ascii="Times New Roman" w:hAnsi="Times New Roman" w:eastAsia="方正仿宋_GBK" w:cs="Times New Roman"/>
          <w:b w:val="0"/>
          <w:bCs w:val="0"/>
          <w:color w:val="auto"/>
          <w:sz w:val="32"/>
          <w:szCs w:val="32"/>
        </w:rPr>
        <w:t>金及购房补贴</w:t>
      </w:r>
      <w:r>
        <w:rPr>
          <w:rFonts w:hint="eastAsia" w:ascii="Times New Roman" w:hAnsi="Times New Roman" w:eastAsia="方正仿宋_GBK" w:cs="Times New Roman"/>
          <w:b w:val="0"/>
          <w:bCs w:val="0"/>
          <w:color w:val="auto"/>
          <w:sz w:val="32"/>
          <w:szCs w:val="32"/>
          <w:lang w:val="en-US" w:eastAsia="zh-CN"/>
        </w:rPr>
        <w:t>等</w:t>
      </w:r>
      <w:r>
        <w:rPr>
          <w:rFonts w:hint="default" w:ascii="Times New Roman" w:hAnsi="Times New Roman" w:eastAsia="方正仿宋_GBK" w:cs="Times New Roman"/>
          <w:b w:val="0"/>
          <w:bCs w:val="0"/>
          <w:color w:val="auto"/>
          <w:sz w:val="32"/>
          <w:szCs w:val="32"/>
        </w:rPr>
        <w:t>。公</w:t>
      </w:r>
      <w:r>
        <w:rPr>
          <w:rFonts w:ascii="方正仿宋_GBK" w:hAnsi="方正仿宋_GBK" w:eastAsia="方正仿宋_GBK" w:cs="方正仿宋_GBK"/>
          <w:color w:val="auto"/>
          <w:sz w:val="32"/>
          <w:szCs w:val="32"/>
          <w:shd w:val="clear" w:color="auto" w:fill="FFFFFF"/>
        </w:rPr>
        <w:t>用经费</w:t>
      </w:r>
      <w:r>
        <w:rPr>
          <w:rFonts w:ascii="方正仿宋_GBK" w:hAnsi="方正仿宋_GBK" w:eastAsia="方正仿宋_GBK" w:cs="方正仿宋_GBK"/>
          <w:color w:val="auto"/>
          <w:sz w:val="32"/>
          <w:szCs w:val="32"/>
        </w:rPr>
        <w:t>10.42</w:t>
      </w:r>
      <w:r>
        <w:rPr>
          <w:rFonts w:ascii="方正仿宋_GBK" w:hAnsi="方正仿宋_GBK" w:eastAsia="方正仿宋_GBK" w:cs="方正仿宋_GBK"/>
          <w:color w:val="auto"/>
          <w:sz w:val="32"/>
          <w:szCs w:val="32"/>
          <w:shd w:val="clear" w:color="auto" w:fill="FFFFFF"/>
        </w:rPr>
        <w:t>万元，与2023年度相比，减少4.09万元，下降28.2%，主要原因是</w:t>
      </w:r>
      <w:r>
        <w:rPr>
          <w:rFonts w:hint="eastAsia" w:ascii="方正仿宋_GBK" w:hAnsi="方正仿宋_GBK" w:eastAsia="方正仿宋_GBK" w:cs="方正仿宋_GBK"/>
          <w:color w:val="auto"/>
          <w:sz w:val="32"/>
          <w:szCs w:val="32"/>
          <w:shd w:val="clear" w:color="auto" w:fill="FFFFFF"/>
          <w:lang w:val="en-US" w:eastAsia="zh-CN"/>
        </w:rPr>
        <w:t>2023年度在职3人，24年度在职2人，经</w:t>
      </w:r>
      <w:r>
        <w:rPr>
          <w:rFonts w:hint="eastAsia" w:ascii="Times New Roman" w:hAnsi="Times New Roman" w:eastAsia="方正仿宋_GBK" w:cs="Times New Roman"/>
          <w:b w:val="0"/>
          <w:bCs w:val="0"/>
          <w:color w:val="auto"/>
          <w:sz w:val="32"/>
          <w:szCs w:val="32"/>
          <w:lang w:val="en-US" w:eastAsia="zh-CN"/>
        </w:rPr>
        <w:t>费减少</w:t>
      </w:r>
      <w:r>
        <w:rPr>
          <w:rFonts w:hint="default" w:ascii="Times New Roman" w:hAnsi="Times New Roman" w:eastAsia="方正仿宋_GBK" w:cs="Times New Roman"/>
          <w:b w:val="0"/>
          <w:bCs w:val="0"/>
          <w:color w:val="auto"/>
          <w:sz w:val="32"/>
          <w:szCs w:val="32"/>
        </w:rPr>
        <w:t>。公用经费用途主要包括</w:t>
      </w:r>
      <w:r>
        <w:rPr>
          <w:rFonts w:hint="eastAsia" w:ascii="Times New Roman" w:hAnsi="Times New Roman" w:eastAsia="方正仿宋_GBK" w:cs="Times New Roman"/>
          <w:b w:val="0"/>
          <w:bCs w:val="0"/>
          <w:color w:val="auto"/>
          <w:sz w:val="32"/>
          <w:szCs w:val="32"/>
        </w:rPr>
        <w:t>办公费、水费、电费、邮电费、物业管理费、工会经费、福利费等</w:t>
      </w:r>
      <w:r>
        <w:rPr>
          <w:rFonts w:hint="default" w:ascii="Times New Roman" w:hAnsi="Times New Roman" w:eastAsia="方正仿宋_GBK" w:cs="Times New Roman"/>
          <w:b w:val="0"/>
          <w:bCs w:val="0"/>
          <w:color w:val="auto"/>
          <w:sz w:val="32"/>
          <w:szCs w:val="32"/>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（五）政府性基金预算收支决算情况说明</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cs="宋体"/>
          <w:color w:val="auto"/>
          <w:kern w:val="0"/>
          <w:szCs w:val="32"/>
        </w:rPr>
      </w:pPr>
      <w:r>
        <w:rPr>
          <w:rFonts w:hint="eastAsia" w:ascii="方正仿宋_GBK" w:hAnsi="方正仿宋_GBK" w:eastAsia="方正仿宋_GBK" w:cs="方正仿宋_GBK"/>
          <w:color w:val="auto"/>
          <w:kern w:val="0"/>
          <w:sz w:val="32"/>
          <w:szCs w:val="32"/>
          <w:shd w:val="clear" w:color="auto" w:fill="FFFFFF"/>
        </w:rPr>
        <w:t>本单位2024年度无政府性基金预算财政拨款收支。</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（六）国有资本经营预算财政拨款支出决算情况说明</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cs="宋体"/>
          <w:color w:val="auto"/>
          <w:kern w:val="0"/>
          <w:szCs w:val="32"/>
        </w:rPr>
      </w:pPr>
      <w:r>
        <w:rPr>
          <w:rFonts w:hint="eastAsia" w:ascii="方正仿宋_GBK" w:hAnsi="方正仿宋_GBK" w:eastAsia="方正仿宋_GBK" w:cs="方正仿宋_GBK"/>
          <w:color w:val="auto"/>
          <w:kern w:val="0"/>
          <w:sz w:val="32"/>
          <w:szCs w:val="32"/>
          <w:shd w:val="clear" w:color="auto" w:fill="FFFFFF"/>
        </w:rPr>
        <w:t>本单位2024年度无国有资本经营预算财政拨款支出。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三、“三公”经费情况说明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（一）“三公”经费支出总体情况说明</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cs="宋体"/>
          <w:color w:val="auto"/>
          <w:kern w:val="0"/>
          <w:szCs w:val="32"/>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年度未发生“三公”经费支出。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（二）“三公”经费分项支出情况</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auto"/>
          <w:kern w:val="0"/>
          <w:sz w:val="32"/>
          <w:szCs w:val="32"/>
          <w:shd w:val="clear" w:color="auto" w:fill="FFFFFF"/>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eastAsia="方正仿宋_GBK"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年度未发生因公出国（境）费用。</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auto"/>
          <w:kern w:val="0"/>
          <w:sz w:val="32"/>
          <w:szCs w:val="32"/>
          <w:shd w:val="clear" w:color="auto" w:fill="D9D9D9"/>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eastAsia="方正仿宋_GBK"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年度未发生公务车购置费。</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eastAsia="方正仿宋_GBK"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年度未发生公务车运行维护费。</w:t>
      </w:r>
    </w:p>
    <w:p>
      <w:pPr>
        <w:keepNext w:val="0"/>
        <w:keepLines w:val="0"/>
        <w:pageBreakBefore w:val="0"/>
        <w:widowControl w:val="0"/>
        <w:kinsoku/>
        <w:wordWrap/>
        <w:overflowPunct/>
        <w:topLinePunct w:val="0"/>
        <w:autoSpaceDN/>
        <w:bidi w:val="0"/>
        <w:spacing w:line="600" w:lineRule="exact"/>
        <w:ind w:firstLine="640" w:firstLineChars="200"/>
        <w:textAlignment w:val="auto"/>
        <w:rPr>
          <w:rFonts w:cs="宋体"/>
          <w:color w:val="auto"/>
          <w:kern w:val="0"/>
          <w:szCs w:val="32"/>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年度未发生公务接待费。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（三）“三公”经费实物量情况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cs="宋体"/>
          <w:color w:val="auto"/>
          <w:kern w:val="0"/>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w:t>
      </w:r>
      <w:r>
        <w:rPr>
          <w:rFonts w:hint="eastAsia" w:ascii="方正仿宋_GBK" w:hAnsi="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四、其他需要说明的事项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（一）一般公共预算财政拨款会议费和培训费情况说明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本单位未发生</w:t>
      </w:r>
      <w:r>
        <w:rPr>
          <w:rFonts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val="en-US" w:eastAsia="zh-CN"/>
        </w:rPr>
        <w:t>和</w:t>
      </w:r>
      <w:r>
        <w:rPr>
          <w:rFonts w:ascii="方正仿宋_GBK" w:hAnsi="方正仿宋_GBK" w:eastAsia="方正仿宋_GBK" w:cs="方正仿宋_GBK"/>
          <w:color w:val="auto"/>
          <w:sz w:val="32"/>
          <w:szCs w:val="32"/>
          <w:shd w:val="clear" w:color="auto" w:fill="FFFFFF"/>
        </w:rPr>
        <w:t>培训费支出</w:t>
      </w:r>
      <w:r>
        <w:rPr>
          <w:rFonts w:hint="eastAsia" w:ascii="方正仿宋_GBK" w:hAnsi="方正仿宋_GBK" w:eastAsia="方正仿宋_GBK" w:cs="方正仿宋_GBK"/>
          <w:color w:val="auto"/>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（二）机关运行经费情况说明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按照部门决算列报口径，我单位不在机关运行经费统计范围之内。</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（三）国有资产占用情况说明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cs="宋体"/>
          <w:color w:val="auto"/>
          <w:kern w:val="0"/>
          <w:szCs w:val="32"/>
        </w:rPr>
      </w:pPr>
      <w:r>
        <w:rPr>
          <w:rFonts w:hint="eastAsia" w:ascii="方正仿宋_GBK" w:hAnsi="方正仿宋_GBK" w:eastAsia="方正仿宋_GBK" w:cs="方正仿宋_GBK"/>
          <w:b w:val="0"/>
          <w:bCs w:val="0"/>
          <w:color w:val="auto"/>
          <w:kern w:val="0"/>
          <w:sz w:val="32"/>
          <w:szCs w:val="32"/>
          <w:shd w:val="clear" w:color="auto" w:fill="FFFFFF"/>
        </w:rPr>
        <w:t>本单位无国有资产占用情况</w:t>
      </w:r>
      <w:r>
        <w:rPr>
          <w:rFonts w:hint="eastAsia" w:ascii="方正仿宋_GBK" w:hAnsi="方正仿宋_GBK" w:eastAsia="方正仿宋_GBK" w:cs="方正仿宋_GBK"/>
          <w:b w:val="0"/>
          <w:bCs w:val="0"/>
          <w:color w:val="auto"/>
          <w:kern w:val="0"/>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（四）政府采购支出情况说明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0"/>
          <w:sz w:val="32"/>
          <w:szCs w:val="32"/>
          <w:shd w:val="clear" w:color="auto" w:fill="FFFFFF"/>
        </w:rPr>
      </w:pPr>
      <w:r>
        <w:rPr>
          <w:rFonts w:hint="eastAsia" w:ascii="方正仿宋_GBK" w:hAnsi="方正仿宋_GBK" w:eastAsia="方正仿宋_GBK" w:cs="方正仿宋_GBK"/>
          <w:b w:val="0"/>
          <w:bCs w:val="0"/>
          <w:color w:val="auto"/>
          <w:kern w:val="0"/>
          <w:sz w:val="32"/>
          <w:szCs w:val="32"/>
          <w:shd w:val="clear" w:color="auto" w:fill="FFFFFF"/>
        </w:rPr>
        <w:t>2024年度我单位未发生政府采购事项，无相关经费支出。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五、预算绩效管理情况说明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（一）单位自评情况</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960" w:firstLineChars="300"/>
        <w:textAlignment w:val="auto"/>
        <w:rPr>
          <w:rFonts w:hint="eastAsia" w:cs="宋体"/>
          <w:color w:val="auto"/>
          <w:kern w:val="0"/>
          <w:szCs w:val="32"/>
        </w:rPr>
      </w:pPr>
      <w:r>
        <w:rPr>
          <w:rFonts w:hint="eastAsia" w:ascii="方正仿宋_GBK" w:hAnsi="方正仿宋_GBK" w:eastAsia="方正仿宋_GBK" w:cs="方正仿宋_GBK"/>
          <w:color w:val="auto"/>
          <w:sz w:val="32"/>
          <w:szCs w:val="32"/>
          <w:lang w:val="en-US" w:eastAsia="zh-CN" w:bidi="ar-SA"/>
        </w:rPr>
        <w:t>我单位未开展绩效自评。</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（二）部门重点绩效评价情况</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960" w:firstLineChars="300"/>
        <w:textAlignment w:val="auto"/>
        <w:rPr>
          <w:rFonts w:hint="eastAsia" w:ascii="Times New Roman" w:hAnsi="Times New Roman" w:eastAsia="方正仿宋_GBK" w:cs="Times New Roman"/>
          <w:b w:val="0"/>
          <w:bCs w:val="0"/>
          <w:color w:val="auto"/>
          <w:sz w:val="32"/>
          <w:szCs w:val="32"/>
          <w:lang w:val="en-US" w:eastAsia="zh-CN" w:bidi="ar-SA"/>
        </w:rPr>
      </w:pPr>
      <w:r>
        <w:rPr>
          <w:rFonts w:hint="eastAsia" w:ascii="Times New Roman" w:hAnsi="Times New Roman" w:eastAsia="方正仿宋_GBK" w:cs="Times New Roman"/>
          <w:b w:val="0"/>
          <w:bCs w:val="0"/>
          <w:color w:val="auto"/>
          <w:sz w:val="32"/>
          <w:szCs w:val="32"/>
          <w:lang w:val="en-US" w:eastAsia="zh-CN" w:bidi="ar-SA"/>
        </w:rPr>
        <w:t>我单位未开展重点绩效评价。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（三）财政绩效评价情况</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sz w:val="32"/>
          <w:szCs w:val="32"/>
          <w:lang w:val="en-US" w:eastAsia="zh-CN" w:bidi="ar-SA"/>
        </w:rPr>
        <w:t>财政局未委托第三方对我单位开展绩效评价。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六、专业名词解释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取得的财政拨款，包括一般公共预算财政拨款和政府性基金预算财政拨款。</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以外的同级单位取得的经费、从非本级财政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取得的经费，以及行政单位收到的财政专户管理资金反映在本项内。</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集中安排的用于购置固定资产、战略性和应急性储备、土地和无形资产，以及构建基础设施、大型修缮和财政支持企业更新改造所发生的支出。</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七、决算公开联系方式及信息反馈渠道</w:t>
      </w:r>
    </w:p>
    <w:p>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Style w:val="11"/>
          <w:rFonts w:hint="eastAsia" w:ascii="黑体" w:hAnsi="黑体" w:eastAsia="黑体" w:cs="黑体"/>
          <w:color w:val="auto"/>
          <w:sz w:val="32"/>
          <w:szCs w:val="32"/>
          <w:highlight w:val="yellow"/>
          <w:shd w:val="clear" w:color="auto"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023-86182888</w:t>
      </w:r>
    </w:p>
    <w:p>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p>
    <w:p>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附件：1.收入支出决算总表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2.收入决算表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3.支出决算表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4.财政拨款收入支出决算总表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5.一般公共预算财政拨款支出决算表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6.一般公共预算财政拨款基本支出决算表</w:t>
      </w:r>
    </w:p>
    <w:p>
      <w:pPr>
        <w:keepNext w:val="0"/>
        <w:keepLines w:val="0"/>
        <w:pageBreakBefore w:val="0"/>
        <w:widowControl w:val="0"/>
        <w:kinsoku/>
        <w:wordWrap/>
        <w:overflowPunct/>
        <w:topLinePunct w:val="0"/>
        <w:autoSpaceDN/>
        <w:bidi w:val="0"/>
        <w:adjustRightInd w:val="0"/>
        <w:snapToGrid w:val="0"/>
        <w:spacing w:line="600" w:lineRule="exact"/>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 xml:space="preserve">          7.政府性基金预算财政拨款收入支出决算表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8.国有资本经营预算财政拨款支出决算表</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9.机构运行信息表</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val="0"/>
        <w:autoSpaceDN/>
        <w:bidi w:val="0"/>
        <w:spacing w:line="596" w:lineRule="exact"/>
        <w:ind w:firstLine="640"/>
        <w:jc w:val="both"/>
        <w:textAlignment w:val="auto"/>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p>
      <w:pPr>
        <w:rPr>
          <w:rFonts w:hint="default" w:cs="宋体"/>
          <w:color w:val="auto"/>
          <w:sz w:val="21"/>
          <w:szCs w:val="21"/>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rPr>
            </w:pPr>
            <w:r>
              <w:rPr>
                <w:rFonts w:cs="宋体"/>
                <w:color w:val="auto"/>
                <w:sz w:val="20"/>
                <w:szCs w:val="20"/>
              </w:rPr>
              <w:t>单位：</w:t>
            </w:r>
            <w:r>
              <w:rPr>
                <w:color w:val="auto"/>
                <w:sz w:val="20"/>
                <w:u w:color="auto"/>
              </w:rPr>
              <w:t>重庆市九龙坡区黄桷坪街道社会管理信息服务中心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w:t>
            </w:r>
            <w:r>
              <w:rPr>
                <w:rFonts w:cs="宋体"/>
                <w:color w:val="auto"/>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61.27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41.62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14.01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61.27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61.27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61.27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61.27</w:t>
            </w:r>
            <w:r>
              <w:rPr>
                <w:rFonts w:ascii="Times New Roman" w:hAnsi="Times New Roman"/>
                <w:color w:val="auto"/>
                <w:sz w:val="20"/>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p>
    <w:tbl>
      <w:tblPr>
        <w:tblStyle w:val="9"/>
        <w:tblW w:w="15503" w:type="dxa"/>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9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重庆市九龙坡区黄桷坪街道社会管理信息服务中心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93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w:t>
            </w:r>
            <w:r>
              <w:rPr>
                <w:rFonts w:cs="宋体"/>
                <w:color w:val="auto"/>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5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61.27</w:t>
            </w:r>
            <w:r>
              <w:rPr>
                <w:rFonts w:ascii="Times New Roman" w:hAnsi="Times New Roman"/>
                <w:b/>
                <w:color w:val="auto"/>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61.27</w:t>
            </w:r>
            <w:r>
              <w:rPr>
                <w:rFonts w:ascii="Times New Roman" w:hAnsi="Times New Roman"/>
                <w:b/>
                <w:color w:val="auto"/>
                <w:sz w:val="20"/>
                <w:u w:color="auto"/>
              </w:rPr>
              <w:t xml:space="preserve"> </w:t>
            </w:r>
          </w:p>
        </w:tc>
        <w:tc>
          <w:tcPr>
            <w:tcW w:w="12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41.62</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41.62</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5.72</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5.72</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1.67</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1.67</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3.22</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3.22</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0.33</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0.33</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9"/>
        <w:tblW w:w="15323" w:type="dxa"/>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Layout w:type="fixed"/>
          <w:tblCellMar>
            <w:top w:w="0" w:type="dxa"/>
            <w:left w:w="0" w:type="dxa"/>
            <w:bottom w:w="0" w:type="dxa"/>
            <w:right w:w="0" w:type="dxa"/>
          </w:tblCellMar>
        </w:tblPrEx>
        <w:trPr>
          <w:trHeight w:val="65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73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rFonts w:cs="宋体"/>
                <w:color w:val="auto"/>
                <w:sz w:val="20"/>
                <w:szCs w:val="20"/>
              </w:rPr>
              <w:t>：</w:t>
            </w:r>
            <w:r>
              <w:rPr>
                <w:color w:val="auto"/>
                <w:sz w:val="20"/>
                <w:u w:color="auto"/>
              </w:rPr>
              <w:t xml:space="preserve">重庆市九龙坡区黄桷坪街道社会管理信息服务中心 </w:t>
            </w: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73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w:t>
            </w:r>
            <w:r>
              <w:rPr>
                <w:rFonts w:cs="宋体"/>
                <w:color w:val="auto"/>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61.27</w:t>
            </w:r>
            <w:r>
              <w:rPr>
                <w:rFonts w:ascii="Times New Roman" w:hAnsi="Times New Roman"/>
                <w:b/>
                <w:color w:val="auto"/>
                <w:sz w:val="20"/>
                <w:u w:color="auto"/>
              </w:rPr>
              <w:t xml:space="preserve"> </w:t>
            </w:r>
          </w:p>
        </w:tc>
        <w:tc>
          <w:tcPr>
            <w:tcW w:w="17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61.27</w:t>
            </w:r>
            <w:r>
              <w:rPr>
                <w:rFonts w:ascii="Times New Roman" w:hAnsi="Times New Roman"/>
                <w:b/>
                <w:color w:val="auto"/>
                <w:sz w:val="20"/>
                <w:u w:color="auto"/>
              </w:rPr>
              <w:t xml:space="preserve"> </w:t>
            </w:r>
          </w:p>
        </w:tc>
        <w:tc>
          <w:tcPr>
            <w:tcW w:w="1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41.62</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41.62</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5.72</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5.72</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1.67</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1.67</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3.22</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3.22</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0.33</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0.33</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rFonts w:cs="宋体"/>
                <w:color w:val="auto"/>
                <w:sz w:val="20"/>
                <w:szCs w:val="20"/>
              </w:rPr>
              <w:t>：</w:t>
            </w:r>
            <w:r>
              <w:rPr>
                <w:color w:val="auto"/>
                <w:sz w:val="20"/>
                <w:u w:color="auto"/>
              </w:rPr>
              <w:t>重庆市九龙坡区黄桷坪街道社会管理信息服务中心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w:t>
            </w:r>
            <w:r>
              <w:rPr>
                <w:rFonts w:cs="宋体"/>
                <w:color w:val="auto"/>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61.27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41.62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41.62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14.01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14.01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61.27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61.27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61.27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61.27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61.27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61.27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rFonts w:cs="宋体"/>
                <w:color w:val="auto"/>
                <w:sz w:val="20"/>
                <w:szCs w:val="20"/>
              </w:rPr>
              <w:t>：</w:t>
            </w:r>
            <w:r>
              <w:rPr>
                <w:color w:val="auto"/>
                <w:sz w:val="20"/>
                <w:u w:color="auto"/>
              </w:rPr>
              <w:t>重庆市九龙坡区黄桷坪街道社会管理信息服务中心</w:t>
            </w: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w:t>
            </w:r>
            <w:r>
              <w:rPr>
                <w:rFonts w:cs="宋体"/>
                <w:color w:val="auto"/>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61.27</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61.27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41.62</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41.62</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41.62</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14.01</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5.72</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5.72</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2.81</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2.81</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5.47</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5.47</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2.11</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1.67</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1.67</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3.54</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3.22</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3.22</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0.33</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0.33</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Layout w:type="fixed"/>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rFonts w:cs="宋体"/>
                <w:color w:val="auto"/>
                <w:sz w:val="20"/>
                <w:szCs w:val="20"/>
              </w:rPr>
              <w:t>：</w:t>
            </w:r>
            <w:r>
              <w:rPr>
                <w:color w:val="auto"/>
                <w:sz w:val="20"/>
                <w:u w:color="auto"/>
              </w:rPr>
              <w:t>重庆市九龙坡区黄桷坪街道社会管理信息服务中心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w:t>
            </w:r>
            <w:r>
              <w:rPr>
                <w:rFonts w:cs="宋体"/>
                <w:color w:val="auto"/>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45.27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10.42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9.24</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7.16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0.71</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21.04</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5.72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0.11</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2.81</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1.35</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3.22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0.62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5.38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0.20</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50.85</w:t>
            </w:r>
            <w:r>
              <w:rPr>
                <w:rFonts w:ascii="Times New Roman" w:hAnsi="Times New Roman"/>
                <w:color w:val="auto"/>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10.42</w:t>
            </w:r>
            <w:r>
              <w:rPr>
                <w:rFonts w:ascii="Times New Roman" w:hAnsi="Times New Roman"/>
                <w:color w:val="auto"/>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Layout w:type="fixed"/>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rFonts w:cs="宋体"/>
                <w:color w:val="auto"/>
                <w:sz w:val="20"/>
                <w:szCs w:val="20"/>
              </w:rPr>
              <w:t>：</w:t>
            </w:r>
            <w:r>
              <w:rPr>
                <w:color w:val="auto"/>
                <w:sz w:val="20"/>
                <w:u w:color="auto"/>
              </w:rPr>
              <w:t>重庆市九龙坡区黄桷坪街道社会管理信息服务中心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w:t>
            </w:r>
            <w:r>
              <w:rPr>
                <w:rFonts w:cs="宋体"/>
                <w:color w:val="auto"/>
                <w:sz w:val="20"/>
                <w:szCs w:val="20"/>
              </w:rPr>
              <w:t>万元</w:t>
            </w:r>
          </w:p>
        </w:tc>
      </w:tr>
      <w:tr>
        <w:tblPrEx>
          <w:tblLayout w:type="fixed"/>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rFonts w:cs="宋体"/>
                <w:color w:val="auto"/>
                <w:sz w:val="20"/>
                <w:szCs w:val="20"/>
              </w:rPr>
              <w:t>：</w:t>
            </w:r>
            <w:r>
              <w:rPr>
                <w:color w:val="auto"/>
                <w:sz w:val="20"/>
                <w:u w:color="auto"/>
              </w:rPr>
              <w:t>重庆市九龙坡区黄桷坪街道社会管理信息服务中心</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w:t>
            </w:r>
            <w:r>
              <w:rPr>
                <w:rFonts w:cs="宋体"/>
                <w:color w:val="auto"/>
                <w:sz w:val="20"/>
                <w:szCs w:val="20"/>
              </w:rPr>
              <w:t>万元</w:t>
            </w:r>
          </w:p>
        </w:tc>
      </w:tr>
      <w:tr>
        <w:tblPrEx>
          <w:tblLayout w:type="fixed"/>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9"/>
        <w:tblW w:w="14130" w:type="dxa"/>
        <w:tblInd w:w="0" w:type="dxa"/>
        <w:tblLayout w:type="fixed"/>
        <w:tblCellMar>
          <w:top w:w="0" w:type="dxa"/>
          <w:left w:w="170" w:type="dxa"/>
          <w:bottom w:w="0" w:type="dxa"/>
          <w:right w:w="170" w:type="dxa"/>
        </w:tblCellMar>
      </w:tblPr>
      <w:tblGrid>
        <w:gridCol w:w="3179"/>
        <w:gridCol w:w="2415"/>
        <w:gridCol w:w="2376"/>
        <w:gridCol w:w="3674"/>
        <w:gridCol w:w="2486"/>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15" w:type="dxa"/>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6" w:type="dxa"/>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重庆市九龙坡区黄桷坪街道社会管理信息服务中心</w:t>
            </w:r>
          </w:p>
        </w:tc>
        <w:tc>
          <w:tcPr>
            <w:tcW w:w="23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w:t>
            </w:r>
            <w:r>
              <w:rPr>
                <w:rFonts w:cs="宋体"/>
                <w:color w:val="auto"/>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color w:val="auto"/>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1559DF"/>
    <w:rsid w:val="01474EBF"/>
    <w:rsid w:val="019020B1"/>
    <w:rsid w:val="01F3521E"/>
    <w:rsid w:val="02056D00"/>
    <w:rsid w:val="03A52548"/>
    <w:rsid w:val="03E3214F"/>
    <w:rsid w:val="03E8734E"/>
    <w:rsid w:val="04446191"/>
    <w:rsid w:val="044C50BA"/>
    <w:rsid w:val="04E845D8"/>
    <w:rsid w:val="0536621F"/>
    <w:rsid w:val="05E71467"/>
    <w:rsid w:val="06215C9C"/>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4296"/>
    <w:rsid w:val="0A0C7F04"/>
    <w:rsid w:val="0A227275"/>
    <w:rsid w:val="0A5C4B69"/>
    <w:rsid w:val="0B9335CE"/>
    <w:rsid w:val="0BA10C97"/>
    <w:rsid w:val="0C31630B"/>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0D65168"/>
    <w:rsid w:val="11003CB0"/>
    <w:rsid w:val="11124E18"/>
    <w:rsid w:val="111445C7"/>
    <w:rsid w:val="1158083A"/>
    <w:rsid w:val="11A42091"/>
    <w:rsid w:val="11F03528"/>
    <w:rsid w:val="12771554"/>
    <w:rsid w:val="129973FF"/>
    <w:rsid w:val="12C921C4"/>
    <w:rsid w:val="12DA353E"/>
    <w:rsid w:val="13850DCB"/>
    <w:rsid w:val="13871C70"/>
    <w:rsid w:val="13A71CB4"/>
    <w:rsid w:val="13AF1D43"/>
    <w:rsid w:val="13B33EB7"/>
    <w:rsid w:val="13CE1647"/>
    <w:rsid w:val="14200702"/>
    <w:rsid w:val="144F3F11"/>
    <w:rsid w:val="1580711B"/>
    <w:rsid w:val="15D916DB"/>
    <w:rsid w:val="16D80EBF"/>
    <w:rsid w:val="17240045"/>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8A70E5"/>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670CA0"/>
    <w:rsid w:val="2A73162E"/>
    <w:rsid w:val="2AFA2E94"/>
    <w:rsid w:val="2B167953"/>
    <w:rsid w:val="2B200583"/>
    <w:rsid w:val="2B4104F9"/>
    <w:rsid w:val="2B8209DE"/>
    <w:rsid w:val="2BD03E7A"/>
    <w:rsid w:val="2C6762A3"/>
    <w:rsid w:val="2CFF31DC"/>
    <w:rsid w:val="2D5F4C37"/>
    <w:rsid w:val="2D8D7A26"/>
    <w:rsid w:val="2DBC059C"/>
    <w:rsid w:val="2FE029D7"/>
    <w:rsid w:val="2FF06E00"/>
    <w:rsid w:val="315F0B22"/>
    <w:rsid w:val="31BE24D6"/>
    <w:rsid w:val="31D84415"/>
    <w:rsid w:val="32285F6F"/>
    <w:rsid w:val="32770556"/>
    <w:rsid w:val="329C0913"/>
    <w:rsid w:val="3337290D"/>
    <w:rsid w:val="334B0167"/>
    <w:rsid w:val="348D791C"/>
    <w:rsid w:val="35076329"/>
    <w:rsid w:val="352930DB"/>
    <w:rsid w:val="35573069"/>
    <w:rsid w:val="358C217E"/>
    <w:rsid w:val="359E7284"/>
    <w:rsid w:val="359F188C"/>
    <w:rsid w:val="36C9128A"/>
    <w:rsid w:val="37841E99"/>
    <w:rsid w:val="379C594F"/>
    <w:rsid w:val="37B10326"/>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2A1C76"/>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7728D9"/>
    <w:rsid w:val="529F078E"/>
    <w:rsid w:val="53990623"/>
    <w:rsid w:val="53C0244D"/>
    <w:rsid w:val="53DD4D4E"/>
    <w:rsid w:val="53E578CE"/>
    <w:rsid w:val="53EA10F5"/>
    <w:rsid w:val="541768A0"/>
    <w:rsid w:val="543B029D"/>
    <w:rsid w:val="54977029"/>
    <w:rsid w:val="554E5773"/>
    <w:rsid w:val="555A3CBC"/>
    <w:rsid w:val="55EF4EA6"/>
    <w:rsid w:val="56530F5D"/>
    <w:rsid w:val="56A5222F"/>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385FA8"/>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D410D"/>
    <w:rsid w:val="663F505A"/>
    <w:rsid w:val="667F2393"/>
    <w:rsid w:val="66D73773"/>
    <w:rsid w:val="66EE5541"/>
    <w:rsid w:val="67086152"/>
    <w:rsid w:val="687E45FE"/>
    <w:rsid w:val="692172FD"/>
    <w:rsid w:val="6A3829EE"/>
    <w:rsid w:val="6A924CB7"/>
    <w:rsid w:val="6AE0292E"/>
    <w:rsid w:val="6B474EF5"/>
    <w:rsid w:val="6B7A744C"/>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0F1F46"/>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4367</Words>
  <Characters>4715</Characters>
  <Lines>161</Lines>
  <Paragraphs>45</Paragraphs>
  <TotalTime>25</TotalTime>
  <ScaleCrop>false</ScaleCrop>
  <LinksUpToDate>false</LinksUpToDate>
  <CharactersWithSpaces>4775</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重庆市九龙坡区人民政府黄桷坪街道办事处</cp:lastModifiedBy>
  <dcterms:modified xsi:type="dcterms:W3CDTF">2025-10-27T00:57:47Z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BB46EABDBB2749749395447164B066B3_12</vt:lpwstr>
  </property>
  <property fmtid="{D5CDD505-2E9C-101B-9397-08002B2CF9AE}" pid="4" name="KSOTemplateDocerSaveRecord">
    <vt:lpwstr>eyJoZGlkIjoiM2M3ZTc1MjVhMmZiY2VlN2UyNTA0MzA3OTYxYmFkZDkiLCJ1c2VySWQiOiIzODA0NzAzMDUifQ==</vt:lpwstr>
  </property>
</Properties>
</file>