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N/>
        <w:bidi w:val="0"/>
        <w:adjustRightInd w:val="0"/>
        <w:snapToGrid w:val="0"/>
        <w:spacing w:beforeAutospacing="0" w:afterAutospacing="0" w:line="594" w:lineRule="exact"/>
        <w:jc w:val="center"/>
        <w:textAlignment w:val="auto"/>
        <w:rPr>
          <w:szCs w:val="32"/>
        </w:rPr>
      </w:pPr>
      <w:r>
        <w:rPr>
          <w:rFonts w:ascii="方正小标宋_GBK" w:hAnsi="方正小标宋_GBK" w:eastAsia="方正小标宋_GBK" w:cs="方正小标宋_GBK"/>
          <w:sz w:val="44"/>
          <w:szCs w:val="44"/>
        </w:rPr>
        <w:t>重庆市九龙坡区黄桷坪街道社区文化服务中心</w:t>
      </w:r>
      <w:r>
        <w:rPr>
          <w:rFonts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一、部门基本情况</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kern w:val="0"/>
          <w:szCs w:val="32"/>
        </w:rPr>
      </w:pPr>
      <w:r>
        <w:rPr>
          <w:rFonts w:hint="default" w:ascii="Times New Roman" w:hAnsi="Times New Roman" w:eastAsia="方正仿宋_GBK" w:cs="Times New Roman"/>
          <w:b w:val="0"/>
          <w:bCs/>
          <w:sz w:val="32"/>
          <w:szCs w:val="32"/>
        </w:rPr>
        <w:t>对广大群众进行时事政策宣传和法制教育；组织开展群众文体活动和广播、电视、电影播放活动；指导群众文艺团队建设，辅导和培训群众文艺骨干；举办各类展览、讲座、提供图书报刊借阅服务，普及科学文化知识；指导和辅导社区文化室开展各种业务活动；协助有关单位配送公共文化资源，开展流动文化服务；开展数字文化信息服务，建设和维护文化信息资源共享工程基层服务点；协助开展文化遗产的普查、宣传和保护工作；受委托做好文化市场管理及监督工作，发现重大问题或事故，依法采取应急措施并及时上报。</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（二）机构设置</w:t>
      </w:r>
    </w:p>
    <w:p>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594" w:lineRule="exact"/>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b w:val="0"/>
          <w:bCs/>
          <w:sz w:val="32"/>
          <w:szCs w:val="32"/>
        </w:rPr>
        <w:t>“重庆市九龙坡区黄桷坪街道社区文化服务中心”为正科级公益一类事业单位。</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二、单位决算收支情况说明</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（一）收入支出决算总体情况说明。</w:t>
      </w:r>
    </w:p>
    <w:p>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w:t>
      </w:r>
      <w:r>
        <w:rPr>
          <w:rFonts w:hint="eastAsia" w:ascii="方正仿宋_GBK" w:hAnsi="方正仿宋_GBK" w:eastAsia="方正仿宋_GBK" w:cs="方正仿宋_GBK"/>
          <w:sz w:val="32"/>
          <w:szCs w:val="32"/>
          <w:shd w:val="clear" w:color="auto" w:fill="FFFFFF"/>
        </w:rPr>
        <w:t>总计76.32万元，支出总计</w:t>
      </w:r>
      <w:r>
        <w:rPr>
          <w:rFonts w:hint="eastAsia" w:ascii="方正仿宋_GBK" w:hAnsi="方正仿宋_GBK" w:eastAsia="方正仿宋_GBK" w:cs="方正仿宋_GBK"/>
          <w:sz w:val="32"/>
          <w:szCs w:val="32"/>
        </w:rPr>
        <w:t>76.32</w:t>
      </w:r>
      <w:r>
        <w:rPr>
          <w:rFonts w:hint="eastAsia" w:ascii="方正仿宋_GBK" w:hAnsi="方正仿宋_GBK" w:eastAsia="方正仿宋_GBK" w:cs="方正仿宋_GBK"/>
          <w:sz w:val="32"/>
          <w:szCs w:val="32"/>
          <w:shd w:val="clear" w:color="auto" w:fill="FFFFFF"/>
        </w:rPr>
        <w:t>万元。收、支与2023年度相比，增加1.69万元，增长2.3%，主要原因是</w:t>
      </w:r>
      <w:r>
        <w:rPr>
          <w:rFonts w:hint="eastAsia" w:ascii="方正仿宋_GBK" w:hAnsi="方正仿宋_GBK" w:eastAsia="方正仿宋_GBK" w:cs="方正仿宋_GBK"/>
          <w:color w:val="auto"/>
          <w:kern w:val="0"/>
          <w:sz w:val="32"/>
          <w:szCs w:val="32"/>
        </w:rPr>
        <w:t>在职人员</w:t>
      </w:r>
      <w:r>
        <w:rPr>
          <w:rFonts w:hint="eastAsia" w:ascii="方正仿宋_GBK" w:hAnsi="方正仿宋_GBK" w:eastAsia="方正仿宋_GBK" w:cs="方正仿宋_GBK"/>
          <w:color w:val="auto"/>
          <w:kern w:val="0"/>
          <w:sz w:val="32"/>
          <w:szCs w:val="32"/>
          <w:lang w:val="en-US" w:eastAsia="zh-CN"/>
        </w:rPr>
        <w:t>工资、</w:t>
      </w:r>
      <w:r>
        <w:rPr>
          <w:rFonts w:hint="eastAsia" w:ascii="方正仿宋_GBK" w:hAnsi="方正仿宋_GBK" w:eastAsia="方正仿宋_GBK" w:cs="方正仿宋_GBK"/>
          <w:color w:val="auto"/>
          <w:kern w:val="0"/>
          <w:sz w:val="32"/>
          <w:szCs w:val="32"/>
        </w:rPr>
        <w:t>养老保险和职业年金预算</w:t>
      </w:r>
      <w:r>
        <w:rPr>
          <w:rFonts w:hint="eastAsia" w:ascii="方正仿宋_GBK" w:hAnsi="方正仿宋_GBK" w:eastAsia="方正仿宋_GBK" w:cs="方正仿宋_GBK"/>
          <w:color w:val="auto"/>
          <w:kern w:val="0"/>
          <w:sz w:val="32"/>
          <w:szCs w:val="32"/>
          <w:lang w:val="en-US" w:eastAsia="zh-CN"/>
        </w:rPr>
        <w:t>政策性调整、</w:t>
      </w:r>
      <w:r>
        <w:rPr>
          <w:rFonts w:hint="eastAsia" w:ascii="方正仿宋_GBK" w:hAnsi="方正仿宋_GBK" w:eastAsia="方正仿宋_GBK" w:cs="方正仿宋_GBK"/>
          <w:color w:val="auto"/>
          <w:kern w:val="0"/>
          <w:sz w:val="32"/>
          <w:szCs w:val="32"/>
        </w:rPr>
        <w:t>事业单位超额绩效清算</w:t>
      </w:r>
      <w:r>
        <w:rPr>
          <w:rFonts w:hint="eastAsia" w:ascii="方正仿宋_GBK" w:hAnsi="方正仿宋_GBK" w:eastAsia="方正仿宋_GBK" w:cs="方正仿宋_GBK"/>
          <w:color w:val="auto"/>
          <w:kern w:val="0"/>
          <w:sz w:val="32"/>
          <w:szCs w:val="32"/>
          <w:lang w:val="en-US" w:eastAsia="zh-CN"/>
        </w:rPr>
        <w:t>补发等</w:t>
      </w:r>
      <w:r>
        <w:rPr>
          <w:rFonts w:hint="eastAsia"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度收入合计76.32万元，与2023年度相比，增加1.69万元，增长2.3%，主要原因是</w:t>
      </w:r>
      <w:r>
        <w:rPr>
          <w:rFonts w:hint="eastAsia" w:ascii="方正仿宋_GBK" w:hAnsi="方正仿宋_GBK" w:eastAsia="方正仿宋_GBK" w:cs="方正仿宋_GBK"/>
          <w:color w:val="auto"/>
          <w:kern w:val="0"/>
          <w:sz w:val="32"/>
          <w:szCs w:val="32"/>
        </w:rPr>
        <w:t>在职人员</w:t>
      </w:r>
      <w:r>
        <w:rPr>
          <w:rFonts w:hint="eastAsia" w:ascii="方正仿宋_GBK" w:hAnsi="方正仿宋_GBK" w:eastAsia="方正仿宋_GBK" w:cs="方正仿宋_GBK"/>
          <w:color w:val="auto"/>
          <w:kern w:val="0"/>
          <w:sz w:val="32"/>
          <w:szCs w:val="32"/>
          <w:lang w:val="en-US" w:eastAsia="zh-CN"/>
        </w:rPr>
        <w:t>工资、</w:t>
      </w:r>
      <w:r>
        <w:rPr>
          <w:rFonts w:hint="eastAsia" w:ascii="方正仿宋_GBK" w:hAnsi="方正仿宋_GBK" w:eastAsia="方正仿宋_GBK" w:cs="方正仿宋_GBK"/>
          <w:color w:val="auto"/>
          <w:kern w:val="0"/>
          <w:sz w:val="32"/>
          <w:szCs w:val="32"/>
        </w:rPr>
        <w:t>养老保险和职业年金预算</w:t>
      </w:r>
      <w:r>
        <w:rPr>
          <w:rFonts w:hint="eastAsia" w:ascii="方正仿宋_GBK" w:hAnsi="方正仿宋_GBK" w:eastAsia="方正仿宋_GBK" w:cs="方正仿宋_GBK"/>
          <w:color w:val="auto"/>
          <w:kern w:val="0"/>
          <w:sz w:val="32"/>
          <w:szCs w:val="32"/>
          <w:lang w:val="en-US" w:eastAsia="zh-CN"/>
        </w:rPr>
        <w:t>政策性调整、</w:t>
      </w:r>
      <w:r>
        <w:rPr>
          <w:rFonts w:hint="eastAsia" w:ascii="方正仿宋_GBK" w:hAnsi="方正仿宋_GBK" w:eastAsia="方正仿宋_GBK" w:cs="方正仿宋_GBK"/>
          <w:color w:val="auto"/>
          <w:kern w:val="0"/>
          <w:sz w:val="32"/>
          <w:szCs w:val="32"/>
        </w:rPr>
        <w:t>事业单位超额绩效清算</w:t>
      </w:r>
      <w:r>
        <w:rPr>
          <w:rFonts w:hint="eastAsia" w:ascii="方正仿宋_GBK" w:hAnsi="方正仿宋_GBK" w:eastAsia="方正仿宋_GBK" w:cs="方正仿宋_GBK"/>
          <w:color w:val="auto"/>
          <w:kern w:val="0"/>
          <w:sz w:val="32"/>
          <w:szCs w:val="32"/>
          <w:lang w:val="en-US" w:eastAsia="zh-CN"/>
        </w:rPr>
        <w:t>补发等</w:t>
      </w:r>
      <w:r>
        <w:rPr>
          <w:rFonts w:hint="eastAsia" w:ascii="方正仿宋_GBK" w:hAnsi="方正仿宋_GBK" w:eastAsia="方正仿宋_GBK" w:cs="方正仿宋_GBK"/>
          <w:color w:val="auto"/>
          <w:sz w:val="32"/>
          <w:szCs w:val="32"/>
          <w:shd w:val="clear" w:color="auto" w:fill="FFFFFF"/>
        </w:rPr>
        <w:t>。其中：财政拨款收入</w:t>
      </w:r>
      <w:r>
        <w:rPr>
          <w:rFonts w:hint="eastAsia" w:ascii="方正仿宋_GBK" w:hAnsi="方正仿宋_GBK" w:eastAsia="方正仿宋_GBK" w:cs="方正仿宋_GBK"/>
          <w:color w:val="auto"/>
          <w:sz w:val="32"/>
          <w:szCs w:val="32"/>
        </w:rPr>
        <w:t>76.32</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100.00</w:t>
      </w:r>
      <w:r>
        <w:rPr>
          <w:rFonts w:hint="eastAsia"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76.32</w:t>
      </w:r>
      <w:r>
        <w:rPr>
          <w:rFonts w:ascii="方正仿宋_GBK" w:hAnsi="方正仿宋_GBK" w:eastAsia="方正仿宋_GBK" w:cs="方正仿宋_GBK"/>
          <w:color w:val="auto"/>
          <w:sz w:val="32"/>
          <w:szCs w:val="32"/>
          <w:shd w:val="clear" w:color="auto" w:fill="FFFFFF"/>
        </w:rPr>
        <w:t>万元，与2023年度相比，增加1.69万元，增长2.3%，主</w:t>
      </w:r>
      <w:r>
        <w:rPr>
          <w:rFonts w:hint="default" w:ascii="Times New Roman" w:hAnsi="Times New Roman" w:eastAsia="方正仿宋_GBK" w:cs="Times New Roman"/>
          <w:color w:val="auto"/>
          <w:sz w:val="32"/>
          <w:szCs w:val="32"/>
          <w:shd w:val="clear" w:color="auto" w:fill="FFFFFF"/>
        </w:rPr>
        <w:t>要原因是</w:t>
      </w:r>
      <w:r>
        <w:rPr>
          <w:rFonts w:hint="default" w:ascii="Times New Roman" w:hAnsi="Times New Roman" w:eastAsia="方正仿宋_GBK" w:cs="Times New Roman"/>
          <w:color w:val="auto"/>
          <w:kern w:val="0"/>
          <w:sz w:val="32"/>
          <w:szCs w:val="32"/>
        </w:rPr>
        <w:t>在职人员</w:t>
      </w:r>
      <w:r>
        <w:rPr>
          <w:rFonts w:hint="default" w:ascii="Times New Roman" w:hAnsi="Times New Roman" w:eastAsia="方正仿宋_GBK" w:cs="Times New Roman"/>
          <w:color w:val="auto"/>
          <w:kern w:val="0"/>
          <w:sz w:val="32"/>
          <w:szCs w:val="32"/>
          <w:lang w:val="en-US" w:eastAsia="zh-CN"/>
        </w:rPr>
        <w:t>工资、</w:t>
      </w:r>
      <w:r>
        <w:rPr>
          <w:rFonts w:hint="default" w:ascii="Times New Roman" w:hAnsi="Times New Roman" w:eastAsia="方正仿宋_GBK" w:cs="Times New Roman"/>
          <w:color w:val="auto"/>
          <w:kern w:val="0"/>
          <w:sz w:val="32"/>
          <w:szCs w:val="32"/>
        </w:rPr>
        <w:t>养老保险和职业年金预算</w:t>
      </w:r>
      <w:r>
        <w:rPr>
          <w:rFonts w:hint="default" w:ascii="Times New Roman" w:hAnsi="Times New Roman" w:eastAsia="方正仿宋_GBK" w:cs="Times New Roman"/>
          <w:color w:val="auto"/>
          <w:kern w:val="0"/>
          <w:sz w:val="32"/>
          <w:szCs w:val="32"/>
          <w:lang w:val="en-US" w:eastAsia="zh-CN"/>
        </w:rPr>
        <w:t>政策性调整、</w:t>
      </w:r>
      <w:r>
        <w:rPr>
          <w:rFonts w:hint="default" w:ascii="Times New Roman" w:hAnsi="Times New Roman" w:eastAsia="方正仿宋_GBK" w:cs="Times New Roman"/>
          <w:color w:val="auto"/>
          <w:kern w:val="0"/>
          <w:sz w:val="32"/>
          <w:szCs w:val="32"/>
        </w:rPr>
        <w:t>事业单位超额绩效清算</w:t>
      </w:r>
      <w:r>
        <w:rPr>
          <w:rFonts w:hint="default" w:ascii="Times New Roman" w:hAnsi="Times New Roman" w:eastAsia="方正仿宋_GBK" w:cs="Times New Roman"/>
          <w:color w:val="auto"/>
          <w:kern w:val="0"/>
          <w:sz w:val="32"/>
          <w:szCs w:val="32"/>
          <w:lang w:val="en-US" w:eastAsia="zh-CN"/>
        </w:rPr>
        <w:t>补发等</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76.32</w:t>
      </w:r>
      <w:r>
        <w:rPr>
          <w:rFonts w:hint="default" w:ascii="Times New Roman" w:hAnsi="Times New Roman" w:eastAsia="方正仿宋_GBK" w:cs="Times New Roman"/>
          <w:color w:val="auto"/>
          <w:sz w:val="32"/>
          <w:szCs w:val="32"/>
          <w:shd w:val="clear" w:color="auto" w:fill="FFFFFF"/>
        </w:rPr>
        <w:t>万元，占100.00%。</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w:t>
      </w:r>
      <w:bookmarkStart w:id="0" w:name="_GoBack"/>
      <w:r>
        <w:rPr>
          <w:rFonts w:ascii="方正仿宋_GBK" w:hAnsi="方正仿宋_GBK" w:eastAsia="方正仿宋_GBK" w:cs="方正仿宋_GBK"/>
          <w:color w:val="auto"/>
          <w:sz w:val="32"/>
          <w:szCs w:val="32"/>
          <w:shd w:val="clear" w:color="auto" w:fill="FFFFFF"/>
        </w:rPr>
        <w:t>减。</w:t>
      </w:r>
    </w:p>
    <w:bookmarkEnd w:id="0"/>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度财政拨款收、支总计76.32万元。与202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年相比，财政拨款收、支总计各增加1.69万元，增长2.3%。主要原因是</w:t>
      </w:r>
      <w:r>
        <w:rPr>
          <w:rFonts w:hint="eastAsia" w:ascii="方正仿宋_GBK" w:hAnsi="方正仿宋_GBK" w:eastAsia="方正仿宋_GBK" w:cs="方正仿宋_GBK"/>
          <w:color w:val="auto"/>
          <w:kern w:val="0"/>
          <w:sz w:val="32"/>
          <w:szCs w:val="32"/>
        </w:rPr>
        <w:t>在职人员</w:t>
      </w:r>
      <w:r>
        <w:rPr>
          <w:rFonts w:hint="eastAsia" w:ascii="方正仿宋_GBK" w:hAnsi="方正仿宋_GBK" w:eastAsia="方正仿宋_GBK" w:cs="方正仿宋_GBK"/>
          <w:color w:val="auto"/>
          <w:kern w:val="0"/>
          <w:sz w:val="32"/>
          <w:szCs w:val="32"/>
          <w:lang w:val="en-US" w:eastAsia="zh-CN"/>
        </w:rPr>
        <w:t>工资、</w:t>
      </w:r>
      <w:r>
        <w:rPr>
          <w:rFonts w:hint="eastAsia" w:ascii="方正仿宋_GBK" w:hAnsi="方正仿宋_GBK" w:eastAsia="方正仿宋_GBK" w:cs="方正仿宋_GBK"/>
          <w:color w:val="auto"/>
          <w:kern w:val="0"/>
          <w:sz w:val="32"/>
          <w:szCs w:val="32"/>
        </w:rPr>
        <w:t>养老保险和职业年金预算</w:t>
      </w:r>
      <w:r>
        <w:rPr>
          <w:rFonts w:hint="eastAsia" w:ascii="方正仿宋_GBK" w:hAnsi="方正仿宋_GBK" w:eastAsia="方正仿宋_GBK" w:cs="方正仿宋_GBK"/>
          <w:color w:val="auto"/>
          <w:kern w:val="0"/>
          <w:sz w:val="32"/>
          <w:szCs w:val="32"/>
          <w:lang w:val="en-US" w:eastAsia="zh-CN"/>
        </w:rPr>
        <w:t>政策性调整、</w:t>
      </w:r>
      <w:r>
        <w:rPr>
          <w:rFonts w:hint="eastAsia" w:ascii="方正仿宋_GBK" w:hAnsi="方正仿宋_GBK" w:eastAsia="方正仿宋_GBK" w:cs="方正仿宋_GBK"/>
          <w:color w:val="auto"/>
          <w:kern w:val="0"/>
          <w:sz w:val="32"/>
          <w:szCs w:val="32"/>
        </w:rPr>
        <w:t>事业单位超额绩效清算</w:t>
      </w:r>
      <w:r>
        <w:rPr>
          <w:rFonts w:hint="eastAsia" w:ascii="方正仿宋_GBK" w:hAnsi="方正仿宋_GBK" w:eastAsia="方正仿宋_GBK" w:cs="方正仿宋_GBK"/>
          <w:color w:val="auto"/>
          <w:kern w:val="0"/>
          <w:sz w:val="32"/>
          <w:szCs w:val="32"/>
          <w:lang w:val="en-US" w:eastAsia="zh-CN"/>
        </w:rPr>
        <w:t>补发等</w:t>
      </w:r>
      <w:r>
        <w:rPr>
          <w:rFonts w:hint="eastAsia"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76.32</w:t>
      </w:r>
      <w:r>
        <w:rPr>
          <w:rFonts w:ascii="方正仿宋_GBK" w:hAnsi="方正仿宋_GBK" w:eastAsia="方正仿宋_GBK" w:cs="方正仿宋_GBK"/>
          <w:color w:val="auto"/>
          <w:sz w:val="32"/>
          <w:szCs w:val="32"/>
          <w:shd w:val="clear" w:color="auto" w:fill="FFFFFF"/>
        </w:rPr>
        <w:t>万元，与2023年度相比，增加1.69万元，增长2.3%。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kern w:val="0"/>
          <w:sz w:val="32"/>
          <w:szCs w:val="32"/>
        </w:rPr>
        <w:t>在职人员</w:t>
      </w:r>
      <w:r>
        <w:rPr>
          <w:rFonts w:hint="default" w:ascii="Times New Roman" w:hAnsi="Times New Roman" w:eastAsia="方正仿宋_GBK" w:cs="Times New Roman"/>
          <w:color w:val="auto"/>
          <w:kern w:val="0"/>
          <w:sz w:val="32"/>
          <w:szCs w:val="32"/>
          <w:lang w:val="en-US" w:eastAsia="zh-CN"/>
        </w:rPr>
        <w:t>工资、</w:t>
      </w:r>
      <w:r>
        <w:rPr>
          <w:rFonts w:hint="default" w:ascii="Times New Roman" w:hAnsi="Times New Roman" w:eastAsia="方正仿宋_GBK" w:cs="Times New Roman"/>
          <w:color w:val="auto"/>
          <w:kern w:val="0"/>
          <w:sz w:val="32"/>
          <w:szCs w:val="32"/>
        </w:rPr>
        <w:t>养老保险和职业年金预算</w:t>
      </w:r>
      <w:r>
        <w:rPr>
          <w:rFonts w:hint="default" w:ascii="Times New Roman" w:hAnsi="Times New Roman" w:eastAsia="方正仿宋_GBK" w:cs="Times New Roman"/>
          <w:color w:val="auto"/>
          <w:kern w:val="0"/>
          <w:sz w:val="32"/>
          <w:szCs w:val="32"/>
          <w:lang w:val="en-US" w:eastAsia="zh-CN"/>
        </w:rPr>
        <w:t>政策性调整、</w:t>
      </w:r>
      <w:r>
        <w:rPr>
          <w:rFonts w:hint="default" w:ascii="Times New Roman" w:hAnsi="Times New Roman" w:eastAsia="方正仿宋_GBK" w:cs="Times New Roman"/>
          <w:color w:val="auto"/>
          <w:kern w:val="0"/>
          <w:sz w:val="32"/>
          <w:szCs w:val="32"/>
        </w:rPr>
        <w:t>事业单位超额绩效清算</w:t>
      </w:r>
      <w:r>
        <w:rPr>
          <w:rFonts w:hint="default" w:ascii="Times New Roman" w:hAnsi="Times New Roman" w:eastAsia="方正仿宋_GBK" w:cs="Times New Roman"/>
          <w:color w:val="auto"/>
          <w:kern w:val="0"/>
          <w:sz w:val="32"/>
          <w:szCs w:val="32"/>
          <w:lang w:val="en-US" w:eastAsia="zh-CN"/>
        </w:rPr>
        <w:t>补发等</w:t>
      </w:r>
      <w:r>
        <w:rPr>
          <w:rFonts w:hint="default" w:ascii="Times New Roman" w:hAnsi="Times New Roman" w:eastAsia="方正仿宋_GBK" w:cs="Times New Roman"/>
          <w:color w:val="auto"/>
          <w:sz w:val="32"/>
          <w:szCs w:val="32"/>
          <w:shd w:val="clear" w:color="auto" w:fill="FFFFFF"/>
        </w:rPr>
        <w:t>。较年初预算</w:t>
      </w:r>
      <w:r>
        <w:rPr>
          <w:rFonts w:hint="default" w:ascii="Times New Roman" w:hAnsi="Times New Roman" w:eastAsia="方正仿宋_GBK" w:cs="Times New Roman"/>
          <w:sz w:val="32"/>
          <w:szCs w:val="32"/>
          <w:shd w:val="clear" w:color="auto" w:fill="FFFFFF"/>
        </w:rPr>
        <w:t>数减少0.33万元，下降0.4%。主要</w:t>
      </w:r>
      <w:r>
        <w:rPr>
          <w:rFonts w:hint="default"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color w:val="auto"/>
          <w:kern w:val="0"/>
          <w:sz w:val="32"/>
          <w:szCs w:val="32"/>
          <w:lang w:val="en-US" w:eastAsia="zh-CN"/>
        </w:rPr>
        <w:t>年中在职人员退休1人，人员经费支出减少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w:t>
      </w:r>
      <w:r>
        <w:rPr>
          <w:rFonts w:ascii="方正仿宋_GBK" w:hAnsi="方正仿宋_GBK" w:eastAsia="方正仿宋_GBK" w:cs="方正仿宋_GBK"/>
          <w:sz w:val="32"/>
          <w:szCs w:val="32"/>
          <w:shd w:val="clear" w:color="auto" w:fill="FFFFFF"/>
        </w:rPr>
        <w:t>元。</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ascii="方正仿宋_GBK" w:hAnsi="方正仿宋_GBK" w:eastAsia="方正仿宋_GBK" w:cs="方正仿宋_GBK"/>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76.32</w:t>
      </w:r>
      <w:r>
        <w:rPr>
          <w:rFonts w:hint="default" w:ascii="Times New Roman" w:hAnsi="Times New Roman" w:eastAsia="方正仿宋_GBK" w:cs="Times New Roman"/>
          <w:sz w:val="32"/>
          <w:szCs w:val="32"/>
          <w:shd w:val="clear" w:color="auto" w:fill="FFFFFF"/>
        </w:rPr>
        <w:t>万元，与2023年度相比，增加1.69万元，增长2.3%。主要原因是</w:t>
      </w:r>
      <w:r>
        <w:rPr>
          <w:rFonts w:hint="default" w:ascii="Times New Roman" w:hAnsi="Times New Roman" w:eastAsia="方正仿宋_GBK" w:cs="Times New Roman"/>
          <w:color w:val="auto"/>
          <w:kern w:val="0"/>
          <w:sz w:val="32"/>
          <w:szCs w:val="32"/>
        </w:rPr>
        <w:t>在职人员</w:t>
      </w:r>
      <w:r>
        <w:rPr>
          <w:rFonts w:hint="default" w:ascii="Times New Roman" w:hAnsi="Times New Roman" w:eastAsia="方正仿宋_GBK" w:cs="Times New Roman"/>
          <w:color w:val="auto"/>
          <w:kern w:val="0"/>
          <w:sz w:val="32"/>
          <w:szCs w:val="32"/>
          <w:lang w:val="en-US" w:eastAsia="zh-CN"/>
        </w:rPr>
        <w:t>工资、</w:t>
      </w:r>
      <w:r>
        <w:rPr>
          <w:rFonts w:hint="default" w:ascii="Times New Roman" w:hAnsi="Times New Roman" w:eastAsia="方正仿宋_GBK" w:cs="Times New Roman"/>
          <w:color w:val="auto"/>
          <w:kern w:val="0"/>
          <w:sz w:val="32"/>
          <w:szCs w:val="32"/>
        </w:rPr>
        <w:t>养老保险和职业年金预算</w:t>
      </w:r>
      <w:r>
        <w:rPr>
          <w:rFonts w:hint="default" w:ascii="Times New Roman" w:hAnsi="Times New Roman" w:eastAsia="方正仿宋_GBK" w:cs="Times New Roman"/>
          <w:color w:val="auto"/>
          <w:kern w:val="0"/>
          <w:sz w:val="32"/>
          <w:szCs w:val="32"/>
          <w:lang w:val="en-US" w:eastAsia="zh-CN"/>
        </w:rPr>
        <w:t>政策性调整、</w:t>
      </w:r>
      <w:r>
        <w:rPr>
          <w:rFonts w:hint="default" w:ascii="Times New Roman" w:hAnsi="Times New Roman" w:eastAsia="方正仿宋_GBK" w:cs="Times New Roman"/>
          <w:color w:val="auto"/>
          <w:kern w:val="0"/>
          <w:sz w:val="32"/>
          <w:szCs w:val="32"/>
        </w:rPr>
        <w:t>事业单位超额绩效清算</w:t>
      </w:r>
      <w:r>
        <w:rPr>
          <w:rFonts w:hint="default" w:ascii="Times New Roman" w:hAnsi="Times New Roman" w:eastAsia="方正仿宋_GBK" w:cs="Times New Roman"/>
          <w:color w:val="auto"/>
          <w:kern w:val="0"/>
          <w:sz w:val="32"/>
          <w:szCs w:val="32"/>
          <w:lang w:val="en-US" w:eastAsia="zh-CN"/>
        </w:rPr>
        <w:t>补发等</w:t>
      </w:r>
      <w:r>
        <w:rPr>
          <w:rFonts w:hint="default" w:ascii="Times New Roman" w:hAnsi="Times New Roman" w:eastAsia="方正仿宋_GBK" w:cs="Times New Roman"/>
          <w:color w:val="auto"/>
          <w:sz w:val="32"/>
          <w:szCs w:val="32"/>
          <w:shd w:val="clear" w:color="auto" w:fill="FFFFFF"/>
        </w:rPr>
        <w:t>。较年初预算数减少0.33万元，下降0.4%。主要</w:t>
      </w:r>
      <w:r>
        <w:rPr>
          <w:rFonts w:hint="default" w:ascii="Times New Roman" w:hAnsi="Times New Roman" w:eastAsia="方正仿宋_GBK" w:cs="Times New Roman"/>
          <w:color w:val="auto"/>
          <w:sz w:val="32"/>
          <w:szCs w:val="32"/>
          <w:shd w:val="clear" w:color="auto" w:fill="FFFFFF"/>
          <w:lang w:eastAsia="zh-CN"/>
        </w:rPr>
        <w:t>原因是</w:t>
      </w:r>
      <w:r>
        <w:rPr>
          <w:rFonts w:hint="default" w:ascii="Times New Roman" w:hAnsi="Times New Roman" w:eastAsia="方正仿宋_GBK" w:cs="Times New Roman"/>
          <w:color w:val="auto"/>
          <w:kern w:val="0"/>
          <w:sz w:val="32"/>
          <w:szCs w:val="32"/>
          <w:lang w:val="en-US" w:eastAsia="zh-CN"/>
        </w:rPr>
        <w:t>年中在职人员退休1人，人员经费支出减少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55.29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72.45</w:t>
      </w:r>
      <w:r>
        <w:rPr>
          <w:rFonts w:ascii="方正仿宋_GBK" w:hAnsi="方正仿宋_GBK" w:eastAsia="方正仿宋_GBK" w:cs="方正仿宋_GBK"/>
          <w:sz w:val="32"/>
          <w:szCs w:val="32"/>
          <w:shd w:val="clear" w:color="auto" w:fill="FFFFFF"/>
        </w:rPr>
        <w:t>%，较年初预算数减少5.71万元，下降9.4%，主</w:t>
      </w:r>
      <w:r>
        <w:rPr>
          <w:rFonts w:hint="default" w:ascii="Times New Roman" w:hAnsi="Times New Roman" w:eastAsia="方正仿宋_GBK" w:cs="Times New Roman"/>
          <w:sz w:val="32"/>
          <w:szCs w:val="32"/>
          <w:shd w:val="clear" w:color="auto" w:fill="FFFFFF"/>
        </w:rPr>
        <w:t>要</w:t>
      </w:r>
      <w:r>
        <w:rPr>
          <w:rFonts w:hint="default"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color w:val="auto"/>
          <w:kern w:val="0"/>
          <w:sz w:val="32"/>
          <w:szCs w:val="32"/>
          <w:lang w:val="en-US" w:eastAsia="zh-CN"/>
        </w:rPr>
        <w:t>年中在职人员退休1人，人员经费支出减少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12.05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15.79</w:t>
      </w:r>
      <w:r>
        <w:rPr>
          <w:rFonts w:ascii="方正仿宋_GBK" w:hAnsi="方正仿宋_GBK" w:eastAsia="方正仿宋_GBK" w:cs="方正仿宋_GBK"/>
          <w:sz w:val="32"/>
          <w:szCs w:val="32"/>
          <w:shd w:val="clear" w:color="auto" w:fill="FFFFFF"/>
        </w:rPr>
        <w:t>%，较年初预算数增加5.38万元，增长80.7%，主要原</w:t>
      </w:r>
      <w:r>
        <w:rPr>
          <w:rFonts w:hint="eastAsia"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kern w:val="0"/>
          <w:sz w:val="32"/>
          <w:szCs w:val="32"/>
          <w:lang w:val="en-US" w:eastAsia="zh-CN"/>
        </w:rPr>
        <w:t>单位养老保险和职业年金政策性调整</w:t>
      </w:r>
      <w:r>
        <w:rPr>
          <w:rFonts w:hint="eastAsia"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4.27</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住房保障支出5.72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7.50</w:t>
      </w:r>
      <w:r>
        <w:rPr>
          <w:rFonts w:ascii="方正仿宋_GBK" w:hAnsi="方正仿宋_GBK" w:eastAsia="方正仿宋_GBK" w:cs="方正仿宋_GBK"/>
          <w:color w:val="auto"/>
          <w:sz w:val="32"/>
          <w:szCs w:val="32"/>
          <w:shd w:val="clear" w:color="auto" w:fill="FFFFFF"/>
        </w:rPr>
        <w:t>%，较年初预算数无增减。</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76.32</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62.78</w:t>
      </w:r>
      <w:r>
        <w:rPr>
          <w:rFonts w:hint="eastAsia" w:ascii="方正仿宋_GBK" w:hAnsi="方正仿宋_GBK" w:eastAsia="方正仿宋_GBK" w:cs="方正仿宋_GBK"/>
          <w:sz w:val="32"/>
          <w:szCs w:val="32"/>
          <w:shd w:val="clear" w:color="auto" w:fill="FFFFFF"/>
        </w:rPr>
        <w:t>万元，与2023年度相比，增加3.37万元，增长5.7%，主要原因是</w:t>
      </w:r>
      <w:r>
        <w:rPr>
          <w:rFonts w:hint="eastAsia" w:ascii="方正仿宋_GBK" w:hAnsi="方正仿宋_GBK" w:eastAsia="方正仿宋_GBK" w:cs="方正仿宋_GBK"/>
          <w:color w:val="auto"/>
          <w:kern w:val="0"/>
          <w:sz w:val="32"/>
          <w:szCs w:val="32"/>
        </w:rPr>
        <w:t>在职人员</w:t>
      </w:r>
      <w:r>
        <w:rPr>
          <w:rFonts w:hint="eastAsia" w:ascii="方正仿宋_GBK" w:hAnsi="方正仿宋_GBK" w:eastAsia="方正仿宋_GBK" w:cs="方正仿宋_GBK"/>
          <w:color w:val="auto"/>
          <w:kern w:val="0"/>
          <w:sz w:val="32"/>
          <w:szCs w:val="32"/>
          <w:lang w:val="en-US" w:eastAsia="zh-CN"/>
        </w:rPr>
        <w:t>工资、</w:t>
      </w:r>
      <w:r>
        <w:rPr>
          <w:rFonts w:hint="eastAsia" w:ascii="方正仿宋_GBK" w:hAnsi="方正仿宋_GBK" w:eastAsia="方正仿宋_GBK" w:cs="方正仿宋_GBK"/>
          <w:color w:val="auto"/>
          <w:kern w:val="0"/>
          <w:sz w:val="32"/>
          <w:szCs w:val="32"/>
        </w:rPr>
        <w:t>养老保险和职业年金预算</w:t>
      </w:r>
      <w:r>
        <w:rPr>
          <w:rFonts w:hint="eastAsia" w:ascii="方正仿宋_GBK" w:hAnsi="方正仿宋_GBK" w:eastAsia="方正仿宋_GBK" w:cs="方正仿宋_GBK"/>
          <w:color w:val="auto"/>
          <w:kern w:val="0"/>
          <w:sz w:val="32"/>
          <w:szCs w:val="32"/>
          <w:lang w:val="en-US" w:eastAsia="zh-CN"/>
        </w:rPr>
        <w:t>政策性调整、</w:t>
      </w:r>
      <w:r>
        <w:rPr>
          <w:rFonts w:hint="eastAsia" w:ascii="方正仿宋_GBK" w:hAnsi="方正仿宋_GBK" w:eastAsia="方正仿宋_GBK" w:cs="方正仿宋_GBK"/>
          <w:color w:val="auto"/>
          <w:kern w:val="0"/>
          <w:sz w:val="32"/>
          <w:szCs w:val="32"/>
        </w:rPr>
        <w:t>事业单位超额绩效清算</w:t>
      </w:r>
      <w:r>
        <w:rPr>
          <w:rFonts w:hint="eastAsia" w:ascii="方正仿宋_GBK" w:hAnsi="方正仿宋_GBK" w:eastAsia="方正仿宋_GBK" w:cs="方正仿宋_GBK"/>
          <w:color w:val="auto"/>
          <w:kern w:val="0"/>
          <w:sz w:val="32"/>
          <w:szCs w:val="32"/>
          <w:lang w:val="en-US" w:eastAsia="zh-CN"/>
        </w:rPr>
        <w:t>补发等</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rPr>
        <w:t>人员经费用途主要包括</w:t>
      </w:r>
      <w:r>
        <w:rPr>
          <w:rFonts w:hint="eastAsia" w:ascii="方正仿宋_GBK" w:hAnsi="方正仿宋_GBK" w:eastAsia="方正仿宋_GBK" w:cs="方正仿宋_GBK"/>
          <w:b w:val="0"/>
          <w:bCs/>
          <w:color w:val="000000"/>
          <w:kern w:val="0"/>
          <w:sz w:val="32"/>
          <w:szCs w:val="32"/>
          <w:shd w:val="clear" w:color="auto" w:fill="FFFFFF"/>
        </w:rPr>
        <w:t>基本工资、津贴补贴、奖金、社会保障缴费、其他工资福利支出、住房公积金及购房补贴</w:t>
      </w:r>
      <w:r>
        <w:rPr>
          <w:rFonts w:hint="eastAsia" w:ascii="方正仿宋_GBK" w:hAnsi="方正仿宋_GBK" w:eastAsia="方正仿宋_GBK" w:cs="方正仿宋_GBK"/>
          <w:b w:val="0"/>
          <w:bCs/>
          <w:color w:val="000000"/>
          <w:kern w:val="0"/>
          <w:sz w:val="32"/>
          <w:szCs w:val="32"/>
          <w:shd w:val="clear" w:color="auto" w:fill="FFFFFF"/>
          <w:lang w:val="en-US" w:eastAsia="zh-CN"/>
        </w:rPr>
        <w:t>等</w:t>
      </w:r>
      <w:r>
        <w:rPr>
          <w:rFonts w:hint="eastAsia"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13.53</w:t>
      </w:r>
      <w:r>
        <w:rPr>
          <w:rFonts w:hint="eastAsia" w:ascii="方正仿宋_GBK" w:hAnsi="方正仿宋_GBK" w:eastAsia="方正仿宋_GBK" w:cs="方正仿宋_GBK"/>
          <w:sz w:val="32"/>
          <w:szCs w:val="32"/>
          <w:shd w:val="clear" w:color="auto" w:fill="FFFFFF"/>
        </w:rPr>
        <w:t>万元，与2023年度相比，减少1.69万元，下降11.1%，主要原因是</w:t>
      </w:r>
      <w:r>
        <w:rPr>
          <w:rFonts w:hint="eastAsia" w:ascii="方正仿宋_GBK" w:hAnsi="方正仿宋_GBK" w:eastAsia="方正仿宋_GBK" w:cs="方正仿宋_GBK"/>
          <w:kern w:val="0"/>
          <w:sz w:val="32"/>
          <w:szCs w:val="32"/>
          <w:lang w:val="en-US" w:eastAsia="zh-CN"/>
        </w:rPr>
        <w:t>公用经费调剂到人员经费使用</w:t>
      </w:r>
      <w:r>
        <w:rPr>
          <w:rFonts w:hint="eastAsia"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shd w:val="clear" w:color="auto" w:fill="FFFFFF"/>
        </w:rPr>
        <w:t>办公费、水费、电费、邮电费、物业管理费、工会经费、福利费等</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（五）政府性基金预算收支决算情况说明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kern w:val="0"/>
          <w:szCs w:val="32"/>
        </w:rPr>
      </w:pPr>
      <w:r>
        <w:rPr>
          <w:rFonts w:hint="eastAsia" w:ascii="方正仿宋_GBK" w:hAnsi="方正仿宋_GBK" w:eastAsia="方正仿宋_GBK" w:cs="方正仿宋_GBK"/>
          <w:color w:val="auto"/>
          <w:kern w:val="0"/>
          <w:sz w:val="32"/>
          <w:szCs w:val="32"/>
          <w:shd w:val="clear" w:color="auto" w:fill="FFFFFF"/>
        </w:rPr>
        <w:t>本单位2024年度无政府性基金预算财政拨款收支。</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kern w:val="0"/>
          <w:szCs w:val="32"/>
        </w:rPr>
      </w:pPr>
      <w:r>
        <w:rPr>
          <w:rFonts w:hint="eastAsia" w:ascii="方正仿宋_GBK" w:hAnsi="方正仿宋_GBK" w:eastAsia="方正仿宋_GBK" w:cs="方正仿宋_GBK"/>
          <w:color w:val="auto"/>
          <w:kern w:val="0"/>
          <w:sz w:val="32"/>
          <w:szCs w:val="32"/>
          <w:shd w:val="clear" w:color="auto" w:fill="FFFFFF"/>
        </w:rPr>
        <w:t>本单位2024年度无国有资本经营预算财政拨款支出。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三、“三公”经费情况说明</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（一）“三公”经费支出总体情况说明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kern w:val="0"/>
          <w:szCs w:val="32"/>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年度未发生“三公”经费支出。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（二）“三公”经费分项支出情况</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kern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本单位</w:t>
      </w:r>
      <w:r>
        <w:rPr>
          <w:rStyle w:val="11"/>
          <w:rFonts w:hint="default" w:ascii="方正楷体_GBK" w:hAnsi="方正楷体_GBK" w:eastAsia="方正楷体_GBK" w:cs="方正楷体_GBK"/>
          <w:b w:val="0"/>
          <w:bCs w:val="0"/>
          <w:sz w:val="32"/>
          <w:szCs w:val="32"/>
          <w:shd w:val="clear" w:color="auto" w:fill="FFFFFF"/>
        </w:rPr>
        <w:t>202</w:t>
      </w:r>
      <w:r>
        <w:rPr>
          <w:rStyle w:val="11"/>
          <w:rFonts w:hint="eastAsia" w:ascii="方正楷体_GBK" w:hAnsi="方正楷体_GBK" w:eastAsia="方正楷体_GBK" w:cs="方正楷体_GBK"/>
          <w:b w:val="0"/>
          <w:bCs w:val="0"/>
          <w:sz w:val="32"/>
          <w:szCs w:val="32"/>
          <w:shd w:val="clear" w:color="auto" w:fill="FFFFFF"/>
          <w:lang w:val="en-US" w:eastAsia="zh-CN"/>
        </w:rPr>
        <w:t>4</w:t>
      </w:r>
      <w:r>
        <w:rPr>
          <w:rStyle w:val="11"/>
          <w:rFonts w:hint="eastAsia" w:ascii="方正楷体_GBK" w:hAnsi="方正楷体_GBK" w:eastAsia="方正楷体_GBK" w:cs="方正楷体_GBK"/>
          <w:b w:val="0"/>
          <w:bCs w:val="0"/>
          <w:sz w:val="32"/>
          <w:szCs w:val="32"/>
          <w:shd w:val="clear" w:color="auto" w:fill="FFFFFF"/>
        </w:rPr>
        <w:t>年度未发生因公</w:t>
      </w:r>
      <w:r>
        <w:rPr>
          <w:rFonts w:hint="eastAsia" w:ascii="方正仿宋_GBK" w:hAnsi="方正仿宋_GBK" w:eastAsia="方正仿宋_GBK" w:cs="方正仿宋_GBK"/>
          <w:b w:val="0"/>
          <w:bCs w:val="0"/>
          <w:color w:val="000000"/>
          <w:kern w:val="0"/>
          <w:sz w:val="32"/>
          <w:szCs w:val="32"/>
          <w:shd w:val="clear" w:color="auto" w:fill="FFFFFF"/>
        </w:rPr>
        <w:t>出国（境）费用。</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000000"/>
          <w:kern w:val="0"/>
          <w:sz w:val="32"/>
          <w:szCs w:val="32"/>
          <w:shd w:val="clear" w:color="auto" w:fill="D9D9D9"/>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eastAsia="方正仿宋_GBK"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年度未发生公务车购置费。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eastAsia="方正仿宋_GBK"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年度未发生公务车运行维护费。</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kern w:val="0"/>
          <w:szCs w:val="32"/>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年度未发生公务接待费。</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（三）“三公”经费实物量情况</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kern w:val="0"/>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w:t>
      </w:r>
      <w:r>
        <w:rPr>
          <w:rFonts w:hint="eastAsia" w:ascii="方正仿宋_GBK" w:hAnsi="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四、其他需要说明的事项</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eastAsia="方正楷体_GBK" w:cs="宋体"/>
          <w:b/>
          <w:kern w:val="0"/>
          <w:szCs w:val="32"/>
        </w:rPr>
      </w:pPr>
      <w:r>
        <w:rPr>
          <w:rStyle w:val="11"/>
          <w:rFonts w:hint="eastAsia" w:ascii="方正楷体_GBK" w:hAnsi="方正楷体_GBK" w:eastAsia="方正楷体_GBK" w:cs="方正楷体_GBK"/>
          <w:b w:val="0"/>
          <w:bCs w:val="0"/>
          <w:sz w:val="32"/>
          <w:szCs w:val="32"/>
          <w:shd w:val="clear" w:color="auto" w:fill="FFFFFF"/>
        </w:rPr>
        <w:t>（一）一般公共预算财政拨款会议费和培训费情况说明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本单位未发生</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val="en-US" w:eastAsia="zh-CN"/>
        </w:rPr>
        <w:t>和</w:t>
      </w:r>
      <w:r>
        <w:rPr>
          <w:rFonts w:ascii="方正仿宋_GBK" w:hAnsi="方正仿宋_GBK" w:eastAsia="方正仿宋_GBK" w:cs="方正仿宋_GBK"/>
          <w:sz w:val="32"/>
          <w:szCs w:val="32"/>
          <w:shd w:val="clear" w:color="auto" w:fill="FFFFFF"/>
        </w:rPr>
        <w:t>培训费支出</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按照部门决算列报口径，我单位不在机关运行经费统计范围之内。</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kern w:val="0"/>
          <w:szCs w:val="32"/>
        </w:rPr>
      </w:pPr>
      <w:r>
        <w:rPr>
          <w:rFonts w:hint="eastAsia" w:ascii="方正仿宋_GBK" w:hAnsi="方正仿宋_GBK" w:eastAsia="方正仿宋_GBK" w:cs="方正仿宋_GBK"/>
          <w:b w:val="0"/>
          <w:bCs w:val="0"/>
          <w:color w:val="000000"/>
          <w:kern w:val="0"/>
          <w:sz w:val="32"/>
          <w:szCs w:val="32"/>
          <w:shd w:val="clear" w:color="auto" w:fill="FFFFFF"/>
        </w:rPr>
        <w:t>本单位无国有资产占用情况</w:t>
      </w:r>
      <w:r>
        <w:rPr>
          <w:rFonts w:hint="eastAsia" w:ascii="方正仿宋_GBK" w:hAnsi="方正仿宋_GBK" w:eastAsia="方正仿宋_GBK" w:cs="方正仿宋_GBK"/>
          <w:b w:val="0"/>
          <w:bCs w:val="0"/>
          <w:color w:val="000000"/>
          <w:kern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（四）政府采购支出情况说明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b w:val="0"/>
          <w:bCs w:val="0"/>
          <w:color w:val="000000"/>
          <w:kern w:val="0"/>
          <w:sz w:val="32"/>
          <w:szCs w:val="32"/>
          <w:shd w:val="clear" w:color="auto" w:fill="FFFFFF"/>
        </w:rPr>
      </w:pPr>
      <w:r>
        <w:rPr>
          <w:rFonts w:hint="eastAsia" w:ascii="方正仿宋_GBK" w:hAnsi="方正仿宋_GBK" w:eastAsia="方正仿宋_GBK" w:cs="方正仿宋_GBK"/>
          <w:b w:val="0"/>
          <w:bCs w:val="0"/>
          <w:color w:val="000000"/>
          <w:kern w:val="0"/>
          <w:sz w:val="32"/>
          <w:szCs w:val="32"/>
          <w:shd w:val="clear" w:color="auto" w:fill="FFFFFF"/>
        </w:rPr>
        <w:t>2024年度我单位未发生政府采购事项，无相关经费支出。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五、预算绩效管理情况说明</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（一）单位自评情况</w:t>
      </w:r>
    </w:p>
    <w:p>
      <w:pPr>
        <w:keepNext w:val="0"/>
        <w:keepLines w:val="0"/>
        <w:pageBreakBefore w:val="0"/>
        <w:widowControl w:val="0"/>
        <w:tabs>
          <w:tab w:val="center" w:pos="4153"/>
          <w:tab w:val="left" w:pos="7275"/>
        </w:tabs>
        <w:kinsoku/>
        <w:wordWrap/>
        <w:overflowPunct/>
        <w:topLinePunct w:val="0"/>
        <w:autoSpaceDN/>
        <w:bidi w:val="0"/>
        <w:spacing w:beforeAutospacing="0" w:afterAutospacing="0" w:line="594" w:lineRule="exact"/>
        <w:ind w:firstLine="960" w:firstLineChars="300"/>
        <w:textAlignment w:val="auto"/>
        <w:rPr>
          <w:rFonts w:hint="eastAsia" w:cs="宋体"/>
          <w:kern w:val="0"/>
          <w:szCs w:val="32"/>
        </w:rPr>
      </w:pPr>
      <w:r>
        <w:rPr>
          <w:rFonts w:hint="eastAsia" w:ascii="方正仿宋_GBK" w:hAnsi="方正仿宋_GBK" w:eastAsia="方正仿宋_GBK" w:cs="方正仿宋_GBK"/>
          <w:color w:val="auto"/>
          <w:sz w:val="32"/>
          <w:szCs w:val="32"/>
          <w:lang w:val="en-US" w:eastAsia="zh-CN" w:bidi="ar-SA"/>
        </w:rPr>
        <w:t>我单位未开展绩效自评。</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（二）部门重点绩效评价情况</w:t>
      </w:r>
    </w:p>
    <w:p>
      <w:pPr>
        <w:keepNext w:val="0"/>
        <w:keepLines w:val="0"/>
        <w:pageBreakBefore w:val="0"/>
        <w:widowControl w:val="0"/>
        <w:tabs>
          <w:tab w:val="center" w:pos="4153"/>
          <w:tab w:val="left" w:pos="7275"/>
        </w:tabs>
        <w:kinsoku/>
        <w:wordWrap/>
        <w:overflowPunct/>
        <w:topLinePunct w:val="0"/>
        <w:autoSpaceDN/>
        <w:bidi w:val="0"/>
        <w:spacing w:beforeAutospacing="0" w:afterAutospacing="0" w:line="594" w:lineRule="exact"/>
        <w:ind w:firstLine="960" w:firstLineChars="3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我单位未开展重点绩效评价。</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（三）财政绩效评价情况</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color w:val="auto"/>
          <w:sz w:val="32"/>
          <w:szCs w:val="32"/>
          <w:lang w:val="en-US" w:eastAsia="zh-CN" w:bidi="ar-SA"/>
        </w:rPr>
        <w:t>财政局未委托第三方对我单位开展绩效评价。</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rPr>
        <w:t>（一）财政拨款收入</w:t>
      </w:r>
      <w:r>
        <w:rPr>
          <w:rStyle w:val="11"/>
          <w:rFonts w:hint="eastAsia" w:ascii="方正黑体_GBK" w:hAnsi="方正黑体_GBK" w:eastAsia="方正黑体_GBK" w:cs="方正黑体_GBK"/>
          <w:b w:val="0"/>
          <w:bCs w:val="0"/>
          <w:sz w:val="32"/>
          <w:szCs w:val="32"/>
          <w:shd w:val="clear" w:color="auto" w:fill="FFFFFF"/>
          <w:lang w:val="en-US" w:eastAsia="zh-CN"/>
        </w:rPr>
        <w:t>：</w:t>
      </w:r>
      <w:r>
        <w:rPr>
          <w:rStyle w:val="11"/>
          <w:rFonts w:hint="eastAsia" w:ascii="方正仿宋_GBK" w:hAnsi="方正仿宋_GBK" w:eastAsia="方正仿宋_GBK" w:cs="方正仿宋_GBK"/>
          <w:b w:val="0"/>
          <w:bCs w:val="0"/>
          <w:sz w:val="32"/>
          <w:szCs w:val="32"/>
          <w:shd w:val="clear" w:color="auto" w:fill="FFFFFF"/>
          <w:lang w:val="en-US" w:eastAsia="zh-CN"/>
        </w:rPr>
        <w:t>指本</w:t>
      </w:r>
      <w:r>
        <w:rPr>
          <w:rFonts w:hint="eastAsia" w:ascii="方正仿宋_GBK" w:hAnsi="方正仿宋_GBK" w:eastAsia="方正仿宋_GBK" w:cs="方正仿宋_GBK"/>
          <w:kern w:val="0"/>
          <w:sz w:val="32"/>
          <w:szCs w:val="32"/>
          <w:shd w:val="clear" w:fill="FFFFFF"/>
        </w:rPr>
        <w:t>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（二）事业收入</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（三）经营收入</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（四）其他收入</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（九）基本支出</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（十二）“三公”经费</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023-86182888</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黄桷坪街道社区文化服务中心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76.32</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9"/>
        <w:tblW w:w="1550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黄桷坪街道社区文化服务中心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76.32</w:t>
            </w:r>
            <w:r>
              <w:rPr>
                <w:rFonts w:ascii="Times New Roman" w:hAnsi="Times New Roman"/>
                <w:b/>
                <w:color w:val="000000"/>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Layout w:type="fixed"/>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黄桷坪街道社区文化服务中心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76.32</w:t>
            </w:r>
            <w:r>
              <w:rPr>
                <w:rFonts w:ascii="Times New Roman" w:hAnsi="Times New Roman"/>
                <w:b/>
                <w:color w:val="000000"/>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76.32</w:t>
            </w:r>
            <w:r>
              <w:rPr>
                <w:rFonts w:ascii="Times New Roman" w:hAnsi="Times New Roman"/>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黄桷坪街道社区文化服务中心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黄桷坪街道社区文化服务中心</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Layout w:type="fixed"/>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黄桷坪街道社区文化服务中心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62.78</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Layout w:type="fixed"/>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黄桷坪街道社区文化服务中心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黄桷坪街道社区文化服务中心</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9"/>
        <w:gridCol w:w="2415"/>
        <w:gridCol w:w="2376"/>
        <w:gridCol w:w="3674"/>
        <w:gridCol w:w="2486"/>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黄桷坪街道社区文化服务中心</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A95B13"/>
    <w:rsid w:val="01F3521E"/>
    <w:rsid w:val="02056D00"/>
    <w:rsid w:val="02C00E23"/>
    <w:rsid w:val="03A52548"/>
    <w:rsid w:val="03E3214F"/>
    <w:rsid w:val="04446191"/>
    <w:rsid w:val="044C50BA"/>
    <w:rsid w:val="04966B22"/>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23843"/>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0079F2"/>
    <w:rsid w:val="12771554"/>
    <w:rsid w:val="129973FF"/>
    <w:rsid w:val="12C921C4"/>
    <w:rsid w:val="12DA353E"/>
    <w:rsid w:val="13850DCB"/>
    <w:rsid w:val="13871C70"/>
    <w:rsid w:val="138C0F7A"/>
    <w:rsid w:val="13A71CB4"/>
    <w:rsid w:val="13AF1D43"/>
    <w:rsid w:val="13CE1647"/>
    <w:rsid w:val="14200702"/>
    <w:rsid w:val="144F3F11"/>
    <w:rsid w:val="1580711B"/>
    <w:rsid w:val="16D80EBF"/>
    <w:rsid w:val="17C65BB9"/>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46611B"/>
    <w:rsid w:val="266B763B"/>
    <w:rsid w:val="27167136"/>
    <w:rsid w:val="27B23302"/>
    <w:rsid w:val="27D424D7"/>
    <w:rsid w:val="285722C3"/>
    <w:rsid w:val="28DC1FF8"/>
    <w:rsid w:val="29310A5F"/>
    <w:rsid w:val="29C37A35"/>
    <w:rsid w:val="2A076083"/>
    <w:rsid w:val="2A306CA5"/>
    <w:rsid w:val="2A534B78"/>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4293AFF"/>
    <w:rsid w:val="35076329"/>
    <w:rsid w:val="352930DB"/>
    <w:rsid w:val="35573069"/>
    <w:rsid w:val="358C217E"/>
    <w:rsid w:val="359E7284"/>
    <w:rsid w:val="359F188C"/>
    <w:rsid w:val="36C9128A"/>
    <w:rsid w:val="37841E99"/>
    <w:rsid w:val="379C594F"/>
    <w:rsid w:val="37BF1123"/>
    <w:rsid w:val="37C85E36"/>
    <w:rsid w:val="383E355F"/>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1E6CF0"/>
    <w:rsid w:val="45A30364"/>
    <w:rsid w:val="465B470D"/>
    <w:rsid w:val="466C54D6"/>
    <w:rsid w:val="469D6AD4"/>
    <w:rsid w:val="46BD3866"/>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8256CB"/>
    <w:rsid w:val="4DAC4ACA"/>
    <w:rsid w:val="4DD06F63"/>
    <w:rsid w:val="4E043596"/>
    <w:rsid w:val="4E7C3473"/>
    <w:rsid w:val="4E9B0C57"/>
    <w:rsid w:val="4EA8523F"/>
    <w:rsid w:val="4F186D58"/>
    <w:rsid w:val="4F224836"/>
    <w:rsid w:val="4F231B40"/>
    <w:rsid w:val="5111250E"/>
    <w:rsid w:val="51760217"/>
    <w:rsid w:val="51E36677"/>
    <w:rsid w:val="51F01F7D"/>
    <w:rsid w:val="522F6E0C"/>
    <w:rsid w:val="52463BA1"/>
    <w:rsid w:val="52810740"/>
    <w:rsid w:val="529F078E"/>
    <w:rsid w:val="53990623"/>
    <w:rsid w:val="53C0244D"/>
    <w:rsid w:val="53DD4D4E"/>
    <w:rsid w:val="53E578CE"/>
    <w:rsid w:val="53EA10F5"/>
    <w:rsid w:val="541768A0"/>
    <w:rsid w:val="543B029D"/>
    <w:rsid w:val="54977029"/>
    <w:rsid w:val="554E5773"/>
    <w:rsid w:val="555A3CBC"/>
    <w:rsid w:val="55B5073F"/>
    <w:rsid w:val="55EF4EA6"/>
    <w:rsid w:val="56530F5D"/>
    <w:rsid w:val="56EE372E"/>
    <w:rsid w:val="570D735E"/>
    <w:rsid w:val="5842572D"/>
    <w:rsid w:val="598A28E2"/>
    <w:rsid w:val="5A6279C1"/>
    <w:rsid w:val="5AD563E4"/>
    <w:rsid w:val="5C1336B7"/>
    <w:rsid w:val="5C263CE4"/>
    <w:rsid w:val="5C5D2777"/>
    <w:rsid w:val="5C722D7F"/>
    <w:rsid w:val="5CF3793F"/>
    <w:rsid w:val="5D290C69"/>
    <w:rsid w:val="5DC17CC6"/>
    <w:rsid w:val="5EFA176D"/>
    <w:rsid w:val="5F0247F9"/>
    <w:rsid w:val="5F2D4A41"/>
    <w:rsid w:val="601C34ED"/>
    <w:rsid w:val="60A511FB"/>
    <w:rsid w:val="60E274D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C1175"/>
    <w:rsid w:val="663F505A"/>
    <w:rsid w:val="667F2393"/>
    <w:rsid w:val="66910333"/>
    <w:rsid w:val="66EE5541"/>
    <w:rsid w:val="67086152"/>
    <w:rsid w:val="677B240C"/>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6B4AFE"/>
    <w:rsid w:val="6FFB2E76"/>
    <w:rsid w:val="706216ED"/>
    <w:rsid w:val="70AB70D6"/>
    <w:rsid w:val="70DE5507"/>
    <w:rsid w:val="71C34D91"/>
    <w:rsid w:val="71ED38AA"/>
    <w:rsid w:val="7227603F"/>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39155F"/>
    <w:rsid w:val="7B420052"/>
    <w:rsid w:val="7B7D43A1"/>
    <w:rsid w:val="7BD06A28"/>
    <w:rsid w:val="7C0C5586"/>
    <w:rsid w:val="7C1E4CD7"/>
    <w:rsid w:val="7C3A7C0B"/>
    <w:rsid w:val="7C3D3C14"/>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2206</Words>
  <Characters>2482</Characters>
  <Lines>161</Lines>
  <Paragraphs>45</Paragraphs>
  <TotalTime>15</TotalTime>
  <ScaleCrop>false</ScaleCrop>
  <LinksUpToDate>false</LinksUpToDate>
  <CharactersWithSpaces>2482</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重庆市九龙坡区人民政府黄桷坪街道办事处</cp:lastModifiedBy>
  <cp:lastPrinted>2025-10-27T01:37:31Z</cp:lastPrinted>
  <dcterms:modified xsi:type="dcterms:W3CDTF">2025-10-27T01:39:31Z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BB46EABDBB2749749395447164B066B3_12</vt:lpwstr>
  </property>
  <property fmtid="{D5CDD505-2E9C-101B-9397-08002B2CF9AE}" pid="4" name="KSOTemplateDocerSaveRecord">
    <vt:lpwstr>eyJoZGlkIjoiM2M3ZTc1MjVhMmZiY2VlN2UyNTA0MzA3OTYxYmFkZDkiLCJ1c2VySWQiOiIzODA0NzAzMDUifQ==</vt:lpwstr>
  </property>
</Properties>
</file>